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73FA2" w14:textId="3CFDA5EC" w:rsidR="002F5DAE" w:rsidRDefault="002F5DAE" w:rsidP="002F5DAE">
      <w:pPr>
        <w:widowControl w:val="0"/>
        <w:jc w:val="center"/>
        <w:rPr>
          <w:bCs/>
          <w:iCs/>
          <w:noProof/>
        </w:rPr>
      </w:pPr>
      <w:bookmarkStart w:id="0" w:name="page2"/>
      <w:bookmarkEnd w:id="0"/>
      <w:r>
        <w:rPr>
          <w:b/>
        </w:rPr>
        <w:t>КРАТКА ХАРАКТЕРИСТИКА НА ПРОДУКТА</w:t>
      </w:r>
    </w:p>
    <w:p w14:paraId="69D32B58" w14:textId="0382507F" w:rsidR="002F5DAE" w:rsidRDefault="002F5DAE" w:rsidP="002F5DAE">
      <w:pPr>
        <w:widowControl w:val="0"/>
        <w:jc w:val="center"/>
        <w:rPr>
          <w:bCs/>
          <w:iCs/>
          <w:noProof/>
        </w:rPr>
      </w:pPr>
    </w:p>
    <w:p w14:paraId="3956BFC6" w14:textId="77777777" w:rsidR="002F5DAE" w:rsidRDefault="002F5DAE" w:rsidP="002F5DAE">
      <w:pPr>
        <w:widowControl w:val="0"/>
        <w:jc w:val="center"/>
        <w:rPr>
          <w:rFonts w:eastAsia="Times New Roman"/>
          <w:b/>
          <w:bCs/>
        </w:rPr>
      </w:pPr>
    </w:p>
    <w:p w14:paraId="1A2B9494" w14:textId="2DC37D36" w:rsidR="00992061" w:rsidRDefault="00D1402E">
      <w:pPr>
        <w:numPr>
          <w:ilvl w:val="0"/>
          <w:numId w:val="1"/>
        </w:numPr>
        <w:tabs>
          <w:tab w:val="left" w:pos="564"/>
        </w:tabs>
        <w:ind w:left="564" w:hanging="564"/>
        <w:rPr>
          <w:rFonts w:eastAsia="Times New Roman"/>
          <w:b/>
          <w:bCs/>
        </w:rPr>
      </w:pPr>
      <w:r>
        <w:rPr>
          <w:rFonts w:eastAsia="Times New Roman"/>
          <w:b/>
          <w:bCs/>
        </w:rPr>
        <w:t>ИМЕ НА ЛЕКАРСТВЕНИЯ ПРОДУКТ</w:t>
      </w:r>
    </w:p>
    <w:p w14:paraId="14EFAF82" w14:textId="77777777" w:rsidR="00992061" w:rsidRDefault="00992061">
      <w:pPr>
        <w:spacing w:line="250" w:lineRule="exact"/>
        <w:rPr>
          <w:sz w:val="20"/>
          <w:szCs w:val="20"/>
        </w:rPr>
      </w:pPr>
    </w:p>
    <w:p w14:paraId="4A2CDB7A" w14:textId="3C2D1238" w:rsidR="00817C56" w:rsidRDefault="00817C56" w:rsidP="002F5DAE">
      <w:pPr>
        <w:rPr>
          <w:rFonts w:eastAsia="Times New Roman"/>
        </w:rPr>
      </w:pPr>
      <w:r w:rsidRPr="00817C56">
        <w:rPr>
          <w:rFonts w:eastAsia="Times New Roman"/>
        </w:rPr>
        <w:t>Фоклерос 100 mg филмирани таблетки</w:t>
      </w:r>
    </w:p>
    <w:p w14:paraId="2820B407" w14:textId="466A1895" w:rsidR="001E6C43" w:rsidRPr="001E6C43" w:rsidRDefault="001E6C43" w:rsidP="002F5DAE">
      <w:pPr>
        <w:rPr>
          <w:rFonts w:eastAsia="Times New Roman"/>
        </w:rPr>
      </w:pPr>
      <w:r>
        <w:rPr>
          <w:rFonts w:eastAsia="Times New Roman"/>
        </w:rPr>
        <w:t>Fokleros 100 mg film-coated tablets</w:t>
      </w:r>
    </w:p>
    <w:p w14:paraId="35ECBB93" w14:textId="163038A2" w:rsidR="00992061" w:rsidRDefault="00817C56" w:rsidP="002F5DAE">
      <w:pPr>
        <w:rPr>
          <w:rFonts w:eastAsia="Times New Roman"/>
        </w:rPr>
      </w:pPr>
      <w:r w:rsidRPr="00817C56">
        <w:rPr>
          <w:rFonts w:eastAsia="Times New Roman"/>
        </w:rPr>
        <w:t>Фоклерос 150 mg филмирани таблетки</w:t>
      </w:r>
    </w:p>
    <w:p w14:paraId="79E6D37B" w14:textId="69CA3693" w:rsidR="001E6C43" w:rsidRPr="001E6C43" w:rsidRDefault="001E6C43" w:rsidP="002F5DAE">
      <w:pPr>
        <w:rPr>
          <w:rFonts w:eastAsia="Times New Roman"/>
        </w:rPr>
      </w:pPr>
      <w:r>
        <w:rPr>
          <w:rFonts w:eastAsia="Times New Roman"/>
        </w:rPr>
        <w:t>Fokleros 150 mg film-coated tablets</w:t>
      </w:r>
    </w:p>
    <w:p w14:paraId="55E4D197" w14:textId="53984B5F" w:rsidR="00992061" w:rsidRDefault="00992061" w:rsidP="002F5DAE">
      <w:pPr>
        <w:ind w:right="-301"/>
        <w:rPr>
          <w:rFonts w:eastAsia="Times New Roman"/>
        </w:rPr>
      </w:pPr>
    </w:p>
    <w:p w14:paraId="149059A0" w14:textId="77777777" w:rsidR="001E6C43" w:rsidRDefault="001E6C43">
      <w:pPr>
        <w:spacing w:line="307" w:lineRule="exact"/>
        <w:rPr>
          <w:sz w:val="20"/>
          <w:szCs w:val="20"/>
        </w:rPr>
      </w:pPr>
    </w:p>
    <w:p w14:paraId="464969DE" w14:textId="77777777" w:rsidR="00992061" w:rsidRDefault="00D1402E">
      <w:pPr>
        <w:numPr>
          <w:ilvl w:val="0"/>
          <w:numId w:val="2"/>
        </w:numPr>
        <w:tabs>
          <w:tab w:val="left" w:pos="564"/>
        </w:tabs>
        <w:ind w:left="564" w:hanging="563"/>
        <w:rPr>
          <w:rFonts w:eastAsia="Times New Roman"/>
          <w:b/>
          <w:bCs/>
        </w:rPr>
      </w:pPr>
      <w:r>
        <w:rPr>
          <w:rFonts w:eastAsia="Times New Roman"/>
          <w:b/>
          <w:bCs/>
        </w:rPr>
        <w:t>КАЧЕСТВЕН И КОЛИЧЕСТВЕН СЪСТАВ</w:t>
      </w:r>
    </w:p>
    <w:p w14:paraId="096F4597" w14:textId="77777777" w:rsidR="00992061" w:rsidRDefault="00992061">
      <w:pPr>
        <w:spacing w:line="250" w:lineRule="exact"/>
        <w:rPr>
          <w:sz w:val="20"/>
          <w:szCs w:val="20"/>
        </w:rPr>
      </w:pPr>
    </w:p>
    <w:p w14:paraId="0CCD6077" w14:textId="77777777" w:rsidR="00817C56" w:rsidRDefault="00817C56" w:rsidP="00817C56">
      <w:pPr>
        <w:suppressAutoHyphens/>
      </w:pPr>
      <w:r w:rsidRPr="00BE1467">
        <w:rPr>
          <w:u w:val="single"/>
          <w:lang w:val="bg-BG"/>
        </w:rPr>
        <w:t>Фоклерос</w:t>
      </w:r>
      <w:r w:rsidRPr="00BE1467">
        <w:rPr>
          <w:u w:val="single"/>
        </w:rPr>
        <w:t xml:space="preserve"> 100 mg </w:t>
      </w:r>
      <w:r w:rsidRPr="00BE1467">
        <w:rPr>
          <w:u w:val="single"/>
          <w:lang w:val="bg-BG"/>
        </w:rPr>
        <w:t>филмирани таблетки</w:t>
      </w:r>
    </w:p>
    <w:p w14:paraId="3DFA67F5" w14:textId="0B9353EC" w:rsidR="00817C56" w:rsidRDefault="00817C56" w:rsidP="00817C56">
      <w:pPr>
        <w:suppressAutoHyphens/>
        <w:ind w:right="-312"/>
      </w:pPr>
      <w:r>
        <w:rPr>
          <w:lang w:val="bg-BG"/>
        </w:rPr>
        <w:t>Всяка филмирана таблетка съдържа</w:t>
      </w:r>
      <w:r w:rsidRPr="001B71B3">
        <w:t xml:space="preserve"> 100 mg </w:t>
      </w:r>
      <w:r>
        <w:rPr>
          <w:lang w:val="bg-BG"/>
        </w:rPr>
        <w:t>ерлотиниб</w:t>
      </w:r>
      <w:r>
        <w:t xml:space="preserve"> (</w:t>
      </w:r>
      <w:r>
        <w:rPr>
          <w:lang w:val="bg-BG"/>
        </w:rPr>
        <w:t>е</w:t>
      </w:r>
      <w:r>
        <w:t>rlotinib)</w:t>
      </w:r>
      <w:r w:rsidRPr="001B71B3">
        <w:t xml:space="preserve"> (</w:t>
      </w:r>
      <w:r>
        <w:rPr>
          <w:lang w:val="bg-BG"/>
        </w:rPr>
        <w:t>като ерлотиниб хидрохлор</w:t>
      </w:r>
      <w:r w:rsidR="00877D9A">
        <w:rPr>
          <w:lang w:val="bg-BG"/>
        </w:rPr>
        <w:t>и</w:t>
      </w:r>
      <w:r>
        <w:rPr>
          <w:lang w:val="bg-BG"/>
        </w:rPr>
        <w:t>д</w:t>
      </w:r>
      <w:r w:rsidRPr="001B71B3">
        <w:t>).</w:t>
      </w:r>
    </w:p>
    <w:p w14:paraId="4A72FAB8" w14:textId="77777777" w:rsidR="00817C56" w:rsidRDefault="00817C56" w:rsidP="00817C56">
      <w:pPr>
        <w:suppressAutoHyphens/>
        <w:ind w:right="-312"/>
      </w:pPr>
    </w:p>
    <w:p w14:paraId="38094115" w14:textId="77777777" w:rsidR="00817C56" w:rsidRPr="00235ED0" w:rsidRDefault="00817C56" w:rsidP="00817C56">
      <w:pPr>
        <w:suppressAutoHyphens/>
        <w:rPr>
          <w:lang w:val="bg-BG"/>
        </w:rPr>
      </w:pPr>
      <w:r>
        <w:rPr>
          <w:u w:val="single"/>
          <w:lang w:val="bg-BG"/>
        </w:rPr>
        <w:t>Помощни вещества с известно действие</w:t>
      </w:r>
    </w:p>
    <w:p w14:paraId="56128D1B" w14:textId="77777777" w:rsidR="00817C56" w:rsidRPr="001B71B3" w:rsidRDefault="00817C56" w:rsidP="00817C56">
      <w:pPr>
        <w:suppressAutoHyphens/>
      </w:pPr>
      <w:r>
        <w:rPr>
          <w:lang w:val="bg-BG"/>
        </w:rPr>
        <w:t>Всяка филмирана таблета съдържа</w:t>
      </w:r>
      <w:r>
        <w:t xml:space="preserve"> 70,</w:t>
      </w:r>
      <w:r w:rsidRPr="001B71B3">
        <w:t xml:space="preserve">7 mg </w:t>
      </w:r>
      <w:r>
        <w:rPr>
          <w:lang w:val="bg-BG"/>
        </w:rPr>
        <w:t>лактоза монохидрат</w:t>
      </w:r>
      <w:r w:rsidRPr="001B71B3">
        <w:t xml:space="preserve">. </w:t>
      </w:r>
    </w:p>
    <w:p w14:paraId="20BC33C8" w14:textId="77777777" w:rsidR="00817C56" w:rsidRPr="00817C56" w:rsidRDefault="00817C56" w:rsidP="00817C56">
      <w:pPr>
        <w:spacing w:line="252" w:lineRule="exact"/>
        <w:rPr>
          <w:rFonts w:eastAsia="Times New Roman"/>
          <w:u w:val="single"/>
        </w:rPr>
      </w:pPr>
    </w:p>
    <w:p w14:paraId="6F1B3381" w14:textId="77777777" w:rsidR="00817C56" w:rsidRPr="00817C56" w:rsidRDefault="00817C56" w:rsidP="00817C56">
      <w:pPr>
        <w:spacing w:line="252" w:lineRule="exact"/>
        <w:rPr>
          <w:rFonts w:eastAsia="Times New Roman"/>
          <w:u w:val="single"/>
        </w:rPr>
      </w:pPr>
      <w:r w:rsidRPr="00817C56">
        <w:rPr>
          <w:rFonts w:eastAsia="Times New Roman"/>
          <w:u w:val="single"/>
        </w:rPr>
        <w:t xml:space="preserve">Фоклерос 150 mg филмирани таблетки </w:t>
      </w:r>
    </w:p>
    <w:p w14:paraId="0193D062" w14:textId="2E072987" w:rsidR="00817C56" w:rsidRPr="00817C56" w:rsidRDefault="00817C56" w:rsidP="00817C56">
      <w:pPr>
        <w:spacing w:line="252" w:lineRule="exact"/>
        <w:rPr>
          <w:rFonts w:eastAsia="Times New Roman"/>
        </w:rPr>
      </w:pPr>
      <w:r w:rsidRPr="00817C56">
        <w:rPr>
          <w:rFonts w:eastAsia="Times New Roman"/>
        </w:rPr>
        <w:t>Eдна филмирана таблетка съдържа 150 mg ерлотиниб</w:t>
      </w:r>
      <w:r>
        <w:rPr>
          <w:rFonts w:eastAsia="Times New Roman"/>
          <w:lang w:val="bg-BG"/>
        </w:rPr>
        <w:t xml:space="preserve"> (е</w:t>
      </w:r>
      <w:r>
        <w:rPr>
          <w:rFonts w:eastAsia="Times New Roman"/>
        </w:rPr>
        <w:t>rlotinib)</w:t>
      </w:r>
      <w:r w:rsidRPr="00817C56">
        <w:rPr>
          <w:rFonts w:eastAsia="Times New Roman"/>
        </w:rPr>
        <w:t xml:space="preserve"> (като ерлотиниб хидрохлор</w:t>
      </w:r>
      <w:r w:rsidR="00877D9A">
        <w:rPr>
          <w:rFonts w:eastAsia="Times New Roman"/>
          <w:lang w:val="mk-MK"/>
        </w:rPr>
        <w:t>и</w:t>
      </w:r>
      <w:r w:rsidRPr="00817C56">
        <w:rPr>
          <w:rFonts w:eastAsia="Times New Roman"/>
        </w:rPr>
        <w:t>д).</w:t>
      </w:r>
    </w:p>
    <w:p w14:paraId="0F2E3C27" w14:textId="2054CFB5" w:rsidR="00817C56" w:rsidRPr="00817C56" w:rsidRDefault="00817C56" w:rsidP="00817C56">
      <w:pPr>
        <w:spacing w:line="252" w:lineRule="exact"/>
        <w:rPr>
          <w:rFonts w:eastAsia="Times New Roman"/>
          <w:u w:val="single"/>
        </w:rPr>
      </w:pPr>
    </w:p>
    <w:p w14:paraId="7BC665B0" w14:textId="77777777" w:rsidR="00817C56" w:rsidRPr="00817C56" w:rsidRDefault="00817C56" w:rsidP="00817C56">
      <w:pPr>
        <w:spacing w:line="252" w:lineRule="exact"/>
        <w:rPr>
          <w:rFonts w:eastAsia="Times New Roman"/>
          <w:u w:val="single"/>
        </w:rPr>
      </w:pPr>
      <w:r w:rsidRPr="00817C56">
        <w:rPr>
          <w:rFonts w:eastAsia="Times New Roman"/>
          <w:u w:val="single"/>
        </w:rPr>
        <w:t>Помощни вещества с известно действие</w:t>
      </w:r>
    </w:p>
    <w:p w14:paraId="05381E5E" w14:textId="77777777" w:rsidR="00817C56" w:rsidRPr="00817C56" w:rsidRDefault="00817C56" w:rsidP="00817C56">
      <w:pPr>
        <w:spacing w:line="252" w:lineRule="exact"/>
        <w:rPr>
          <w:rFonts w:eastAsia="Times New Roman"/>
        </w:rPr>
      </w:pPr>
      <w:r w:rsidRPr="00817C56">
        <w:rPr>
          <w:rFonts w:eastAsia="Times New Roman"/>
        </w:rPr>
        <w:t xml:space="preserve">Всяка филмирана таблетка съдържа 106 mg лактоза монохидрат. </w:t>
      </w:r>
    </w:p>
    <w:p w14:paraId="54F1BCF6" w14:textId="191628C6" w:rsidR="00817C56" w:rsidRDefault="00817C56" w:rsidP="00817C56">
      <w:pPr>
        <w:spacing w:line="252" w:lineRule="exact"/>
        <w:rPr>
          <w:rFonts w:eastAsia="Times New Roman"/>
          <w:u w:val="single"/>
        </w:rPr>
      </w:pPr>
    </w:p>
    <w:p w14:paraId="0226E5D6" w14:textId="77777777" w:rsidR="001E6C43" w:rsidRPr="00817C56" w:rsidRDefault="001E6C43" w:rsidP="00817C56">
      <w:pPr>
        <w:spacing w:line="252" w:lineRule="exact"/>
        <w:rPr>
          <w:rFonts w:eastAsia="Times New Roman"/>
          <w:u w:val="single"/>
        </w:rPr>
      </w:pPr>
    </w:p>
    <w:p w14:paraId="58EB07C7" w14:textId="77777777" w:rsidR="00992061" w:rsidRPr="00817C56" w:rsidRDefault="00817C56" w:rsidP="00817C56">
      <w:pPr>
        <w:spacing w:line="252" w:lineRule="exact"/>
        <w:rPr>
          <w:sz w:val="20"/>
          <w:szCs w:val="20"/>
        </w:rPr>
      </w:pPr>
      <w:r w:rsidRPr="00817C56">
        <w:rPr>
          <w:rFonts w:eastAsia="Times New Roman"/>
        </w:rPr>
        <w:t>За пълния списък на помощните вещества вижте точка 6.1.</w:t>
      </w:r>
    </w:p>
    <w:p w14:paraId="4B963209" w14:textId="77777777" w:rsidR="00992061" w:rsidRDefault="00992061">
      <w:pPr>
        <w:spacing w:line="200" w:lineRule="exact"/>
        <w:rPr>
          <w:sz w:val="20"/>
          <w:szCs w:val="20"/>
        </w:rPr>
      </w:pPr>
    </w:p>
    <w:p w14:paraId="5C0A6DD1" w14:textId="77777777" w:rsidR="00992061" w:rsidRDefault="00992061">
      <w:pPr>
        <w:spacing w:line="307" w:lineRule="exact"/>
        <w:rPr>
          <w:sz w:val="20"/>
          <w:szCs w:val="20"/>
        </w:rPr>
      </w:pPr>
    </w:p>
    <w:p w14:paraId="1723D002" w14:textId="77777777" w:rsidR="00992061" w:rsidRDefault="00D1402E">
      <w:pPr>
        <w:numPr>
          <w:ilvl w:val="0"/>
          <w:numId w:val="3"/>
        </w:numPr>
        <w:tabs>
          <w:tab w:val="left" w:pos="564"/>
        </w:tabs>
        <w:ind w:left="564" w:hanging="564"/>
        <w:rPr>
          <w:rFonts w:eastAsia="Times New Roman"/>
          <w:b/>
          <w:bCs/>
        </w:rPr>
      </w:pPr>
      <w:r>
        <w:rPr>
          <w:rFonts w:eastAsia="Times New Roman"/>
          <w:b/>
          <w:bCs/>
        </w:rPr>
        <w:t>ЛЕКАРСТВЕНА ФОРМА</w:t>
      </w:r>
    </w:p>
    <w:p w14:paraId="53EF917A" w14:textId="77777777" w:rsidR="00992061" w:rsidRDefault="00992061">
      <w:pPr>
        <w:spacing w:line="250" w:lineRule="exact"/>
        <w:rPr>
          <w:sz w:val="20"/>
          <w:szCs w:val="20"/>
        </w:rPr>
      </w:pPr>
    </w:p>
    <w:p w14:paraId="28ACCA5E" w14:textId="77777777" w:rsidR="00992061" w:rsidRDefault="00D1402E">
      <w:pPr>
        <w:ind w:left="4"/>
        <w:rPr>
          <w:sz w:val="20"/>
          <w:szCs w:val="20"/>
        </w:rPr>
      </w:pPr>
      <w:r>
        <w:rPr>
          <w:rFonts w:eastAsia="Times New Roman"/>
        </w:rPr>
        <w:t>Филмирана таблетка</w:t>
      </w:r>
    </w:p>
    <w:p w14:paraId="07DC31D9" w14:textId="77777777" w:rsidR="00992061" w:rsidRDefault="00992061">
      <w:pPr>
        <w:spacing w:line="253" w:lineRule="exact"/>
        <w:rPr>
          <w:sz w:val="20"/>
          <w:szCs w:val="20"/>
        </w:rPr>
      </w:pPr>
    </w:p>
    <w:p w14:paraId="25710011" w14:textId="77777777" w:rsidR="00817C56" w:rsidRPr="00BE1467" w:rsidRDefault="00817C56" w:rsidP="00817C56">
      <w:pPr>
        <w:rPr>
          <w:u w:val="single"/>
        </w:rPr>
      </w:pPr>
      <w:r w:rsidRPr="00BE1467">
        <w:rPr>
          <w:u w:val="single"/>
          <w:lang w:val="bg-BG"/>
        </w:rPr>
        <w:t>Фоклерос</w:t>
      </w:r>
      <w:r w:rsidRPr="00BE1467">
        <w:rPr>
          <w:u w:val="single"/>
        </w:rPr>
        <w:t xml:space="preserve"> 100 mg </w:t>
      </w:r>
      <w:r w:rsidRPr="00BE1467">
        <w:rPr>
          <w:u w:val="single"/>
          <w:lang w:val="bg-BG"/>
        </w:rPr>
        <w:t>филмирани таблетки</w:t>
      </w:r>
    </w:p>
    <w:p w14:paraId="7B1C426C" w14:textId="77777777" w:rsidR="00817C56" w:rsidRPr="00AE40F6" w:rsidRDefault="00817C56" w:rsidP="0097350A">
      <w:pPr>
        <w:ind w:right="-301"/>
      </w:pPr>
      <w:r>
        <w:t>Б</w:t>
      </w:r>
      <w:r>
        <w:rPr>
          <w:lang w:val="bg-BG"/>
        </w:rPr>
        <w:t xml:space="preserve">ели, кръгли, двойноизпъкнали таблетки с делителна черта от двете страни, </w:t>
      </w:r>
      <w:r w:rsidRPr="00BE1467">
        <w:rPr>
          <w:lang w:val="bg-BG"/>
        </w:rPr>
        <w:t>от едната страна на таблетката има вдлъбнато релефно озна</w:t>
      </w:r>
      <w:r>
        <w:rPr>
          <w:lang w:val="bg-BG"/>
        </w:rPr>
        <w:t>чение “E9OB” над делителна черта и “100” под делителна черта</w:t>
      </w:r>
      <w:r w:rsidRPr="00BE1467">
        <w:rPr>
          <w:lang w:val="bg-BG"/>
        </w:rPr>
        <w:t>, с диаметър приблизително 10 mm. Таблетката може да бъде разделена на равни дози</w:t>
      </w:r>
      <w:r w:rsidRPr="00AE40F6">
        <w:t>.</w:t>
      </w:r>
    </w:p>
    <w:p w14:paraId="062D168F" w14:textId="77777777" w:rsidR="00817C56" w:rsidRPr="00C85920" w:rsidRDefault="00817C56" w:rsidP="00817C56">
      <w:pPr>
        <w:rPr>
          <w:highlight w:val="lightGray"/>
        </w:rPr>
      </w:pPr>
    </w:p>
    <w:p w14:paraId="0AC72007" w14:textId="77777777" w:rsidR="00817C56" w:rsidRPr="00B37830" w:rsidRDefault="00817C56" w:rsidP="00817C56">
      <w:pPr>
        <w:rPr>
          <w:u w:val="single"/>
        </w:rPr>
      </w:pPr>
      <w:r w:rsidRPr="00B37830">
        <w:rPr>
          <w:u w:val="single"/>
          <w:lang w:val="bg-BG"/>
        </w:rPr>
        <w:t>Фоклерос</w:t>
      </w:r>
      <w:r w:rsidRPr="00B37830">
        <w:rPr>
          <w:u w:val="single"/>
        </w:rPr>
        <w:t xml:space="preserve"> 150 mg </w:t>
      </w:r>
      <w:r w:rsidRPr="00B37830">
        <w:rPr>
          <w:u w:val="single"/>
          <w:lang w:val="bg-BG"/>
        </w:rPr>
        <w:t>филмирани таблетки</w:t>
      </w:r>
      <w:r w:rsidRPr="00B37830">
        <w:rPr>
          <w:u w:val="single"/>
        </w:rPr>
        <w:t xml:space="preserve">  </w:t>
      </w:r>
    </w:p>
    <w:p w14:paraId="1424693D" w14:textId="1C453E8C" w:rsidR="00817C56" w:rsidRDefault="00817C56" w:rsidP="0097350A">
      <w:pPr>
        <w:ind w:right="-301"/>
      </w:pPr>
      <w:r w:rsidRPr="00B37830">
        <w:rPr>
          <w:lang w:val="bg-BG"/>
        </w:rPr>
        <w:t>Бели, кръгли, двойноизпъкнали таблетки с вдлъбнато релефно означение</w:t>
      </w:r>
      <w:r w:rsidR="0097350A" w:rsidRPr="00B37830">
        <w:rPr>
          <w:lang w:val="bg-BG"/>
        </w:rPr>
        <w:t xml:space="preserve"> “E9OB</w:t>
      </w:r>
      <w:r w:rsidR="0097350A" w:rsidRPr="00B37830">
        <w:t>”</w:t>
      </w:r>
      <w:r w:rsidR="0097350A" w:rsidRPr="00B37830">
        <w:rPr>
          <w:lang w:val="bg-BG"/>
        </w:rPr>
        <w:t xml:space="preserve"> </w:t>
      </w:r>
      <w:r w:rsidRPr="00B37830">
        <w:rPr>
          <w:lang w:val="bg-BG"/>
        </w:rPr>
        <w:t xml:space="preserve"> от едната страна и </w:t>
      </w:r>
      <w:r w:rsidRPr="00B37830">
        <w:t xml:space="preserve"> “150” от другата страна, </w:t>
      </w:r>
      <w:r w:rsidRPr="00B37830">
        <w:rPr>
          <w:lang w:val="bg-BG"/>
        </w:rPr>
        <w:t>с диаметър приблизително</w:t>
      </w:r>
      <w:r w:rsidRPr="00B37830">
        <w:t xml:space="preserve"> 10,4 mm.</w:t>
      </w:r>
    </w:p>
    <w:p w14:paraId="53E60195" w14:textId="77777777" w:rsidR="00817C56" w:rsidRPr="002B14B8" w:rsidRDefault="00817C56" w:rsidP="00817C56">
      <w:pPr>
        <w:rPr>
          <w:lang w:val="bg-BG"/>
        </w:rPr>
      </w:pPr>
    </w:p>
    <w:p w14:paraId="39D7825A" w14:textId="77777777" w:rsidR="00992061" w:rsidRDefault="00992061"/>
    <w:p w14:paraId="1BB08CA4" w14:textId="77777777" w:rsidR="00992061" w:rsidRDefault="00D1402E">
      <w:pPr>
        <w:numPr>
          <w:ilvl w:val="0"/>
          <w:numId w:val="4"/>
        </w:numPr>
        <w:tabs>
          <w:tab w:val="left" w:pos="564"/>
        </w:tabs>
        <w:ind w:left="564" w:hanging="564"/>
        <w:rPr>
          <w:rFonts w:eastAsia="Times New Roman"/>
          <w:b/>
          <w:bCs/>
        </w:rPr>
      </w:pPr>
      <w:bookmarkStart w:id="1" w:name="page3"/>
      <w:bookmarkEnd w:id="1"/>
      <w:r>
        <w:rPr>
          <w:rFonts w:eastAsia="Times New Roman"/>
          <w:b/>
          <w:bCs/>
        </w:rPr>
        <w:t>КЛИНИЧНИ ДАННИ</w:t>
      </w:r>
    </w:p>
    <w:p w14:paraId="5F10302A" w14:textId="77777777" w:rsidR="00992061" w:rsidRDefault="00992061">
      <w:pPr>
        <w:spacing w:line="251" w:lineRule="exact"/>
        <w:rPr>
          <w:sz w:val="20"/>
          <w:szCs w:val="20"/>
        </w:rPr>
      </w:pPr>
    </w:p>
    <w:p w14:paraId="0B14AB21" w14:textId="47034FBB" w:rsidR="006319A5" w:rsidRPr="00817C56" w:rsidRDefault="00D1402E">
      <w:pPr>
        <w:spacing w:line="376" w:lineRule="auto"/>
        <w:ind w:left="4" w:right="4509"/>
        <w:rPr>
          <w:rFonts w:eastAsia="Times New Roman"/>
          <w:b/>
          <w:bCs/>
        </w:rPr>
      </w:pPr>
      <w:r>
        <w:rPr>
          <w:rFonts w:eastAsia="Times New Roman"/>
          <w:b/>
          <w:bCs/>
          <w:sz w:val="21"/>
          <w:szCs w:val="21"/>
        </w:rPr>
        <w:t xml:space="preserve">4.1 </w:t>
      </w:r>
      <w:r w:rsidR="0097350A">
        <w:rPr>
          <w:rFonts w:eastAsia="Times New Roman"/>
          <w:b/>
          <w:bCs/>
          <w:sz w:val="21"/>
          <w:szCs w:val="21"/>
        </w:rPr>
        <w:tab/>
      </w:r>
      <w:r w:rsidRPr="00817C56">
        <w:rPr>
          <w:rFonts w:eastAsia="Times New Roman"/>
          <w:b/>
          <w:bCs/>
        </w:rPr>
        <w:t>Терапевтични показания</w:t>
      </w:r>
    </w:p>
    <w:p w14:paraId="32F5CBBC" w14:textId="77777777" w:rsidR="00992061" w:rsidRPr="00817C56" w:rsidRDefault="00D1402E" w:rsidP="0097350A">
      <w:pPr>
        <w:spacing w:line="376" w:lineRule="auto"/>
        <w:ind w:left="4" w:right="-443"/>
      </w:pPr>
      <w:r w:rsidRPr="00817C56">
        <w:rPr>
          <w:rFonts w:eastAsia="Times New Roman"/>
          <w:u w:val="single"/>
        </w:rPr>
        <w:t xml:space="preserve"> Нед</w:t>
      </w:r>
      <w:r w:rsidR="00817C56">
        <w:rPr>
          <w:rFonts w:eastAsia="Times New Roman"/>
          <w:u w:val="single"/>
        </w:rPr>
        <w:t xml:space="preserve">ребноклетъчен рак на белия дроб </w:t>
      </w:r>
      <w:r w:rsidRPr="00817C56">
        <w:rPr>
          <w:rFonts w:eastAsia="Times New Roman"/>
          <w:u w:val="single"/>
        </w:rPr>
        <w:t>(НДКРБД)</w:t>
      </w:r>
    </w:p>
    <w:p w14:paraId="1A95AE5C" w14:textId="77777777" w:rsidR="00992061" w:rsidRPr="00817C56" w:rsidRDefault="00992061" w:rsidP="0097350A">
      <w:pPr>
        <w:spacing w:line="1" w:lineRule="exact"/>
        <w:ind w:right="-443"/>
      </w:pPr>
    </w:p>
    <w:p w14:paraId="7B4EC8B3" w14:textId="27CC0C39" w:rsidR="00992061" w:rsidRPr="00817C56" w:rsidRDefault="001E6C43" w:rsidP="0097350A">
      <w:pPr>
        <w:ind w:right="-443"/>
      </w:pPr>
      <w:r>
        <w:rPr>
          <w:rFonts w:eastAsia="Times New Roman"/>
          <w:lang w:val="bg-BG"/>
        </w:rPr>
        <w:t>Фоклерос</w:t>
      </w:r>
      <w:r w:rsidR="00D1402E" w:rsidRPr="00817C56">
        <w:rPr>
          <w:rFonts w:eastAsia="Times New Roman"/>
        </w:rPr>
        <w:t xml:space="preserve"> е показан за лечение от първа линия на пациенти с локално авансирал или метастазирал недребноклетъчен рак на белите дробове (НДКРБД) с EGFR активиращи мутации.</w:t>
      </w:r>
    </w:p>
    <w:p w14:paraId="18766D98" w14:textId="77777777" w:rsidR="00992061" w:rsidRDefault="00992061" w:rsidP="0097350A">
      <w:pPr>
        <w:spacing w:line="147" w:lineRule="exact"/>
        <w:ind w:right="-443"/>
        <w:rPr>
          <w:sz w:val="20"/>
          <w:szCs w:val="20"/>
        </w:rPr>
      </w:pPr>
    </w:p>
    <w:p w14:paraId="12572FB9" w14:textId="3FA4DF74" w:rsidR="00992061" w:rsidRDefault="001E6C43" w:rsidP="0097350A">
      <w:pPr>
        <w:spacing w:line="259" w:lineRule="auto"/>
        <w:ind w:left="4" w:right="-443"/>
        <w:rPr>
          <w:sz w:val="20"/>
          <w:szCs w:val="20"/>
        </w:rPr>
      </w:pPr>
      <w:r>
        <w:rPr>
          <w:rFonts w:eastAsia="Times New Roman"/>
          <w:lang w:val="bg-BG"/>
        </w:rPr>
        <w:t>Фоклерос</w:t>
      </w:r>
      <w:r w:rsidR="00D1402E">
        <w:rPr>
          <w:rFonts w:eastAsia="Times New Roman"/>
        </w:rPr>
        <w:t xml:space="preserve"> e показан също и за поддържащо лечение (с превключване) при пациенти с локално авансирал или метастазирал НДКРБД с EGFR активиращи мутации и стабилно заболяване след химиотерапия от първа линия.</w:t>
      </w:r>
    </w:p>
    <w:p w14:paraId="35CE74F8" w14:textId="77777777" w:rsidR="00992061" w:rsidRDefault="00992061" w:rsidP="0097350A">
      <w:pPr>
        <w:spacing w:line="189" w:lineRule="exact"/>
        <w:ind w:right="-443"/>
        <w:rPr>
          <w:sz w:val="20"/>
          <w:szCs w:val="20"/>
        </w:rPr>
      </w:pPr>
    </w:p>
    <w:p w14:paraId="4C6A20BD" w14:textId="50B8D002" w:rsidR="00992061" w:rsidRDefault="001E6C43" w:rsidP="0097350A">
      <w:pPr>
        <w:spacing w:line="254" w:lineRule="auto"/>
        <w:ind w:left="4" w:right="-443"/>
        <w:rPr>
          <w:sz w:val="20"/>
          <w:szCs w:val="20"/>
        </w:rPr>
      </w:pPr>
      <w:r>
        <w:rPr>
          <w:rFonts w:eastAsia="Times New Roman"/>
          <w:lang w:val="bg-BG"/>
        </w:rPr>
        <w:t>Фоклерос</w:t>
      </w:r>
      <w:r w:rsidR="00D1402E">
        <w:rPr>
          <w:rFonts w:eastAsia="Times New Roman"/>
        </w:rPr>
        <w:t xml:space="preserve"> е показан също и за лечение на пациенти с локално авансирал или метастазирал НДКРБД след неуспех на поне една схема на химиотерапевтично лечение преди това. </w:t>
      </w:r>
      <w:r>
        <w:rPr>
          <w:rFonts w:eastAsia="Times New Roman"/>
          <w:lang w:val="bg-BG"/>
        </w:rPr>
        <w:t>Фоклерос</w:t>
      </w:r>
      <w:r>
        <w:rPr>
          <w:rFonts w:eastAsia="Times New Roman"/>
        </w:rPr>
        <w:t xml:space="preserve"> </w:t>
      </w:r>
      <w:r w:rsidR="00D1402E">
        <w:rPr>
          <w:rFonts w:eastAsia="Times New Roman"/>
        </w:rPr>
        <w:t>a е показан при пациенти с тумори без EGFR активиращи мутации, когато други възможности за лечение се считат за неподходящи.</w:t>
      </w:r>
    </w:p>
    <w:p w14:paraId="1E76D9EA" w14:textId="77777777" w:rsidR="00992061" w:rsidRDefault="00992061" w:rsidP="0097350A">
      <w:pPr>
        <w:spacing w:line="196" w:lineRule="exact"/>
        <w:ind w:right="-443"/>
        <w:rPr>
          <w:sz w:val="20"/>
          <w:szCs w:val="20"/>
        </w:rPr>
      </w:pPr>
    </w:p>
    <w:p w14:paraId="5092A506" w14:textId="65109D9E" w:rsidR="00992061" w:rsidRDefault="00D1402E" w:rsidP="0097350A">
      <w:pPr>
        <w:spacing w:line="281" w:lineRule="auto"/>
        <w:ind w:left="4" w:right="-443"/>
        <w:rPr>
          <w:sz w:val="20"/>
          <w:szCs w:val="20"/>
        </w:rPr>
      </w:pPr>
      <w:r>
        <w:rPr>
          <w:rFonts w:eastAsia="Times New Roman"/>
        </w:rPr>
        <w:lastRenderedPageBreak/>
        <w:t xml:space="preserve">Когато се предписва </w:t>
      </w:r>
      <w:r w:rsidR="001E6C43">
        <w:rPr>
          <w:rFonts w:eastAsia="Times New Roman"/>
          <w:lang w:val="bg-BG"/>
        </w:rPr>
        <w:t>Фоклерос</w:t>
      </w:r>
      <w:r>
        <w:rPr>
          <w:rFonts w:eastAsia="Times New Roman"/>
        </w:rPr>
        <w:t>, трябва да се вземат предвид факторите, свързани с продължителната преживяемост.</w:t>
      </w:r>
    </w:p>
    <w:p w14:paraId="24D1A7CE" w14:textId="77777777" w:rsidR="00992061" w:rsidRDefault="00992061">
      <w:pPr>
        <w:spacing w:line="166" w:lineRule="exact"/>
        <w:rPr>
          <w:sz w:val="20"/>
          <w:szCs w:val="20"/>
        </w:rPr>
      </w:pPr>
    </w:p>
    <w:p w14:paraId="1A1F4E66" w14:textId="77777777" w:rsidR="00992061" w:rsidRDefault="00D1402E">
      <w:pPr>
        <w:spacing w:line="259" w:lineRule="auto"/>
        <w:ind w:left="4" w:right="229"/>
        <w:rPr>
          <w:sz w:val="20"/>
          <w:szCs w:val="20"/>
        </w:rPr>
      </w:pPr>
      <w:r>
        <w:rPr>
          <w:rFonts w:eastAsia="Times New Roman"/>
        </w:rPr>
        <w:t>Не е установена полза по отношение на преживяемостта или други клинично значими ефекти на лечението при пациенти с рецептор на епидермалния растежен фактор (EGFR)-IHC отрицателни тумори (вж. точка 5.1).</w:t>
      </w:r>
    </w:p>
    <w:p w14:paraId="3E0F5A40" w14:textId="77777777" w:rsidR="00992061" w:rsidRDefault="00992061">
      <w:pPr>
        <w:spacing w:line="195" w:lineRule="exact"/>
        <w:rPr>
          <w:sz w:val="20"/>
          <w:szCs w:val="20"/>
        </w:rPr>
      </w:pPr>
    </w:p>
    <w:p w14:paraId="6E060FC1" w14:textId="77777777" w:rsidR="00992061" w:rsidRDefault="00D1402E">
      <w:pPr>
        <w:ind w:left="4"/>
        <w:rPr>
          <w:sz w:val="20"/>
          <w:szCs w:val="20"/>
        </w:rPr>
      </w:pPr>
      <w:r>
        <w:rPr>
          <w:rFonts w:eastAsia="Times New Roman"/>
          <w:u w:val="single"/>
        </w:rPr>
        <w:t>Рак на панкреаса</w:t>
      </w:r>
    </w:p>
    <w:p w14:paraId="79975C64" w14:textId="77777777" w:rsidR="00992061" w:rsidRDefault="00992061">
      <w:pPr>
        <w:spacing w:line="1" w:lineRule="exact"/>
        <w:rPr>
          <w:sz w:val="20"/>
          <w:szCs w:val="20"/>
        </w:rPr>
      </w:pPr>
    </w:p>
    <w:p w14:paraId="3EC05D24" w14:textId="2B90B41E" w:rsidR="00992061" w:rsidRDefault="001E6C43">
      <w:pPr>
        <w:spacing w:line="277" w:lineRule="auto"/>
        <w:ind w:left="4" w:right="389"/>
        <w:rPr>
          <w:sz w:val="20"/>
          <w:szCs w:val="20"/>
        </w:rPr>
      </w:pPr>
      <w:r>
        <w:rPr>
          <w:rFonts w:eastAsia="Times New Roman"/>
          <w:lang w:val="bg-BG"/>
        </w:rPr>
        <w:t>Фоклерос</w:t>
      </w:r>
      <w:r w:rsidR="00D1402E">
        <w:rPr>
          <w:rFonts w:eastAsia="Times New Roman"/>
        </w:rPr>
        <w:t xml:space="preserve"> в комбинация с гемцитабин е показан за лечение на пациенти с метастазирал рак на панкреаса.</w:t>
      </w:r>
    </w:p>
    <w:p w14:paraId="74C20ECF" w14:textId="77777777" w:rsidR="00992061" w:rsidRDefault="00992061">
      <w:pPr>
        <w:spacing w:line="174" w:lineRule="exact"/>
        <w:rPr>
          <w:sz w:val="20"/>
          <w:szCs w:val="20"/>
        </w:rPr>
      </w:pPr>
    </w:p>
    <w:p w14:paraId="53BF0825" w14:textId="31D61902" w:rsidR="00992061" w:rsidRDefault="00D1402E" w:rsidP="001E6C43">
      <w:pPr>
        <w:spacing w:line="277" w:lineRule="auto"/>
        <w:ind w:left="4" w:right="-443"/>
        <w:rPr>
          <w:sz w:val="20"/>
          <w:szCs w:val="20"/>
        </w:rPr>
      </w:pPr>
      <w:r>
        <w:rPr>
          <w:rFonts w:eastAsia="Times New Roman"/>
        </w:rPr>
        <w:t xml:space="preserve">Когато се предписва </w:t>
      </w:r>
      <w:r w:rsidR="001E6C43">
        <w:rPr>
          <w:rFonts w:eastAsia="Times New Roman"/>
          <w:lang w:val="bg-BG"/>
        </w:rPr>
        <w:t>Фоклерос</w:t>
      </w:r>
      <w:r>
        <w:rPr>
          <w:rFonts w:eastAsia="Times New Roman"/>
        </w:rPr>
        <w:t>, трябва да се имат предвид факторите, свързани с продължителната преживяемост (вж. точки 4.2 и 5.1).</w:t>
      </w:r>
    </w:p>
    <w:p w14:paraId="62A8517A" w14:textId="77777777" w:rsidR="00992061" w:rsidRDefault="00992061">
      <w:pPr>
        <w:spacing w:line="174" w:lineRule="exact"/>
        <w:rPr>
          <w:sz w:val="20"/>
          <w:szCs w:val="20"/>
        </w:rPr>
      </w:pPr>
    </w:p>
    <w:p w14:paraId="6E4A8D95" w14:textId="77777777" w:rsidR="00992061" w:rsidRDefault="00D1402E" w:rsidP="001E6C43">
      <w:pPr>
        <w:spacing w:line="277" w:lineRule="auto"/>
        <w:ind w:left="4" w:right="-443"/>
        <w:rPr>
          <w:sz w:val="20"/>
          <w:szCs w:val="20"/>
        </w:rPr>
      </w:pPr>
      <w:r>
        <w:rPr>
          <w:rFonts w:eastAsia="Times New Roman"/>
        </w:rPr>
        <w:t>Не се доказва предимство по отношение на преживяемостта при пациенти с локално авансирало заболяване.</w:t>
      </w:r>
    </w:p>
    <w:p w14:paraId="3D268C48" w14:textId="77777777" w:rsidR="00992061" w:rsidRDefault="00992061">
      <w:pPr>
        <w:spacing w:line="176" w:lineRule="exact"/>
        <w:rPr>
          <w:sz w:val="20"/>
          <w:szCs w:val="20"/>
        </w:rPr>
      </w:pPr>
    </w:p>
    <w:p w14:paraId="0AE08971" w14:textId="77777777" w:rsidR="00992061" w:rsidRDefault="00D1402E">
      <w:pPr>
        <w:tabs>
          <w:tab w:val="left" w:pos="543"/>
        </w:tabs>
        <w:ind w:left="4"/>
        <w:rPr>
          <w:sz w:val="20"/>
          <w:szCs w:val="20"/>
        </w:rPr>
      </w:pPr>
      <w:r>
        <w:rPr>
          <w:rFonts w:eastAsia="Times New Roman"/>
          <w:b/>
          <w:bCs/>
        </w:rPr>
        <w:t>4.2</w:t>
      </w:r>
      <w:r>
        <w:rPr>
          <w:sz w:val="20"/>
          <w:szCs w:val="20"/>
        </w:rPr>
        <w:tab/>
      </w:r>
      <w:r>
        <w:rPr>
          <w:rFonts w:eastAsia="Times New Roman"/>
          <w:b/>
          <w:bCs/>
        </w:rPr>
        <w:t>Дозировка и начин на приложение</w:t>
      </w:r>
    </w:p>
    <w:p w14:paraId="63055B03" w14:textId="77777777" w:rsidR="00992061" w:rsidRDefault="00992061">
      <w:pPr>
        <w:spacing w:line="250" w:lineRule="exact"/>
        <w:rPr>
          <w:sz w:val="20"/>
          <w:szCs w:val="20"/>
        </w:rPr>
      </w:pPr>
    </w:p>
    <w:p w14:paraId="5F816D50" w14:textId="67350827" w:rsidR="00992061" w:rsidRDefault="00D1402E" w:rsidP="0097350A">
      <w:pPr>
        <w:spacing w:line="281" w:lineRule="auto"/>
        <w:ind w:left="4" w:right="-584"/>
        <w:rPr>
          <w:sz w:val="20"/>
          <w:szCs w:val="20"/>
        </w:rPr>
      </w:pPr>
      <w:r>
        <w:rPr>
          <w:rFonts w:eastAsia="Times New Roman"/>
        </w:rPr>
        <w:t xml:space="preserve">Лечението с </w:t>
      </w:r>
      <w:r w:rsidR="001E6C43">
        <w:rPr>
          <w:rFonts w:eastAsia="Times New Roman"/>
          <w:lang w:val="bg-BG"/>
        </w:rPr>
        <w:t>Фоклерос</w:t>
      </w:r>
      <w:r>
        <w:rPr>
          <w:rFonts w:eastAsia="Times New Roman"/>
        </w:rPr>
        <w:t xml:space="preserve"> трябва да бъде наблюдавано от лекар с опит в приложението на противоракова терапия.</w:t>
      </w:r>
    </w:p>
    <w:p w14:paraId="034B6D22" w14:textId="77777777" w:rsidR="00992061" w:rsidRDefault="00992061">
      <w:pPr>
        <w:spacing w:line="167" w:lineRule="exact"/>
        <w:rPr>
          <w:sz w:val="20"/>
          <w:szCs w:val="20"/>
        </w:rPr>
      </w:pPr>
    </w:p>
    <w:p w14:paraId="7FA6675F" w14:textId="77777777" w:rsidR="00992061" w:rsidRDefault="00D1402E">
      <w:pPr>
        <w:ind w:left="4"/>
        <w:rPr>
          <w:sz w:val="20"/>
          <w:szCs w:val="20"/>
        </w:rPr>
      </w:pPr>
      <w:r>
        <w:rPr>
          <w:rFonts w:eastAsia="Times New Roman"/>
          <w:u w:val="single"/>
        </w:rPr>
        <w:t>Пациенти с недребноклетъчен рак на белия дроб</w:t>
      </w:r>
    </w:p>
    <w:p w14:paraId="2DD8A64B" w14:textId="77777777" w:rsidR="00992061" w:rsidRDefault="00992061">
      <w:pPr>
        <w:spacing w:line="1" w:lineRule="exact"/>
        <w:rPr>
          <w:sz w:val="20"/>
          <w:szCs w:val="20"/>
        </w:rPr>
      </w:pPr>
    </w:p>
    <w:p w14:paraId="6B7062AF" w14:textId="77777777" w:rsidR="00992061" w:rsidRDefault="00D1402E">
      <w:pPr>
        <w:ind w:left="4"/>
        <w:rPr>
          <w:sz w:val="20"/>
          <w:szCs w:val="20"/>
        </w:rPr>
      </w:pPr>
      <w:r>
        <w:rPr>
          <w:rFonts w:eastAsia="Times New Roman"/>
        </w:rPr>
        <w:t>Трябва да се извърши изследване за EGFR мутация в съответствие с одобрените показания (вж.</w:t>
      </w:r>
    </w:p>
    <w:p w14:paraId="5186D2CD" w14:textId="77777777" w:rsidR="00992061" w:rsidRDefault="00992061">
      <w:pPr>
        <w:spacing w:line="1" w:lineRule="exact"/>
        <w:rPr>
          <w:sz w:val="20"/>
          <w:szCs w:val="20"/>
        </w:rPr>
      </w:pPr>
    </w:p>
    <w:p w14:paraId="3C51ECCC" w14:textId="77777777" w:rsidR="00992061" w:rsidRDefault="00D1402E">
      <w:pPr>
        <w:ind w:left="4"/>
        <w:rPr>
          <w:sz w:val="20"/>
          <w:szCs w:val="20"/>
        </w:rPr>
      </w:pPr>
      <w:r>
        <w:rPr>
          <w:rFonts w:eastAsia="Times New Roman"/>
        </w:rPr>
        <w:t>точка 4.1).</w:t>
      </w:r>
    </w:p>
    <w:p w14:paraId="55F497A2" w14:textId="512307BB" w:rsidR="00992061" w:rsidRPr="00B37830" w:rsidRDefault="00D1402E" w:rsidP="00B37830">
      <w:pPr>
        <w:spacing w:line="239" w:lineRule="auto"/>
        <w:ind w:left="4" w:right="69"/>
        <w:rPr>
          <w:rFonts w:eastAsia="Times New Roman"/>
        </w:rPr>
      </w:pPr>
      <w:r>
        <w:rPr>
          <w:rFonts w:eastAsia="Times New Roman"/>
        </w:rPr>
        <w:t xml:space="preserve">Препоръчителната дневна доза </w:t>
      </w:r>
      <w:r w:rsidR="001E6C43" w:rsidRPr="00B37830">
        <w:rPr>
          <w:rFonts w:eastAsia="Times New Roman"/>
        </w:rPr>
        <w:t>Фоклерос</w:t>
      </w:r>
      <w:r>
        <w:rPr>
          <w:rFonts w:eastAsia="Times New Roman"/>
        </w:rPr>
        <w:t xml:space="preserve"> е 150 mg, приета най-малко един час преди или два часа след хранене.</w:t>
      </w:r>
    </w:p>
    <w:p w14:paraId="2369F5C6" w14:textId="77777777" w:rsidR="00992061" w:rsidRDefault="00992061">
      <w:pPr>
        <w:spacing w:line="166" w:lineRule="exact"/>
        <w:rPr>
          <w:sz w:val="20"/>
          <w:szCs w:val="20"/>
        </w:rPr>
      </w:pPr>
    </w:p>
    <w:p w14:paraId="33067131" w14:textId="77777777" w:rsidR="00992061" w:rsidRDefault="00D1402E">
      <w:pPr>
        <w:ind w:left="4"/>
        <w:rPr>
          <w:sz w:val="20"/>
          <w:szCs w:val="20"/>
        </w:rPr>
      </w:pPr>
      <w:r>
        <w:rPr>
          <w:rFonts w:eastAsia="Times New Roman"/>
          <w:u w:val="single"/>
        </w:rPr>
        <w:t>Пациенти с рак на панкреаса</w:t>
      </w:r>
    </w:p>
    <w:p w14:paraId="19312A7D" w14:textId="77777777" w:rsidR="00992061" w:rsidRDefault="00992061">
      <w:pPr>
        <w:spacing w:line="1" w:lineRule="exact"/>
        <w:rPr>
          <w:sz w:val="20"/>
          <w:szCs w:val="20"/>
        </w:rPr>
      </w:pPr>
    </w:p>
    <w:p w14:paraId="0E37AE0B" w14:textId="614F8BBF" w:rsidR="00992061" w:rsidRDefault="00D1402E">
      <w:pPr>
        <w:spacing w:line="239" w:lineRule="auto"/>
        <w:ind w:left="4" w:right="69"/>
        <w:rPr>
          <w:sz w:val="20"/>
          <w:szCs w:val="20"/>
        </w:rPr>
      </w:pPr>
      <w:r>
        <w:rPr>
          <w:rFonts w:eastAsia="Times New Roman"/>
        </w:rPr>
        <w:t xml:space="preserve">Препоръчителната дневна доза </w:t>
      </w:r>
      <w:r w:rsidR="001E6C43">
        <w:rPr>
          <w:rFonts w:eastAsia="Times New Roman"/>
          <w:lang w:val="bg-BG"/>
        </w:rPr>
        <w:t>Фоклерос</w:t>
      </w:r>
      <w:r>
        <w:rPr>
          <w:rFonts w:eastAsia="Times New Roman"/>
        </w:rPr>
        <w:t xml:space="preserve"> е 100 mg, приемана най-малко един час преди или два часа след хранене, в комбинация с гемцитабин (вж. показанието за рак на панкреаса в Кратката характеристика на продукта на гемцитабин).</w:t>
      </w:r>
    </w:p>
    <w:p w14:paraId="091C8B0E" w14:textId="77777777" w:rsidR="00992061" w:rsidRDefault="00992061">
      <w:pPr>
        <w:spacing w:line="2" w:lineRule="exact"/>
        <w:rPr>
          <w:sz w:val="20"/>
          <w:szCs w:val="20"/>
        </w:rPr>
      </w:pPr>
    </w:p>
    <w:p w14:paraId="113A2055" w14:textId="421456F1" w:rsidR="00992061" w:rsidRDefault="00D1402E" w:rsidP="00B37830">
      <w:pPr>
        <w:spacing w:line="239" w:lineRule="auto"/>
        <w:ind w:left="4" w:right="69"/>
        <w:rPr>
          <w:rFonts w:eastAsia="Times New Roman"/>
        </w:rPr>
      </w:pPr>
      <w:r>
        <w:rPr>
          <w:rFonts w:eastAsia="Times New Roman"/>
        </w:rPr>
        <w:t xml:space="preserve">При пациенти, които не развият обрив до първите 4 – 8 седмици на терапия, по-нататъшното лечение с </w:t>
      </w:r>
      <w:r w:rsidR="001E6C43" w:rsidRPr="00B37830">
        <w:rPr>
          <w:rFonts w:eastAsia="Times New Roman"/>
        </w:rPr>
        <w:t>Фоклерос</w:t>
      </w:r>
      <w:r>
        <w:rPr>
          <w:rFonts w:eastAsia="Times New Roman"/>
        </w:rPr>
        <w:t xml:space="preserve"> трябва да се преоцени (вж. точка 5.1).</w:t>
      </w:r>
    </w:p>
    <w:p w14:paraId="21582BE0" w14:textId="77777777" w:rsidR="0097350A" w:rsidRDefault="0097350A" w:rsidP="0097350A">
      <w:pPr>
        <w:spacing w:line="281" w:lineRule="auto"/>
        <w:ind w:left="4" w:right="289"/>
        <w:rPr>
          <w:sz w:val="20"/>
          <w:szCs w:val="20"/>
        </w:rPr>
      </w:pPr>
    </w:p>
    <w:p w14:paraId="53D6388B" w14:textId="5E607AB3" w:rsidR="00992061" w:rsidRDefault="00D1402E" w:rsidP="00B37830">
      <w:pPr>
        <w:ind w:left="4" w:right="-1274"/>
        <w:rPr>
          <w:sz w:val="20"/>
          <w:szCs w:val="20"/>
        </w:rPr>
      </w:pPr>
      <w:r>
        <w:rPr>
          <w:rFonts w:eastAsia="Times New Roman"/>
        </w:rPr>
        <w:t>Когато е необходимо коригиране на дозата, дозата трябва да се намалява с по 50 mg (вж.</w:t>
      </w:r>
      <w:r w:rsidR="004C1E81">
        <w:rPr>
          <w:rFonts w:eastAsia="Times New Roman"/>
        </w:rPr>
        <w:t xml:space="preserve"> </w:t>
      </w:r>
      <w:r>
        <w:rPr>
          <w:rFonts w:eastAsia="Times New Roman"/>
        </w:rPr>
        <w:t>точка 4.4).</w:t>
      </w:r>
    </w:p>
    <w:p w14:paraId="5C4411F3" w14:textId="77777777" w:rsidR="00992061" w:rsidRDefault="00992061">
      <w:pPr>
        <w:spacing w:line="1" w:lineRule="exact"/>
        <w:rPr>
          <w:sz w:val="20"/>
          <w:szCs w:val="20"/>
        </w:rPr>
      </w:pPr>
    </w:p>
    <w:p w14:paraId="3A716EDF" w14:textId="77777777" w:rsidR="00992061" w:rsidRDefault="00817C56">
      <w:pPr>
        <w:ind w:left="4"/>
        <w:rPr>
          <w:sz w:val="20"/>
          <w:szCs w:val="20"/>
        </w:rPr>
      </w:pPr>
      <w:r>
        <w:rPr>
          <w:rFonts w:eastAsia="Times New Roman"/>
          <w:lang w:val="bg-BG"/>
        </w:rPr>
        <w:t>Фокрелос се предлага в дози от</w:t>
      </w:r>
      <w:r w:rsidR="00D1402E">
        <w:rPr>
          <w:rFonts w:eastAsia="Times New Roman"/>
        </w:rPr>
        <w:t xml:space="preserve"> 100 mg и 150 mg.</w:t>
      </w:r>
    </w:p>
    <w:p w14:paraId="2CB72174" w14:textId="77777777" w:rsidR="00992061" w:rsidRDefault="00D1402E" w:rsidP="00817C56">
      <w:pPr>
        <w:spacing w:line="281" w:lineRule="auto"/>
        <w:ind w:right="-174"/>
        <w:rPr>
          <w:sz w:val="20"/>
          <w:szCs w:val="20"/>
        </w:rPr>
      </w:pPr>
      <w:bookmarkStart w:id="2" w:name="page4"/>
      <w:bookmarkEnd w:id="2"/>
      <w:r>
        <w:rPr>
          <w:rFonts w:eastAsia="Times New Roman"/>
        </w:rPr>
        <w:t xml:space="preserve">Съпътстващото приложение на субстрати на CYP3A4 и модулатори може да </w:t>
      </w:r>
      <w:r w:rsidR="00817C56">
        <w:rPr>
          <w:rFonts w:eastAsia="Times New Roman"/>
          <w:lang w:val="bg-BG"/>
        </w:rPr>
        <w:t>н</w:t>
      </w:r>
      <w:r>
        <w:rPr>
          <w:rFonts w:eastAsia="Times New Roman"/>
        </w:rPr>
        <w:t>аложи коригиране на дозата (вж. точка 4.5).</w:t>
      </w:r>
    </w:p>
    <w:p w14:paraId="088B1AB6" w14:textId="77777777" w:rsidR="00992061" w:rsidRPr="0097350A" w:rsidRDefault="00992061">
      <w:pPr>
        <w:spacing w:line="167" w:lineRule="exact"/>
        <w:rPr>
          <w:sz w:val="20"/>
          <w:szCs w:val="20"/>
          <w:u w:val="single"/>
        </w:rPr>
      </w:pPr>
    </w:p>
    <w:p w14:paraId="5B8C7B1A" w14:textId="77777777" w:rsidR="00992061" w:rsidRPr="0097350A" w:rsidRDefault="00D1402E">
      <w:pPr>
        <w:rPr>
          <w:sz w:val="20"/>
          <w:szCs w:val="20"/>
          <w:u w:val="single"/>
        </w:rPr>
      </w:pPr>
      <w:r w:rsidRPr="0097350A">
        <w:rPr>
          <w:rFonts w:eastAsia="Times New Roman"/>
          <w:iCs/>
          <w:u w:val="single"/>
        </w:rPr>
        <w:t>Чернодробно увреждане</w:t>
      </w:r>
    </w:p>
    <w:p w14:paraId="375B7D1F" w14:textId="5D4E2C45" w:rsidR="00992061" w:rsidRDefault="00D1402E">
      <w:pPr>
        <w:spacing w:line="245" w:lineRule="auto"/>
        <w:ind w:right="129"/>
        <w:rPr>
          <w:sz w:val="20"/>
          <w:szCs w:val="20"/>
        </w:rPr>
      </w:pPr>
      <w:r>
        <w:rPr>
          <w:rFonts w:eastAsia="Times New Roman"/>
        </w:rPr>
        <w:t xml:space="preserve">Eрлотиниб се елиминира чрез чернодробен метаболизъм и билиарна екскреция. Въпреки че експозицията на ерлотиниб е подобна при пациенти с умерено увредена чернодробна функция (Child-Pugh скор 7-9) в сравнение с пациенти с нормална чернодробна функция, се изисква внимание, когато </w:t>
      </w:r>
      <w:r w:rsidR="001E6C43">
        <w:rPr>
          <w:rFonts w:eastAsia="Times New Roman"/>
          <w:lang w:val="bg-BG"/>
        </w:rPr>
        <w:t>Фоклерос</w:t>
      </w:r>
      <w:r>
        <w:rPr>
          <w:rFonts w:eastAsia="Times New Roman"/>
        </w:rPr>
        <w:t xml:space="preserve"> се прилага при пациенти с чернодробно увреждане. При поява на тежки нежелани реакции трябва да се обмисли намаляване на дозата или преустановяване на </w:t>
      </w:r>
      <w:r w:rsidR="001E6C43">
        <w:rPr>
          <w:rFonts w:eastAsia="Times New Roman"/>
          <w:lang w:val="bg-BG"/>
        </w:rPr>
        <w:t>Фоклерос</w:t>
      </w:r>
      <w:r>
        <w:rPr>
          <w:rFonts w:eastAsia="Times New Roman"/>
        </w:rPr>
        <w:t xml:space="preserve">. Безопасността и ефикасността на ерлотиниб не са проучени при пациенти с тежка чернодробна дисфункция (AST/SGOT и ALT/SGPT &gt; 5 x ULN). Употребата на </w:t>
      </w:r>
      <w:r w:rsidR="001E6C43">
        <w:rPr>
          <w:rFonts w:eastAsia="Times New Roman"/>
          <w:lang w:val="bg-BG"/>
        </w:rPr>
        <w:t>Фоклерос</w:t>
      </w:r>
      <w:r>
        <w:rPr>
          <w:rFonts w:eastAsia="Times New Roman"/>
        </w:rPr>
        <w:t xml:space="preserve"> при пациенти с тежка чернодробна дисфункция не се препоръчва (вж. точка 5.2).</w:t>
      </w:r>
    </w:p>
    <w:p w14:paraId="4BDBDE96" w14:textId="77777777" w:rsidR="00992061" w:rsidRDefault="00992061">
      <w:pPr>
        <w:spacing w:line="210" w:lineRule="exact"/>
        <w:rPr>
          <w:sz w:val="20"/>
          <w:szCs w:val="20"/>
        </w:rPr>
      </w:pPr>
    </w:p>
    <w:p w14:paraId="4CF6EF8B" w14:textId="77777777" w:rsidR="00992061" w:rsidRPr="0097350A" w:rsidRDefault="00D1402E">
      <w:pPr>
        <w:rPr>
          <w:sz w:val="20"/>
          <w:szCs w:val="20"/>
          <w:u w:val="single"/>
        </w:rPr>
      </w:pPr>
      <w:r w:rsidRPr="0097350A">
        <w:rPr>
          <w:rFonts w:eastAsia="Times New Roman"/>
          <w:iCs/>
          <w:u w:val="single"/>
        </w:rPr>
        <w:t>Бъбречно увреждане</w:t>
      </w:r>
    </w:p>
    <w:p w14:paraId="3850732D" w14:textId="4CBE1423" w:rsidR="00992061" w:rsidRDefault="00D1402E">
      <w:pPr>
        <w:spacing w:line="250" w:lineRule="auto"/>
        <w:ind w:right="289"/>
        <w:rPr>
          <w:sz w:val="20"/>
          <w:szCs w:val="20"/>
        </w:rPr>
      </w:pPr>
      <w:r>
        <w:rPr>
          <w:rFonts w:eastAsia="Times New Roman"/>
        </w:rPr>
        <w:t xml:space="preserve">Безопасността и ефикасността на ерлотиниб не са проучени при пациенти с бъбречно увреждане (концентрация на серумен креатинин &gt;1,5 пъти над горната граница на нормата). Въз основа на фармакокинетичните данни изглежда няма нужда от коригиране на дозата при пациенти с леко до умерено бъбречно увреждане (вж. точка 5.2). Употребата на </w:t>
      </w:r>
      <w:r w:rsidR="001E6C43">
        <w:rPr>
          <w:rFonts w:eastAsia="Times New Roman"/>
          <w:lang w:val="bg-BG"/>
        </w:rPr>
        <w:t>Фоклерос</w:t>
      </w:r>
      <w:r>
        <w:rPr>
          <w:rFonts w:eastAsia="Times New Roman"/>
        </w:rPr>
        <w:t xml:space="preserve"> при пациенти с тежко бъбречно увреждане не се препоръчва.</w:t>
      </w:r>
    </w:p>
    <w:p w14:paraId="015F4A5C" w14:textId="77777777" w:rsidR="00992061" w:rsidRDefault="00992061">
      <w:pPr>
        <w:spacing w:line="200" w:lineRule="exact"/>
        <w:rPr>
          <w:sz w:val="20"/>
          <w:szCs w:val="20"/>
        </w:rPr>
      </w:pPr>
    </w:p>
    <w:p w14:paraId="24E7B14E" w14:textId="77777777" w:rsidR="004C1E81" w:rsidRDefault="004C1E81">
      <w:pPr>
        <w:rPr>
          <w:rFonts w:eastAsia="Times New Roman"/>
          <w:iCs/>
          <w:u w:val="single"/>
        </w:rPr>
      </w:pPr>
    </w:p>
    <w:p w14:paraId="11C3598C" w14:textId="77777777" w:rsidR="004C1E81" w:rsidRDefault="004C1E81">
      <w:pPr>
        <w:rPr>
          <w:rFonts w:eastAsia="Times New Roman"/>
          <w:iCs/>
          <w:u w:val="single"/>
        </w:rPr>
      </w:pPr>
    </w:p>
    <w:p w14:paraId="0CAC4EF3" w14:textId="77777777" w:rsidR="004C1E81" w:rsidRDefault="004C1E81">
      <w:pPr>
        <w:rPr>
          <w:rFonts w:eastAsia="Times New Roman"/>
          <w:iCs/>
          <w:u w:val="single"/>
        </w:rPr>
      </w:pPr>
    </w:p>
    <w:p w14:paraId="3FB46A10" w14:textId="58388DFF" w:rsidR="00992061" w:rsidRPr="0075195B" w:rsidRDefault="00D1402E">
      <w:pPr>
        <w:rPr>
          <w:sz w:val="20"/>
          <w:szCs w:val="20"/>
          <w:u w:val="single"/>
        </w:rPr>
      </w:pPr>
      <w:r w:rsidRPr="0075195B">
        <w:rPr>
          <w:rFonts w:eastAsia="Times New Roman"/>
          <w:iCs/>
          <w:u w:val="single"/>
        </w:rPr>
        <w:lastRenderedPageBreak/>
        <w:t>Педиатрична популация</w:t>
      </w:r>
    </w:p>
    <w:p w14:paraId="0755BBF6" w14:textId="1869BF6B" w:rsidR="00992061" w:rsidRDefault="00D1402E">
      <w:pPr>
        <w:spacing w:line="259" w:lineRule="auto"/>
        <w:ind w:right="309"/>
        <w:rPr>
          <w:sz w:val="20"/>
          <w:szCs w:val="20"/>
        </w:rPr>
      </w:pPr>
      <w:r>
        <w:rPr>
          <w:rFonts w:eastAsia="Times New Roman"/>
        </w:rPr>
        <w:t xml:space="preserve">Безопасността и ефикасността на ерлотиниб при одобрените показания не са установени при пациенти под 18-годишна възраст. Употребата на </w:t>
      </w:r>
      <w:r w:rsidR="001E6C43">
        <w:rPr>
          <w:rFonts w:eastAsia="Times New Roman"/>
          <w:lang w:val="bg-BG"/>
        </w:rPr>
        <w:t>Фоклерос</w:t>
      </w:r>
      <w:r>
        <w:rPr>
          <w:rFonts w:eastAsia="Times New Roman"/>
        </w:rPr>
        <w:t xml:space="preserve"> при педиатрични пациенти не се препоръчва.</w:t>
      </w:r>
    </w:p>
    <w:p w14:paraId="7F188AA1" w14:textId="77777777" w:rsidR="00992061" w:rsidRDefault="00992061">
      <w:pPr>
        <w:spacing w:line="190" w:lineRule="exact"/>
        <w:rPr>
          <w:sz w:val="20"/>
          <w:szCs w:val="20"/>
        </w:rPr>
      </w:pPr>
    </w:p>
    <w:p w14:paraId="6B8B4084" w14:textId="77777777" w:rsidR="00992061" w:rsidRPr="0075195B" w:rsidRDefault="00D1402E">
      <w:pPr>
        <w:rPr>
          <w:sz w:val="20"/>
          <w:szCs w:val="20"/>
          <w:u w:val="single"/>
        </w:rPr>
      </w:pPr>
      <w:r w:rsidRPr="0075195B">
        <w:rPr>
          <w:rFonts w:eastAsia="Times New Roman"/>
          <w:iCs/>
          <w:u w:val="single"/>
        </w:rPr>
        <w:t>Пушачи</w:t>
      </w:r>
    </w:p>
    <w:p w14:paraId="5836F5DF" w14:textId="0664CF19" w:rsidR="00992061" w:rsidRDefault="00D1402E">
      <w:pPr>
        <w:spacing w:line="245" w:lineRule="auto"/>
        <w:ind w:right="29"/>
        <w:rPr>
          <w:sz w:val="20"/>
          <w:szCs w:val="20"/>
        </w:rPr>
      </w:pPr>
      <w:r>
        <w:rPr>
          <w:rFonts w:eastAsia="Times New Roman"/>
        </w:rPr>
        <w:t>Доказано е, че тютюнопушенето намалява експозицията на ерлотиниб с 50-60%</w:t>
      </w:r>
      <w:r>
        <w:rPr>
          <w:rFonts w:ascii="Arial" w:eastAsia="Arial" w:hAnsi="Arial" w:cs="Arial"/>
        </w:rPr>
        <w:t>.</w:t>
      </w:r>
      <w:r>
        <w:rPr>
          <w:rFonts w:eastAsia="Times New Roman"/>
        </w:rPr>
        <w:t xml:space="preserve"> Максималната поносима доза на </w:t>
      </w:r>
      <w:r w:rsidR="001E6C43">
        <w:rPr>
          <w:rFonts w:eastAsia="Times New Roman"/>
          <w:lang w:val="bg-BG"/>
        </w:rPr>
        <w:t>Фоклерос</w:t>
      </w:r>
      <w:r>
        <w:rPr>
          <w:rFonts w:eastAsia="Times New Roman"/>
        </w:rPr>
        <w:t xml:space="preserve"> при пациенти с НДКРБД, които в момента пушат цигари, е 300 mg. Дозата 300 mg не показва по-добра ефикасност при втора линия на лечение след неуспешна химиотерапия в сравнение с препоръчителната доза 150 mg при пациенти, които продължават да пушат цигари. Данните за безопасност са сравними между дозите 300 mg и 150 mg. Има обаче числено повишение на честотата на обрив, интерстициална белодробна болест и диария при пациентите, получаващи по-високата доза ерлотиниб. Настоящите пушачи трябва да бъдат посъветвани да спрат да пушат (вж. точки 4.4, 4.5, 5.1 и 5.2).</w:t>
      </w:r>
    </w:p>
    <w:p w14:paraId="4F8357D5" w14:textId="77777777" w:rsidR="00992061" w:rsidRDefault="00992061">
      <w:pPr>
        <w:spacing w:line="214" w:lineRule="exact"/>
        <w:rPr>
          <w:sz w:val="20"/>
          <w:szCs w:val="20"/>
        </w:rPr>
      </w:pPr>
    </w:p>
    <w:p w14:paraId="7CCD6ED3" w14:textId="77777777" w:rsidR="00992061" w:rsidRDefault="00D1402E">
      <w:pPr>
        <w:tabs>
          <w:tab w:val="left" w:pos="540"/>
        </w:tabs>
        <w:rPr>
          <w:sz w:val="20"/>
          <w:szCs w:val="20"/>
        </w:rPr>
      </w:pPr>
      <w:r>
        <w:rPr>
          <w:rFonts w:eastAsia="Times New Roman"/>
          <w:b/>
          <w:bCs/>
        </w:rPr>
        <w:t>4.3</w:t>
      </w:r>
      <w:r>
        <w:rPr>
          <w:sz w:val="20"/>
          <w:szCs w:val="20"/>
        </w:rPr>
        <w:tab/>
      </w:r>
      <w:r>
        <w:rPr>
          <w:rFonts w:eastAsia="Times New Roman"/>
          <w:b/>
          <w:bCs/>
        </w:rPr>
        <w:t>Противопоказания</w:t>
      </w:r>
    </w:p>
    <w:p w14:paraId="70219CCB" w14:textId="77777777" w:rsidR="00992061" w:rsidRDefault="00992061">
      <w:pPr>
        <w:spacing w:line="250" w:lineRule="exact"/>
        <w:rPr>
          <w:sz w:val="20"/>
          <w:szCs w:val="20"/>
        </w:rPr>
      </w:pPr>
    </w:p>
    <w:p w14:paraId="54891999" w14:textId="77777777" w:rsidR="00992061" w:rsidRDefault="00D1402E">
      <w:pPr>
        <w:spacing w:line="281" w:lineRule="auto"/>
        <w:ind w:right="109"/>
        <w:rPr>
          <w:sz w:val="20"/>
          <w:szCs w:val="20"/>
        </w:rPr>
      </w:pPr>
      <w:r>
        <w:rPr>
          <w:rFonts w:eastAsia="Times New Roman"/>
        </w:rPr>
        <w:t>Свръхчувствителност към ерлотиниб или към някое от помощните вещества, изброени в точка 6.1.</w:t>
      </w:r>
    </w:p>
    <w:p w14:paraId="2AA7D42E" w14:textId="77777777" w:rsidR="00992061" w:rsidRDefault="00992061">
      <w:pPr>
        <w:spacing w:line="167" w:lineRule="exact"/>
        <w:rPr>
          <w:sz w:val="20"/>
          <w:szCs w:val="20"/>
        </w:rPr>
      </w:pPr>
    </w:p>
    <w:p w14:paraId="4238D90D" w14:textId="791D4B81" w:rsidR="0075195B" w:rsidRDefault="00D1402E" w:rsidP="0020575B">
      <w:pPr>
        <w:spacing w:line="360" w:lineRule="auto"/>
        <w:ind w:right="1967" w:firstLine="1"/>
        <w:rPr>
          <w:rFonts w:eastAsia="Times New Roman"/>
          <w:b/>
          <w:bCs/>
        </w:rPr>
      </w:pPr>
      <w:r>
        <w:rPr>
          <w:rFonts w:eastAsia="Times New Roman"/>
          <w:b/>
          <w:bCs/>
        </w:rPr>
        <w:t xml:space="preserve">4.4 </w:t>
      </w:r>
      <w:r w:rsidR="00817C56">
        <w:rPr>
          <w:rFonts w:eastAsia="Times New Roman"/>
          <w:b/>
          <w:bCs/>
          <w:lang w:val="bg-BG"/>
        </w:rPr>
        <w:t xml:space="preserve"> </w:t>
      </w:r>
      <w:r w:rsidR="0075195B">
        <w:rPr>
          <w:rFonts w:eastAsia="Times New Roman"/>
          <w:b/>
          <w:bCs/>
          <w:lang w:val="bg-BG"/>
        </w:rPr>
        <w:tab/>
      </w:r>
      <w:r>
        <w:rPr>
          <w:rFonts w:eastAsia="Times New Roman"/>
          <w:b/>
          <w:bCs/>
        </w:rPr>
        <w:t>Специални предупреждения и предпазни мерки при употреба</w:t>
      </w:r>
    </w:p>
    <w:p w14:paraId="0383BB23" w14:textId="57EFDF35" w:rsidR="00992061" w:rsidRDefault="00D1402E">
      <w:pPr>
        <w:spacing w:line="360" w:lineRule="auto"/>
        <w:ind w:right="2329" w:firstLine="1"/>
        <w:rPr>
          <w:sz w:val="20"/>
          <w:szCs w:val="20"/>
        </w:rPr>
      </w:pPr>
      <w:r>
        <w:rPr>
          <w:rFonts w:eastAsia="Times New Roman"/>
          <w:u w:val="single"/>
        </w:rPr>
        <w:t>Оценка на статуса на EGFR мутации</w:t>
      </w:r>
    </w:p>
    <w:p w14:paraId="6FAED9B2" w14:textId="65CB566C" w:rsidR="00992061" w:rsidRDefault="00D1402E">
      <w:pPr>
        <w:spacing w:line="261" w:lineRule="auto"/>
        <w:ind w:right="189"/>
        <w:rPr>
          <w:sz w:val="20"/>
          <w:szCs w:val="20"/>
        </w:rPr>
      </w:pPr>
      <w:r>
        <w:rPr>
          <w:rFonts w:eastAsia="Times New Roman"/>
        </w:rPr>
        <w:t xml:space="preserve">Когато се обмисля употребата на </w:t>
      </w:r>
      <w:r w:rsidR="001E6C43">
        <w:rPr>
          <w:rFonts w:eastAsia="Times New Roman"/>
          <w:lang w:val="bg-BG"/>
        </w:rPr>
        <w:t>Фоклерос</w:t>
      </w:r>
      <w:r>
        <w:rPr>
          <w:rFonts w:eastAsia="Times New Roman"/>
        </w:rPr>
        <w:t xml:space="preserve"> за лечение от първа линия или поддържащо лечение при пациенти с локално авансирал или метастазирал НДКРБД, е важно статусът на EGFR мутации на пациента да е определен.</w:t>
      </w:r>
    </w:p>
    <w:p w14:paraId="21E27368" w14:textId="77777777" w:rsidR="00992061" w:rsidRDefault="00992061">
      <w:pPr>
        <w:spacing w:line="187" w:lineRule="exact"/>
        <w:rPr>
          <w:sz w:val="20"/>
          <w:szCs w:val="20"/>
        </w:rPr>
      </w:pPr>
    </w:p>
    <w:p w14:paraId="07722C6F" w14:textId="77777777" w:rsidR="00992061" w:rsidRDefault="00D1402E">
      <w:pPr>
        <w:spacing w:line="250" w:lineRule="auto"/>
        <w:ind w:right="289"/>
        <w:rPr>
          <w:sz w:val="20"/>
          <w:szCs w:val="20"/>
        </w:rPr>
      </w:pPr>
      <w:r>
        <w:rPr>
          <w:rFonts w:eastAsia="Times New Roman"/>
        </w:rPr>
        <w:t>Съгласно местната медицинска практика трябва да се проведе валидиран, доказателствен, надежден и чувствителен тест с предварително определен праг на положителност и доказана полза при определянето на статуса на EGFR мутации, използващ туморна ДНК, получена от тъканна проба или свободно циркулираща ДНК (circulating free DNA, cfDNA), получена от кръвна (плазмена) проба.</w:t>
      </w:r>
    </w:p>
    <w:p w14:paraId="421F5506" w14:textId="77777777" w:rsidR="00992061" w:rsidRDefault="00992061">
      <w:pPr>
        <w:spacing w:line="199" w:lineRule="exact"/>
        <w:rPr>
          <w:sz w:val="20"/>
          <w:szCs w:val="20"/>
        </w:rPr>
      </w:pPr>
    </w:p>
    <w:p w14:paraId="470D9195" w14:textId="77777777" w:rsidR="00817C56" w:rsidRDefault="00D1402E" w:rsidP="00817C56">
      <w:pPr>
        <w:spacing w:line="261" w:lineRule="auto"/>
        <w:ind w:right="429"/>
        <w:rPr>
          <w:rFonts w:eastAsia="Times New Roman"/>
        </w:rPr>
      </w:pPr>
      <w:r>
        <w:rPr>
          <w:rFonts w:eastAsia="Times New Roman"/>
        </w:rPr>
        <w:t>Ако се използва тест основан на плазмена cfDNA и резултатът за активиращи мутации е отрицателен, поради възможността за фалшиво отрицателни резултати при плазмения тест, където е възможно трябва да се направи тъканен тест.</w:t>
      </w:r>
      <w:bookmarkStart w:id="3" w:name="page5"/>
      <w:bookmarkEnd w:id="3"/>
    </w:p>
    <w:p w14:paraId="6E96E920" w14:textId="77777777" w:rsidR="00817C56" w:rsidRDefault="00817C56" w:rsidP="00817C56">
      <w:pPr>
        <w:spacing w:line="261" w:lineRule="auto"/>
        <w:ind w:right="429"/>
        <w:rPr>
          <w:rFonts w:eastAsia="Times New Roman"/>
        </w:rPr>
      </w:pPr>
    </w:p>
    <w:p w14:paraId="2E7A7553" w14:textId="77777777" w:rsidR="00992061" w:rsidRDefault="00D1402E" w:rsidP="00817C56">
      <w:pPr>
        <w:spacing w:line="261" w:lineRule="auto"/>
        <w:ind w:right="429"/>
        <w:rPr>
          <w:sz w:val="20"/>
          <w:szCs w:val="20"/>
        </w:rPr>
      </w:pPr>
      <w:r>
        <w:rPr>
          <w:rFonts w:eastAsia="Times New Roman"/>
          <w:u w:val="single"/>
        </w:rPr>
        <w:t>Пушачи</w:t>
      </w:r>
    </w:p>
    <w:p w14:paraId="2AF3BF01" w14:textId="77777777" w:rsidR="00992061" w:rsidRDefault="00992061">
      <w:pPr>
        <w:spacing w:line="1" w:lineRule="exact"/>
        <w:rPr>
          <w:sz w:val="20"/>
          <w:szCs w:val="20"/>
        </w:rPr>
      </w:pPr>
    </w:p>
    <w:p w14:paraId="63F358A3" w14:textId="77777777" w:rsidR="00992061" w:rsidRDefault="00D1402E">
      <w:pPr>
        <w:spacing w:line="259" w:lineRule="auto"/>
        <w:ind w:left="4" w:right="180"/>
        <w:jc w:val="both"/>
        <w:rPr>
          <w:sz w:val="20"/>
          <w:szCs w:val="20"/>
        </w:rPr>
      </w:pPr>
      <w:r>
        <w:rPr>
          <w:rFonts w:eastAsia="Times New Roman"/>
        </w:rPr>
        <w:t>Пушачите трябва да бъдат посъветвани да спрат да пушат, тъй като плазмените концентрации на ерлотиниб при пушачи са по-ниски в сравнение с непушачите. Има вероятност степента на намаление да е клинично значима (вж. точки 4.2, 4.5, 5.1 и 5.2).</w:t>
      </w:r>
    </w:p>
    <w:p w14:paraId="099C45CD" w14:textId="77777777" w:rsidR="00992061" w:rsidRDefault="00992061">
      <w:pPr>
        <w:spacing w:line="189" w:lineRule="exact"/>
        <w:rPr>
          <w:sz w:val="20"/>
          <w:szCs w:val="20"/>
        </w:rPr>
      </w:pPr>
    </w:p>
    <w:p w14:paraId="4B2E821E" w14:textId="77777777" w:rsidR="00992061" w:rsidRDefault="00D1402E">
      <w:pPr>
        <w:ind w:left="4"/>
        <w:rPr>
          <w:sz w:val="20"/>
          <w:szCs w:val="20"/>
        </w:rPr>
      </w:pPr>
      <w:r>
        <w:rPr>
          <w:rFonts w:eastAsia="Times New Roman"/>
          <w:u w:val="single"/>
        </w:rPr>
        <w:t>Интерстициално белодробно заболяване</w:t>
      </w:r>
    </w:p>
    <w:p w14:paraId="52429F06" w14:textId="77777777" w:rsidR="00992061" w:rsidRDefault="00992061">
      <w:pPr>
        <w:spacing w:line="1" w:lineRule="exact"/>
        <w:rPr>
          <w:sz w:val="20"/>
          <w:szCs w:val="20"/>
        </w:rPr>
      </w:pPr>
    </w:p>
    <w:p w14:paraId="60DB991F" w14:textId="5B560C7D" w:rsidR="00992061" w:rsidRDefault="00D1402E">
      <w:pPr>
        <w:spacing w:line="242" w:lineRule="auto"/>
        <w:ind w:left="4" w:right="20"/>
        <w:rPr>
          <w:sz w:val="20"/>
          <w:szCs w:val="20"/>
        </w:rPr>
      </w:pPr>
      <w:r>
        <w:rPr>
          <w:rFonts w:eastAsia="Times New Roman"/>
        </w:rPr>
        <w:t xml:space="preserve">Има нечести съобщения за събития от типа на интерстициално белодробно заболяване (ИБЗ), включително с летален изход, при пациенти, получавали </w:t>
      </w:r>
      <w:r w:rsidR="001E6C43">
        <w:rPr>
          <w:rFonts w:eastAsia="Times New Roman"/>
          <w:lang w:val="bg-BG"/>
        </w:rPr>
        <w:t>Фоклерос</w:t>
      </w:r>
      <w:r>
        <w:rPr>
          <w:rFonts w:eastAsia="Times New Roman"/>
        </w:rPr>
        <w:t xml:space="preserve"> за лечение на недребноклетъчен рак на белия дроб (НДКРБД), рак на панкреаса или други авансирали солидни тумори. При основното проучване BR.21 на НДКРБД честотата на ИБЗ (0,8%) е същата както в групите с плацебо, така и с </w:t>
      </w:r>
      <w:r w:rsidR="0075195B">
        <w:rPr>
          <w:rFonts w:eastAsia="Times New Roman"/>
          <w:lang w:val="bg-BG"/>
        </w:rPr>
        <w:t>ерлотиниб</w:t>
      </w:r>
      <w:r>
        <w:rPr>
          <w:rFonts w:eastAsia="Times New Roman"/>
        </w:rPr>
        <w:t xml:space="preserve">. При мета-анализ на рандомизирани контролирани клинични изпитвания на НДКРБД (с изключение на проучвания фаза I и проучвания с едно рамо фаза II, поради липса на контролни групи), честотата на събитията от типа на ИБЗ е 0,9% при </w:t>
      </w:r>
      <w:r w:rsidR="0075195B">
        <w:rPr>
          <w:rFonts w:eastAsia="Times New Roman"/>
          <w:lang w:val="bg-BG"/>
        </w:rPr>
        <w:t>ерлотиниб</w:t>
      </w:r>
      <w:r>
        <w:rPr>
          <w:rFonts w:eastAsia="Times New Roman"/>
        </w:rPr>
        <w:t xml:space="preserve"> в сравнение с 0,4% при пациентите в контролните рамена. При проучването за рак на панкреаса в комбинация с гемцитабин, честотата на събития от типа на ИБЗ е 2,5% в групата с </w:t>
      </w:r>
      <w:r w:rsidR="0075195B">
        <w:rPr>
          <w:rFonts w:eastAsia="Times New Roman"/>
          <w:lang w:val="bg-BG"/>
        </w:rPr>
        <w:t>ерлотиниб</w:t>
      </w:r>
      <w:r>
        <w:rPr>
          <w:rFonts w:eastAsia="Times New Roman"/>
        </w:rPr>
        <w:t xml:space="preserve"> плюс гемцитабин в сравнение с 0,4% в групата, лекувана с плацебо плюс гемцитабин. Съобщените диагнози при пациенти с подозрение за събития от типа на ИБЗ включват пневмонит, радиационен пневмонит, хиперсензитивен пневмонит, интерстициална пневмония, интерстициално белодробно заболяване, облитериращ бронхиолит, белодробна фиброза, синдром на остър респираторен дистрес (ARDS), алвеолит и белодробна инфилтрация. Симптомите се проявяват от няколко дни до няколко месеца след началото на лечението с </w:t>
      </w:r>
      <w:r w:rsidR="0075195B">
        <w:rPr>
          <w:rFonts w:eastAsia="Times New Roman"/>
          <w:lang w:val="bg-BG"/>
        </w:rPr>
        <w:t>ерлотиниб</w:t>
      </w:r>
      <w:r>
        <w:rPr>
          <w:rFonts w:eastAsia="Times New Roman"/>
        </w:rPr>
        <w:t xml:space="preserve">. Чести са замъгляващите или утежняващите фактори като </w:t>
      </w:r>
      <w:r>
        <w:rPr>
          <w:rFonts w:eastAsia="Times New Roman"/>
        </w:rPr>
        <w:lastRenderedPageBreak/>
        <w:t>едновременна или предшестваща химиотерапия, предшестващо лъчелечение, предшестващо паренхиматозно белодробно заболяване, метастатично белодробно заболяване или белодробни инфекции. По-висока честота на ИБЗ (приблизително 5% при смъртност от 1.5%) се наблюдава при пациенти в проучвания, проведени в Япония.</w:t>
      </w:r>
    </w:p>
    <w:p w14:paraId="638E2256" w14:textId="77777777" w:rsidR="00992061" w:rsidRDefault="00992061">
      <w:pPr>
        <w:spacing w:line="211" w:lineRule="exact"/>
        <w:rPr>
          <w:sz w:val="20"/>
          <w:szCs w:val="20"/>
        </w:rPr>
      </w:pPr>
    </w:p>
    <w:p w14:paraId="5EC8228B" w14:textId="47479158" w:rsidR="00992061" w:rsidRDefault="00D1402E">
      <w:pPr>
        <w:spacing w:line="247" w:lineRule="auto"/>
        <w:ind w:left="4" w:right="40"/>
        <w:rPr>
          <w:sz w:val="20"/>
          <w:szCs w:val="20"/>
        </w:rPr>
      </w:pPr>
      <w:r>
        <w:rPr>
          <w:rFonts w:eastAsia="Times New Roman"/>
        </w:rPr>
        <w:t xml:space="preserve">При пациенти, които развият остри нови и/или прогресиращи необясними белодробни симптоми като диспнея, кашлица и фебрилитет, лечението с </w:t>
      </w:r>
      <w:r w:rsidR="0075195B">
        <w:rPr>
          <w:rFonts w:eastAsia="Times New Roman"/>
          <w:lang w:val="bg-BG"/>
        </w:rPr>
        <w:t>ерлотиниб</w:t>
      </w:r>
      <w:r>
        <w:rPr>
          <w:rFonts w:eastAsia="Times New Roman"/>
        </w:rPr>
        <w:t xml:space="preserve"> трябва да се преустанови до изясняване на диагнозата. Пациентите, лекувани едновременно с ерлотиниб и гемцитабин, трябва да се наблюдават внимателно за евентуално развитие на токсичност от типа на ИБЗ. Ако се диагностицира ИБЗ, лечението с </w:t>
      </w:r>
      <w:r w:rsidR="0075195B">
        <w:rPr>
          <w:rFonts w:eastAsia="Times New Roman"/>
          <w:lang w:val="bg-BG"/>
        </w:rPr>
        <w:t>ерлотиниб</w:t>
      </w:r>
      <w:r>
        <w:rPr>
          <w:rFonts w:eastAsia="Times New Roman"/>
        </w:rPr>
        <w:t xml:space="preserve"> трябва да се преустанови и, при необходимост, да се започне подходяща терапия (вж. точка 4.8).</w:t>
      </w:r>
    </w:p>
    <w:p w14:paraId="3EE21E84" w14:textId="77777777" w:rsidR="00992061" w:rsidRDefault="00992061">
      <w:pPr>
        <w:spacing w:line="210" w:lineRule="exact"/>
        <w:rPr>
          <w:sz w:val="20"/>
          <w:szCs w:val="20"/>
        </w:rPr>
      </w:pPr>
    </w:p>
    <w:p w14:paraId="03B976A3" w14:textId="77777777" w:rsidR="00992061" w:rsidRDefault="00D1402E">
      <w:pPr>
        <w:ind w:left="4"/>
        <w:rPr>
          <w:sz w:val="20"/>
          <w:szCs w:val="20"/>
        </w:rPr>
      </w:pPr>
      <w:r>
        <w:rPr>
          <w:rFonts w:eastAsia="Times New Roman"/>
          <w:u w:val="single"/>
        </w:rPr>
        <w:t>Диария, дехидратация, електролитни нарушения и бъбречна недостатъчност</w:t>
      </w:r>
    </w:p>
    <w:p w14:paraId="7D090608" w14:textId="77777777" w:rsidR="00992061" w:rsidRDefault="00992061">
      <w:pPr>
        <w:spacing w:line="1" w:lineRule="exact"/>
        <w:rPr>
          <w:sz w:val="20"/>
          <w:szCs w:val="20"/>
        </w:rPr>
      </w:pPr>
    </w:p>
    <w:p w14:paraId="57F0BC21" w14:textId="7A038541" w:rsidR="00992061" w:rsidRDefault="00D1402E" w:rsidP="0075195B">
      <w:pPr>
        <w:spacing w:line="239" w:lineRule="auto"/>
        <w:ind w:left="4"/>
        <w:rPr>
          <w:rFonts w:eastAsia="Times New Roman"/>
        </w:rPr>
      </w:pPr>
      <w:r>
        <w:rPr>
          <w:rFonts w:eastAsia="Times New Roman"/>
        </w:rPr>
        <w:t xml:space="preserve">Диария (включително много редки случаи със смъртен изход) се появява при приблизително 50% от пациентите, лекувани с </w:t>
      </w:r>
      <w:r w:rsidR="0075195B">
        <w:rPr>
          <w:rFonts w:eastAsia="Times New Roman"/>
          <w:lang w:val="bg-BG"/>
        </w:rPr>
        <w:t>ерлотиниб</w:t>
      </w:r>
      <w:r>
        <w:rPr>
          <w:rFonts w:eastAsia="Times New Roman"/>
        </w:rPr>
        <w:t>. Умерена или тежка диария трябва да се лекува, напр. с лоперамид. В някои случаи може да е необходимо намаляване на дозата. По време на клиничните изпитвания дозите са намалявани с по 50 mg. Не е изследвано намаляване на дозата</w:t>
      </w:r>
      <w:r w:rsidR="0075195B">
        <w:rPr>
          <w:rFonts w:eastAsia="Times New Roman"/>
          <w:lang w:val="bg-BG"/>
        </w:rPr>
        <w:t xml:space="preserve"> </w:t>
      </w:r>
      <w:r>
        <w:rPr>
          <w:rFonts w:eastAsia="Times New Roman"/>
        </w:rPr>
        <w:t xml:space="preserve">по 25 mg. В случай на тежка персистираща диария, гадене, анорексия или повръщане, свързани с дехидратация, лечението с </w:t>
      </w:r>
      <w:r w:rsidR="0075195B">
        <w:rPr>
          <w:rFonts w:eastAsia="Times New Roman"/>
          <w:lang w:val="bg-BG"/>
        </w:rPr>
        <w:t>ерлотиниб</w:t>
      </w:r>
      <w:r>
        <w:rPr>
          <w:rFonts w:eastAsia="Times New Roman"/>
        </w:rPr>
        <w:t xml:space="preserve"> трябва да се преустанови и да се предприемат подходящи мерки за лечение на дехидратацията (вж. точка 4.8). Има редки съобщения за вторична хипокалиемия и бъбречна недостатъчност (включително и с летален изход). Някои случаи се развиват вторично, в резултат на тежка дехидратация, дължаща се на диария, повръщане и/или анорексия, докато при други може да се сбърка поради едновременно приложение на химиотерапия. В случаи на по-тежка или персистираща диария или в случаите, водещи до дехидратация, особено при групи пациенти с утежняващи рискови фактори (особено съпътстваща химитерапия и други лекарства, симптоми или заболявания, или други предразполагащи фактори, включително напреднала възраст), лечението с </w:t>
      </w:r>
      <w:r w:rsidR="0075195B">
        <w:rPr>
          <w:rFonts w:eastAsia="Times New Roman"/>
          <w:lang w:val="bg-BG"/>
        </w:rPr>
        <w:t>ерлотиниб</w:t>
      </w:r>
      <w:r>
        <w:rPr>
          <w:rFonts w:eastAsia="Times New Roman"/>
        </w:rPr>
        <w:t xml:space="preserve"> трябва да се преустанови и да се предприемат подходящи мерки за интензивно интравенозно рехидратиране на пациентите. Освен това, трябва да се проследяват бъбречната функция и серумните електролити, включително нивата на калий при пациенти, при които съществува риск от дехидратация.</w:t>
      </w:r>
    </w:p>
    <w:p w14:paraId="496E30EE" w14:textId="77777777" w:rsidR="00992061" w:rsidRDefault="00992061">
      <w:pPr>
        <w:spacing w:line="211" w:lineRule="exact"/>
        <w:rPr>
          <w:sz w:val="20"/>
          <w:szCs w:val="20"/>
        </w:rPr>
      </w:pPr>
    </w:p>
    <w:p w14:paraId="2357E65E" w14:textId="157799FE" w:rsidR="00992061" w:rsidRDefault="00D1402E">
      <w:pPr>
        <w:ind w:left="4"/>
        <w:rPr>
          <w:sz w:val="20"/>
          <w:szCs w:val="20"/>
        </w:rPr>
      </w:pPr>
      <w:r>
        <w:rPr>
          <w:rFonts w:eastAsia="Times New Roman"/>
          <w:u w:val="single"/>
        </w:rPr>
        <w:t>Хепат</w:t>
      </w:r>
      <w:r w:rsidR="00DB73CD">
        <w:rPr>
          <w:rFonts w:eastAsia="Times New Roman"/>
          <w:u w:val="single"/>
          <w:lang w:val="bg-BG"/>
        </w:rPr>
        <w:t>отоксичност</w:t>
      </w:r>
    </w:p>
    <w:p w14:paraId="7E2D57B2" w14:textId="77777777" w:rsidR="00992061" w:rsidRDefault="00992061">
      <w:pPr>
        <w:spacing w:line="1" w:lineRule="exact"/>
        <w:rPr>
          <w:sz w:val="20"/>
          <w:szCs w:val="20"/>
        </w:rPr>
      </w:pPr>
    </w:p>
    <w:p w14:paraId="5D4B0E43" w14:textId="789D36E6" w:rsidR="00992061" w:rsidRDefault="00D1402E" w:rsidP="00890900">
      <w:pPr>
        <w:ind w:left="6" w:right="119"/>
        <w:rPr>
          <w:sz w:val="20"/>
          <w:szCs w:val="20"/>
        </w:rPr>
      </w:pPr>
      <w:r>
        <w:rPr>
          <w:rFonts w:eastAsia="Times New Roman"/>
        </w:rPr>
        <w:t xml:space="preserve">Съобщава се за </w:t>
      </w:r>
      <w:r w:rsidR="00DB73CD">
        <w:rPr>
          <w:rFonts w:eastAsia="Times New Roman"/>
          <w:lang w:val="bg-BG"/>
        </w:rPr>
        <w:t>сериозни</w:t>
      </w:r>
      <w:r w:rsidR="00DB73CD">
        <w:rPr>
          <w:rFonts w:eastAsia="Times New Roman"/>
        </w:rPr>
        <w:t xml:space="preserve"> </w:t>
      </w:r>
      <w:r>
        <w:rPr>
          <w:rFonts w:eastAsia="Times New Roman"/>
        </w:rPr>
        <w:t xml:space="preserve">случаи на </w:t>
      </w:r>
      <w:r w:rsidR="00D11D35" w:rsidRPr="00D11D35">
        <w:rPr>
          <w:rFonts w:eastAsia="Times New Roman"/>
        </w:rPr>
        <w:t>лекарство-индуцирано чернодробно увреждане (ЛИЧУ), включително хепатит, остър хепатит и</w:t>
      </w:r>
      <w:r w:rsidR="00D11D35">
        <w:rPr>
          <w:rFonts w:eastAsia="Times New Roman"/>
          <w:lang w:val="bg-BG"/>
        </w:rPr>
        <w:t xml:space="preserve"> </w:t>
      </w:r>
      <w:r>
        <w:rPr>
          <w:rFonts w:eastAsia="Times New Roman"/>
        </w:rPr>
        <w:t xml:space="preserve">чернодробна недостатъчност (включително и с летален изход) по време на приложение на </w:t>
      </w:r>
      <w:r w:rsidR="0075195B">
        <w:rPr>
          <w:rFonts w:eastAsia="Times New Roman"/>
          <w:lang w:val="bg-BG"/>
        </w:rPr>
        <w:t>ерлотиниб</w:t>
      </w:r>
      <w:r>
        <w:rPr>
          <w:rFonts w:eastAsia="Times New Roman"/>
        </w:rPr>
        <w:t xml:space="preserve">. </w:t>
      </w:r>
      <w:r w:rsidR="00D11D35" w:rsidRPr="00D11D35">
        <w:rPr>
          <w:rFonts w:eastAsia="Times New Roman"/>
        </w:rPr>
        <w:t>Рисковите</w:t>
      </w:r>
      <w:r w:rsidR="006A6CA4">
        <w:rPr>
          <w:rFonts w:eastAsia="Times New Roman"/>
          <w:lang w:val="bg-BG"/>
        </w:rPr>
        <w:t xml:space="preserve"> </w:t>
      </w:r>
      <w:r>
        <w:rPr>
          <w:rFonts w:eastAsia="Times New Roman"/>
        </w:rPr>
        <w:t>фактори включват предшестващо</w:t>
      </w:r>
      <w:bookmarkStart w:id="4" w:name="page6"/>
      <w:bookmarkEnd w:id="4"/>
      <w:r w:rsidR="0075195B">
        <w:rPr>
          <w:rFonts w:eastAsia="Times New Roman"/>
          <w:lang w:val="bg-BG"/>
        </w:rPr>
        <w:t xml:space="preserve"> ч</w:t>
      </w:r>
      <w:r>
        <w:rPr>
          <w:rFonts w:eastAsia="Times New Roman"/>
        </w:rPr>
        <w:t xml:space="preserve">ернодробно заболяване или едновременно приложение на хепатотоксични лекарства. </w:t>
      </w:r>
      <w:r w:rsidR="00D11D35" w:rsidRPr="00D11D35">
        <w:rPr>
          <w:rFonts w:eastAsia="Times New Roman"/>
        </w:rPr>
        <w:t>По време на лечение с ерлотиниб се препоръчва</w:t>
      </w:r>
      <w:r w:rsidR="00D11D35">
        <w:rPr>
          <w:rFonts w:eastAsia="Times New Roman"/>
          <w:lang w:val="bg-BG"/>
        </w:rPr>
        <w:t xml:space="preserve"> </w:t>
      </w:r>
      <w:r>
        <w:rPr>
          <w:rFonts w:eastAsia="Times New Roman"/>
        </w:rPr>
        <w:t xml:space="preserve">периодично изследване на чернодробната функция. </w:t>
      </w:r>
      <w:r w:rsidR="00D11D35" w:rsidRPr="00D11D35">
        <w:rPr>
          <w:rFonts w:eastAsia="Times New Roman"/>
        </w:rPr>
        <w:t>Честотата на проследяване на чернодробната функция трябва да се повиши при пациенти с предшестващо чернодробно увреждане или билиарна обструкция. При пациенти, които съобщават за симптоми, показателни за чернодробно увреждане, трябва да се извърши незабавна клинична оценка и да се проведат чернодробни функционални тестове.</w:t>
      </w:r>
      <w:r w:rsidR="00D11D35">
        <w:rPr>
          <w:rFonts w:eastAsia="Times New Roman"/>
          <w:lang w:val="bg-BG"/>
        </w:rPr>
        <w:t xml:space="preserve"> </w:t>
      </w:r>
      <w:r>
        <w:rPr>
          <w:rFonts w:eastAsia="Times New Roman"/>
        </w:rPr>
        <w:t xml:space="preserve">Приложението на </w:t>
      </w:r>
      <w:r w:rsidR="0075195B">
        <w:rPr>
          <w:rFonts w:eastAsia="Times New Roman"/>
          <w:lang w:val="bg-BG"/>
        </w:rPr>
        <w:t>ерлотиниб</w:t>
      </w:r>
      <w:r>
        <w:rPr>
          <w:rFonts w:eastAsia="Times New Roman"/>
        </w:rPr>
        <w:t xml:space="preserve"> трябва да се прекъсне, ако промените на чернодробната функция са тежки (вж. точка 4.8). </w:t>
      </w:r>
      <w:r w:rsidR="0075195B">
        <w:rPr>
          <w:rFonts w:eastAsia="Times New Roman"/>
          <w:lang w:val="bg-BG"/>
        </w:rPr>
        <w:t>Ерлотиниб</w:t>
      </w:r>
      <w:r w:rsidR="001E6C43">
        <w:rPr>
          <w:rFonts w:eastAsia="Times New Roman"/>
        </w:rPr>
        <w:t xml:space="preserve"> </w:t>
      </w:r>
      <w:r>
        <w:rPr>
          <w:rFonts w:eastAsia="Times New Roman"/>
        </w:rPr>
        <w:t>не се препоръчва при пациенти с тежка чернодробна дисфункция.</w:t>
      </w:r>
    </w:p>
    <w:p w14:paraId="236F1741" w14:textId="77777777" w:rsidR="00992061" w:rsidRDefault="00992061">
      <w:pPr>
        <w:spacing w:line="199" w:lineRule="exact"/>
        <w:rPr>
          <w:sz w:val="20"/>
          <w:szCs w:val="20"/>
        </w:rPr>
      </w:pPr>
    </w:p>
    <w:p w14:paraId="77DBD634" w14:textId="77777777" w:rsidR="00992061" w:rsidRDefault="00D1402E">
      <w:pPr>
        <w:rPr>
          <w:sz w:val="20"/>
          <w:szCs w:val="20"/>
        </w:rPr>
      </w:pPr>
      <w:r>
        <w:rPr>
          <w:rFonts w:eastAsia="Times New Roman"/>
          <w:u w:val="single"/>
        </w:rPr>
        <w:t>Перфорация на стомашно-чревния тракт</w:t>
      </w:r>
    </w:p>
    <w:p w14:paraId="47B56E91" w14:textId="77777777" w:rsidR="00992061" w:rsidRDefault="00992061">
      <w:pPr>
        <w:spacing w:line="1" w:lineRule="exact"/>
        <w:rPr>
          <w:sz w:val="20"/>
          <w:szCs w:val="20"/>
        </w:rPr>
      </w:pPr>
    </w:p>
    <w:p w14:paraId="165F9D40" w14:textId="3A7645A5" w:rsidR="00992061" w:rsidRDefault="00D1402E">
      <w:pPr>
        <w:spacing w:line="246" w:lineRule="auto"/>
        <w:ind w:right="69"/>
        <w:rPr>
          <w:sz w:val="20"/>
          <w:szCs w:val="20"/>
        </w:rPr>
      </w:pPr>
      <w:r>
        <w:rPr>
          <w:rFonts w:eastAsia="Times New Roman"/>
        </w:rPr>
        <w:t xml:space="preserve">Пациентите, получаващи </w:t>
      </w:r>
      <w:r w:rsidR="0075195B">
        <w:rPr>
          <w:rFonts w:eastAsia="Times New Roman"/>
          <w:lang w:val="bg-BG"/>
        </w:rPr>
        <w:t>ерлотиниб</w:t>
      </w:r>
      <w:r>
        <w:rPr>
          <w:rFonts w:eastAsia="Times New Roman"/>
        </w:rPr>
        <w:t xml:space="preserve">, са изложени на повишен риск от развитие на перфорация на стомашно-чревния тракт, което не се наблюдава често (включително много редки случаи със смъртен изход). Пациентите, получаващи едновременно антиангиогенни средства, кортикостероиди, НСПВС и/или химиотерапия на основата на таксани, или които са с анамнеза за пептична улцерация или дивертикулит са изложени на повишен риск. Прилагането на </w:t>
      </w:r>
      <w:r w:rsidR="0075195B">
        <w:rPr>
          <w:rFonts w:eastAsia="Times New Roman"/>
          <w:lang w:val="bg-BG"/>
        </w:rPr>
        <w:t>ерлотиниб</w:t>
      </w:r>
      <w:r>
        <w:rPr>
          <w:rFonts w:eastAsia="Times New Roman"/>
        </w:rPr>
        <w:t xml:space="preserve"> трябва да се преустанови окончателно при пациенти, които развият перфорация на стомашно-чревния тракт (вж. точка 4.8).</w:t>
      </w:r>
    </w:p>
    <w:p w14:paraId="6D205B4B" w14:textId="77777777" w:rsidR="00992061" w:rsidRDefault="00992061">
      <w:pPr>
        <w:spacing w:line="207" w:lineRule="exact"/>
        <w:rPr>
          <w:sz w:val="20"/>
          <w:szCs w:val="20"/>
        </w:rPr>
      </w:pPr>
    </w:p>
    <w:p w14:paraId="0D5B2B2F" w14:textId="77777777" w:rsidR="00992061" w:rsidRDefault="00D1402E">
      <w:pPr>
        <w:rPr>
          <w:sz w:val="20"/>
          <w:szCs w:val="20"/>
        </w:rPr>
      </w:pPr>
      <w:r>
        <w:rPr>
          <w:rFonts w:eastAsia="Times New Roman"/>
          <w:u w:val="single"/>
        </w:rPr>
        <w:t>Булозни и ексфолиативни нарушения на кожата</w:t>
      </w:r>
    </w:p>
    <w:p w14:paraId="7D9462F1" w14:textId="77777777" w:rsidR="00992061" w:rsidRDefault="00D1402E">
      <w:pPr>
        <w:rPr>
          <w:sz w:val="20"/>
          <w:szCs w:val="20"/>
        </w:rPr>
      </w:pPr>
      <w:r>
        <w:rPr>
          <w:rFonts w:eastAsia="Times New Roman"/>
        </w:rPr>
        <w:t>Съобщава се за булозни, протичащи с образуване на мехури и ексфолиативни кожни</w:t>
      </w:r>
    </w:p>
    <w:p w14:paraId="40A4B295" w14:textId="77777777" w:rsidR="00992061" w:rsidRDefault="00992061">
      <w:pPr>
        <w:spacing w:line="1" w:lineRule="exact"/>
        <w:rPr>
          <w:sz w:val="20"/>
          <w:szCs w:val="20"/>
        </w:rPr>
      </w:pPr>
    </w:p>
    <w:p w14:paraId="0963E1DD" w14:textId="77777777" w:rsidR="00992061" w:rsidRDefault="00D1402E">
      <w:pPr>
        <w:rPr>
          <w:sz w:val="20"/>
          <w:szCs w:val="20"/>
        </w:rPr>
      </w:pPr>
      <w:r>
        <w:rPr>
          <w:rFonts w:eastAsia="Times New Roman"/>
        </w:rPr>
        <w:t>заболявания, включително много редки случаи, предполагащи синдром на Stevens-</w:t>
      </w:r>
    </w:p>
    <w:p w14:paraId="57DC85B2" w14:textId="219E32FD" w:rsidR="00992061" w:rsidRDefault="00D1402E">
      <w:pPr>
        <w:spacing w:line="238" w:lineRule="auto"/>
        <w:rPr>
          <w:sz w:val="20"/>
          <w:szCs w:val="20"/>
        </w:rPr>
      </w:pPr>
      <w:r>
        <w:rPr>
          <w:rFonts w:eastAsia="Times New Roman"/>
        </w:rPr>
        <w:t>Johnson/токсична епидермална некролиза, които в някои случаи са били летални</w:t>
      </w:r>
      <w:r w:rsidR="0020575B">
        <w:rPr>
          <w:rFonts w:eastAsia="Times New Roman"/>
        </w:rPr>
        <w:t xml:space="preserve"> </w:t>
      </w:r>
      <w:r>
        <w:rPr>
          <w:rFonts w:eastAsia="Times New Roman"/>
        </w:rPr>
        <w:t>(вж. точка 4.8).</w:t>
      </w:r>
    </w:p>
    <w:p w14:paraId="78AF853F" w14:textId="215DFB24" w:rsidR="00992061" w:rsidRDefault="00D1402E" w:rsidP="0075195B">
      <w:pPr>
        <w:ind w:right="-130"/>
        <w:rPr>
          <w:sz w:val="20"/>
          <w:szCs w:val="20"/>
        </w:rPr>
      </w:pPr>
      <w:r>
        <w:rPr>
          <w:rFonts w:eastAsia="Times New Roman"/>
        </w:rPr>
        <w:lastRenderedPageBreak/>
        <w:t xml:space="preserve">Лечението с </w:t>
      </w:r>
      <w:r w:rsidR="0075195B">
        <w:rPr>
          <w:rFonts w:eastAsia="Times New Roman"/>
          <w:lang w:val="bg-BG"/>
        </w:rPr>
        <w:t>ерлотиниб</w:t>
      </w:r>
      <w:r>
        <w:rPr>
          <w:rFonts w:eastAsia="Times New Roman"/>
        </w:rPr>
        <w:t xml:space="preserve"> трябва да бъде прекъснато или преустановено, ако пациентът развие тежко</w:t>
      </w:r>
      <w:r w:rsidR="001E6C43">
        <w:rPr>
          <w:rFonts w:eastAsia="Times New Roman"/>
          <w:lang w:val="bg-BG"/>
        </w:rPr>
        <w:t xml:space="preserve"> </w:t>
      </w:r>
      <w:r>
        <w:rPr>
          <w:rFonts w:eastAsia="Times New Roman"/>
        </w:rPr>
        <w:t>булозно, протичащо с образуване на мехури или ексфолиативно заболяване. Пациентите с</w:t>
      </w:r>
      <w:r w:rsidR="001E6C43">
        <w:rPr>
          <w:rFonts w:eastAsia="Times New Roman"/>
          <w:lang w:val="bg-BG"/>
        </w:rPr>
        <w:t xml:space="preserve"> </w:t>
      </w:r>
      <w:r>
        <w:rPr>
          <w:rFonts w:eastAsia="Times New Roman"/>
        </w:rPr>
        <w:t>булозни и ексфолиативни кожни нарушения трябва да се изследват за кожна инфекция и да се</w:t>
      </w:r>
    </w:p>
    <w:p w14:paraId="0097B3DB" w14:textId="77777777" w:rsidR="00992061" w:rsidRDefault="00D1402E">
      <w:pPr>
        <w:rPr>
          <w:sz w:val="20"/>
          <w:szCs w:val="20"/>
        </w:rPr>
      </w:pPr>
      <w:r>
        <w:rPr>
          <w:rFonts w:eastAsia="Times New Roman"/>
        </w:rPr>
        <w:t>лекуват според местните ръководства за лечение.</w:t>
      </w:r>
    </w:p>
    <w:p w14:paraId="56DB96AC" w14:textId="77777777" w:rsidR="00992061" w:rsidRDefault="00992061">
      <w:pPr>
        <w:spacing w:line="256" w:lineRule="exact"/>
        <w:rPr>
          <w:sz w:val="20"/>
          <w:szCs w:val="20"/>
        </w:rPr>
      </w:pPr>
    </w:p>
    <w:p w14:paraId="41303494" w14:textId="77777777" w:rsidR="00992061" w:rsidRDefault="00D1402E">
      <w:pPr>
        <w:rPr>
          <w:sz w:val="20"/>
          <w:szCs w:val="20"/>
        </w:rPr>
      </w:pPr>
      <w:r>
        <w:rPr>
          <w:rFonts w:eastAsia="Times New Roman"/>
          <w:u w:val="single"/>
        </w:rPr>
        <w:t>Нарушения на очите</w:t>
      </w:r>
    </w:p>
    <w:p w14:paraId="715DECE0" w14:textId="77777777" w:rsidR="00992061" w:rsidRDefault="00992061">
      <w:pPr>
        <w:spacing w:line="1" w:lineRule="exact"/>
        <w:rPr>
          <w:sz w:val="20"/>
          <w:szCs w:val="20"/>
        </w:rPr>
      </w:pPr>
    </w:p>
    <w:p w14:paraId="3B5548C8" w14:textId="777E3475" w:rsidR="00992061" w:rsidRDefault="00D1402E">
      <w:pPr>
        <w:spacing w:line="244" w:lineRule="auto"/>
        <w:ind w:right="69"/>
        <w:rPr>
          <w:sz w:val="20"/>
          <w:szCs w:val="20"/>
        </w:rPr>
      </w:pPr>
      <w:r>
        <w:rPr>
          <w:rFonts w:eastAsia="Times New Roman"/>
        </w:rPr>
        <w:t xml:space="preserve">Пациенти с признаци и симптоми, предполагащи кератит като остро или влошаващо се: възпаление на окото, сълзене, фоточувствителност, замъглено зрение, очна болка и/или зачервяване на окото своевременно трябва да бъдат насочени към специалист офталмолог. Ако диагнозата улцерозен кератит се потвърди, лечението с </w:t>
      </w:r>
      <w:r w:rsidR="00255C3B">
        <w:rPr>
          <w:rFonts w:eastAsia="Times New Roman"/>
          <w:lang w:val="bg-BG"/>
        </w:rPr>
        <w:t>ерлотиниб</w:t>
      </w:r>
      <w:r>
        <w:rPr>
          <w:rFonts w:eastAsia="Times New Roman"/>
        </w:rPr>
        <w:t xml:space="preserve"> трябва да се прекъсне или преустанови. Ако се диагностицира кератит, ползите и рисковете от продължаване на лечението трябва внимателно да се обмислят. </w:t>
      </w:r>
      <w:r w:rsidR="00255C3B">
        <w:rPr>
          <w:rFonts w:eastAsia="Times New Roman"/>
          <w:lang w:val="bg-BG"/>
        </w:rPr>
        <w:t>Ерлотиниб</w:t>
      </w:r>
      <w:r>
        <w:rPr>
          <w:rFonts w:eastAsia="Times New Roman"/>
        </w:rPr>
        <w:t xml:space="preserve"> трябва да се прилага внимателно при пациенти с предишна анамнеза за кератит, улцерозен кератит или тежка форма на сухота на окото. Използването на контактни лещи също е рисков фактор за възникването на кератит и улцерации. Съобщават се много редки случаи на перфорация или улцерация на роговицата по време на употреба на </w:t>
      </w:r>
      <w:r w:rsidR="00255C3B">
        <w:rPr>
          <w:rFonts w:eastAsia="Times New Roman"/>
          <w:lang w:val="bg-BG"/>
        </w:rPr>
        <w:t>ерлотиниб</w:t>
      </w:r>
      <w:r>
        <w:rPr>
          <w:rFonts w:eastAsia="Times New Roman"/>
        </w:rPr>
        <w:t xml:space="preserve"> (вж. точка 4.8).</w:t>
      </w:r>
    </w:p>
    <w:p w14:paraId="51D600CA" w14:textId="77777777" w:rsidR="00992061" w:rsidRDefault="00992061">
      <w:pPr>
        <w:spacing w:line="207" w:lineRule="exact"/>
        <w:rPr>
          <w:sz w:val="20"/>
          <w:szCs w:val="20"/>
        </w:rPr>
      </w:pPr>
    </w:p>
    <w:p w14:paraId="19E920F3" w14:textId="77777777" w:rsidR="00992061" w:rsidRDefault="00D1402E">
      <w:pPr>
        <w:rPr>
          <w:sz w:val="20"/>
          <w:szCs w:val="20"/>
        </w:rPr>
      </w:pPr>
      <w:r>
        <w:rPr>
          <w:rFonts w:eastAsia="Times New Roman"/>
          <w:u w:val="single"/>
        </w:rPr>
        <w:t>Взаимодействие с други лекарствени продукти</w:t>
      </w:r>
    </w:p>
    <w:p w14:paraId="1FA1BC68" w14:textId="77777777" w:rsidR="00992061" w:rsidRDefault="00992061">
      <w:pPr>
        <w:spacing w:line="1" w:lineRule="exact"/>
        <w:rPr>
          <w:sz w:val="20"/>
          <w:szCs w:val="20"/>
        </w:rPr>
      </w:pPr>
    </w:p>
    <w:p w14:paraId="1AC5A91E" w14:textId="77777777" w:rsidR="00992061" w:rsidRDefault="00D1402E">
      <w:pPr>
        <w:spacing w:line="259" w:lineRule="auto"/>
        <w:ind w:right="9"/>
        <w:rPr>
          <w:sz w:val="20"/>
          <w:szCs w:val="20"/>
        </w:rPr>
      </w:pPr>
      <w:r>
        <w:rPr>
          <w:rFonts w:eastAsia="Times New Roman"/>
        </w:rPr>
        <w:t>Мощните индуктори на CYP3A4 може да намалят ефикасността на ерлотиниб, а мощните инхибитори на CYP3A4 може да предизвикат повишена токсичност. Едновременното лечение с този тип лекарствени продукти трябва да се избягва (вж. точка 4.5).</w:t>
      </w:r>
    </w:p>
    <w:p w14:paraId="2BF59461" w14:textId="77777777" w:rsidR="00992061" w:rsidRDefault="00992061">
      <w:pPr>
        <w:spacing w:line="194" w:lineRule="exact"/>
        <w:rPr>
          <w:sz w:val="20"/>
          <w:szCs w:val="20"/>
        </w:rPr>
      </w:pPr>
    </w:p>
    <w:p w14:paraId="074A14B9" w14:textId="77777777" w:rsidR="00992061" w:rsidRDefault="00D1402E">
      <w:pPr>
        <w:rPr>
          <w:sz w:val="20"/>
          <w:szCs w:val="20"/>
        </w:rPr>
      </w:pPr>
      <w:r>
        <w:rPr>
          <w:rFonts w:eastAsia="Times New Roman"/>
          <w:u w:val="single"/>
        </w:rPr>
        <w:t>Други форми на взаимодействие</w:t>
      </w:r>
    </w:p>
    <w:p w14:paraId="4009BB9F" w14:textId="77777777" w:rsidR="00992061" w:rsidRDefault="00992061">
      <w:pPr>
        <w:spacing w:line="1" w:lineRule="exact"/>
        <w:rPr>
          <w:sz w:val="20"/>
          <w:szCs w:val="20"/>
        </w:rPr>
      </w:pPr>
    </w:p>
    <w:p w14:paraId="754CDEAF" w14:textId="1B1FFA4A" w:rsidR="001E6C43" w:rsidRDefault="00D1402E" w:rsidP="001E6C43">
      <w:pPr>
        <w:spacing w:line="256" w:lineRule="auto"/>
        <w:ind w:right="-599"/>
        <w:rPr>
          <w:rFonts w:eastAsia="Times New Roman"/>
        </w:rPr>
      </w:pPr>
      <w:r w:rsidRPr="001E6C43">
        <w:rPr>
          <w:rFonts w:eastAsia="Times New Roman"/>
        </w:rPr>
        <w:t xml:space="preserve">Ерлотиниб се характеризира с намаление на разтворимостта при pH над 5. Лекарствените продукти, които променят pH на горните отдели на стомашно-чревния тракт (СЧТ), като инхибиторите на протонната помпа, H2 антагонистите и антиацидите, може да променят разтворимостта на ерлотиниб, а оттам и бионаличността му. Малко е вероятно повишаването на дозата на </w:t>
      </w:r>
      <w:r w:rsidR="00255C3B">
        <w:rPr>
          <w:rFonts w:eastAsia="Times New Roman"/>
          <w:lang w:val="bg-BG"/>
        </w:rPr>
        <w:t>ерлотиниб</w:t>
      </w:r>
      <w:r w:rsidRPr="001E6C43">
        <w:rPr>
          <w:rFonts w:eastAsia="Times New Roman"/>
        </w:rPr>
        <w:t xml:space="preserve"> при едновременно приложение с такива препарати да компенсира намаляването на експозицията. Комбинирането на ерлотиниб с инхибитори на протонната помпа трябва да се избягва. Ефектите на едновременното приложение на ерлотиниб с H2 антагонисти и антиациди не са известни; има вероятност, обаче за намалена бионаличност. Поради </w:t>
      </w:r>
      <w:proofErr w:type="gramStart"/>
      <w:r w:rsidRPr="001E6C43">
        <w:rPr>
          <w:rFonts w:eastAsia="Times New Roman"/>
        </w:rPr>
        <w:t>това ,</w:t>
      </w:r>
      <w:proofErr w:type="gramEnd"/>
      <w:r w:rsidRPr="001E6C43">
        <w:rPr>
          <w:rFonts w:eastAsia="Times New Roman"/>
        </w:rPr>
        <w:t xml:space="preserve"> едновременното приложение на тези комбинации трябва да се избягва (вж. точка 4.5). Ако по време на лечението с </w:t>
      </w:r>
      <w:r w:rsidR="00255C3B">
        <w:rPr>
          <w:rFonts w:eastAsia="Times New Roman"/>
          <w:lang w:val="bg-BG"/>
        </w:rPr>
        <w:t>ерлотиниб</w:t>
      </w:r>
      <w:r w:rsidRPr="001E6C43">
        <w:rPr>
          <w:rFonts w:eastAsia="Times New Roman"/>
        </w:rPr>
        <w:t xml:space="preserve"> употребата на антиациди се счита за необходима, те трябва да се приемат най-малко 4 часа преди или 2 часа след дневната доза </w:t>
      </w:r>
      <w:r w:rsidR="00255C3B">
        <w:rPr>
          <w:rFonts w:eastAsia="Times New Roman"/>
          <w:lang w:val="bg-BG"/>
        </w:rPr>
        <w:t>ерлотиниб</w:t>
      </w:r>
      <w:r w:rsidRPr="001E6C43">
        <w:rPr>
          <w:rFonts w:eastAsia="Times New Roman"/>
        </w:rPr>
        <w:t>.</w:t>
      </w:r>
      <w:bookmarkStart w:id="5" w:name="page7"/>
      <w:bookmarkEnd w:id="5"/>
    </w:p>
    <w:p w14:paraId="3C52DC14" w14:textId="77777777" w:rsidR="001E6C43" w:rsidRDefault="001E6C43" w:rsidP="001E6C43">
      <w:pPr>
        <w:spacing w:line="256" w:lineRule="auto"/>
        <w:ind w:right="-599"/>
        <w:rPr>
          <w:rFonts w:eastAsia="Times New Roman"/>
        </w:rPr>
      </w:pPr>
    </w:p>
    <w:p w14:paraId="67FE49F6" w14:textId="25BCE9C7" w:rsidR="00992061" w:rsidRDefault="001E6C43" w:rsidP="001E6C43">
      <w:pPr>
        <w:spacing w:line="256" w:lineRule="auto"/>
        <w:ind w:right="-599"/>
        <w:rPr>
          <w:sz w:val="20"/>
          <w:szCs w:val="20"/>
        </w:rPr>
      </w:pPr>
      <w:r>
        <w:rPr>
          <w:rFonts w:eastAsia="Times New Roman"/>
          <w:u w:val="single"/>
          <w:lang w:val="bg-BG"/>
        </w:rPr>
        <w:t>П</w:t>
      </w:r>
      <w:r w:rsidR="00D1402E">
        <w:rPr>
          <w:rFonts w:eastAsia="Times New Roman"/>
          <w:u w:val="single"/>
        </w:rPr>
        <w:t>омощни вещества с известно действие</w:t>
      </w:r>
    </w:p>
    <w:p w14:paraId="2168626C" w14:textId="77777777" w:rsidR="00992061" w:rsidRDefault="00992061">
      <w:pPr>
        <w:spacing w:line="1" w:lineRule="exact"/>
        <w:rPr>
          <w:sz w:val="20"/>
          <w:szCs w:val="20"/>
        </w:rPr>
      </w:pPr>
    </w:p>
    <w:p w14:paraId="3C948CF8" w14:textId="77777777" w:rsidR="00992061" w:rsidRDefault="00D1402E">
      <w:pPr>
        <w:spacing w:line="259" w:lineRule="auto"/>
        <w:ind w:right="280"/>
        <w:rPr>
          <w:sz w:val="20"/>
          <w:szCs w:val="20"/>
        </w:rPr>
      </w:pPr>
      <w:r>
        <w:rPr>
          <w:rFonts w:eastAsia="Times New Roman"/>
        </w:rPr>
        <w:t>Таблетките съдържат лактоза. Пациенти с редки наследствени проблеми на галактозна непоносимост, тотален лактазен дефицит или глюкозо-галактозна малабсорбция не трябва да приемат това лекарство.</w:t>
      </w:r>
    </w:p>
    <w:p w14:paraId="29F0E7BA" w14:textId="77777777" w:rsidR="00992061" w:rsidRDefault="00992061">
      <w:pPr>
        <w:spacing w:line="189" w:lineRule="exact"/>
        <w:rPr>
          <w:sz w:val="20"/>
          <w:szCs w:val="20"/>
        </w:rPr>
      </w:pPr>
    </w:p>
    <w:p w14:paraId="19F6980C" w14:textId="77777777" w:rsidR="00992061" w:rsidRDefault="00D1402E">
      <w:pPr>
        <w:spacing w:line="281" w:lineRule="auto"/>
        <w:ind w:right="100"/>
        <w:rPr>
          <w:sz w:val="20"/>
          <w:szCs w:val="20"/>
        </w:rPr>
      </w:pPr>
      <w:r>
        <w:rPr>
          <w:rFonts w:eastAsia="Times New Roman"/>
        </w:rPr>
        <w:t>Това лекарство съдържа по-малко от 1 mmol натрий (по-малко от 23 mg) на таблетка, т.е. може да се каже, че практически не съдържа натрий.</w:t>
      </w:r>
    </w:p>
    <w:p w14:paraId="2433D728" w14:textId="77777777" w:rsidR="00992061" w:rsidRDefault="00992061">
      <w:pPr>
        <w:spacing w:line="172" w:lineRule="exact"/>
        <w:rPr>
          <w:sz w:val="20"/>
          <w:szCs w:val="20"/>
        </w:rPr>
      </w:pPr>
    </w:p>
    <w:p w14:paraId="73D1E85A" w14:textId="0106CF2B" w:rsidR="00992061" w:rsidRDefault="00D1402E" w:rsidP="00255C3B">
      <w:pPr>
        <w:spacing w:line="398" w:lineRule="auto"/>
        <w:ind w:right="-1025"/>
        <w:rPr>
          <w:sz w:val="20"/>
          <w:szCs w:val="20"/>
        </w:rPr>
      </w:pPr>
      <w:r>
        <w:rPr>
          <w:rFonts w:eastAsia="Times New Roman"/>
          <w:b/>
          <w:bCs/>
        </w:rPr>
        <w:t xml:space="preserve">4.5 </w:t>
      </w:r>
      <w:r w:rsidR="001E6C43">
        <w:rPr>
          <w:rFonts w:eastAsia="Times New Roman"/>
          <w:b/>
          <w:bCs/>
          <w:lang w:val="bg-BG"/>
        </w:rPr>
        <w:t xml:space="preserve"> </w:t>
      </w:r>
      <w:r w:rsidR="00255C3B">
        <w:rPr>
          <w:rFonts w:eastAsia="Times New Roman"/>
          <w:b/>
          <w:bCs/>
          <w:lang w:val="bg-BG"/>
        </w:rPr>
        <w:tab/>
      </w:r>
      <w:r>
        <w:rPr>
          <w:rFonts w:eastAsia="Times New Roman"/>
          <w:b/>
          <w:bCs/>
        </w:rPr>
        <w:t>Взаимодействие с други лекарствени продукти и други форми на взаимодействие</w:t>
      </w:r>
      <w:r>
        <w:rPr>
          <w:rFonts w:eastAsia="Times New Roman"/>
        </w:rPr>
        <w:t xml:space="preserve"> </w:t>
      </w:r>
    </w:p>
    <w:p w14:paraId="56CBC832" w14:textId="77777777" w:rsidR="00992061" w:rsidRDefault="00D1402E">
      <w:pPr>
        <w:spacing w:line="20" w:lineRule="exact"/>
        <w:rPr>
          <w:sz w:val="20"/>
          <w:szCs w:val="20"/>
        </w:rPr>
      </w:pPr>
      <w:r>
        <w:rPr>
          <w:noProof/>
          <w:sz w:val="20"/>
          <w:szCs w:val="20"/>
          <w:lang w:val="bg-BG" w:eastAsia="bg-BG"/>
        </w:rPr>
        <mc:AlternateContent>
          <mc:Choice Requires="wps">
            <w:drawing>
              <wp:anchor distT="0" distB="0" distL="114300" distR="114300" simplePos="0" relativeHeight="251487744" behindDoc="1" locked="0" layoutInCell="0" allowOverlap="1" wp14:anchorId="31A0DC8C" wp14:editId="0339BEE7">
                <wp:simplePos x="0" y="0"/>
                <wp:positionH relativeFrom="column">
                  <wp:posOffset>3855085</wp:posOffset>
                </wp:positionH>
                <wp:positionV relativeFrom="paragraph">
                  <wp:posOffset>-351155</wp:posOffset>
                </wp:positionV>
                <wp:extent cx="3683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 cy="4763"/>
                        </a:xfrm>
                        <a:prstGeom prst="line">
                          <a:avLst/>
                        </a:prstGeom>
                        <a:solidFill>
                          <a:srgbClr val="FFFFFF"/>
                        </a:solidFill>
                        <a:ln w="6096">
                          <a:solidFill>
                            <a:srgbClr val="000000"/>
                          </a:solidFill>
                          <a:miter lim="800000"/>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563D93" id="Shape 1" o:spid="_x0000_s1026" style="position:absolute;z-index:-251828736;visibility:visible;mso-wrap-style:square;mso-wrap-distance-left:9pt;mso-wrap-distance-top:0;mso-wrap-distance-right:9pt;mso-wrap-distance-bottom:0;mso-position-horizontal:absolute;mso-position-horizontal-relative:text;mso-position-vertical:absolute;mso-position-vertical-relative:text" from="303.55pt,-27.65pt" to="306.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" o:allowincell="f" filled="t" strokeweight=".48pt">
                <v:stroke joinstyle="miter"/>
                <o:lock v:ext="edit" shapetype="f"/>
              </v:line>
            </w:pict>
          </mc:Fallback>
        </mc:AlternateContent>
      </w:r>
    </w:p>
    <w:p w14:paraId="12F22DA4" w14:textId="77777777" w:rsidR="00255C3B" w:rsidRDefault="00255C3B" w:rsidP="00255C3B">
      <w:pPr>
        <w:spacing w:line="398" w:lineRule="auto"/>
        <w:ind w:right="360"/>
        <w:rPr>
          <w:rFonts w:eastAsia="Times New Roman"/>
          <w:u w:val="single"/>
        </w:rPr>
      </w:pPr>
      <w:r>
        <w:rPr>
          <w:rFonts w:eastAsia="Times New Roman"/>
        </w:rPr>
        <w:t>Проучвания за взаимодействията са провеждани само при възрастни.</w:t>
      </w:r>
      <w:r>
        <w:rPr>
          <w:rFonts w:eastAsia="Times New Roman"/>
          <w:u w:val="single"/>
        </w:rPr>
        <w:t xml:space="preserve"> </w:t>
      </w:r>
    </w:p>
    <w:p w14:paraId="25E2C2BB" w14:textId="77777777" w:rsidR="00255C3B" w:rsidRDefault="00255C3B" w:rsidP="00255C3B">
      <w:pPr>
        <w:ind w:right="357"/>
        <w:rPr>
          <w:rFonts w:eastAsia="Times New Roman"/>
          <w:u w:val="single"/>
        </w:rPr>
      </w:pPr>
      <w:r>
        <w:rPr>
          <w:rFonts w:eastAsia="Times New Roman"/>
          <w:u w:val="single"/>
        </w:rPr>
        <w:t>Ерлотиниб и други субстрати на CYP</w:t>
      </w:r>
    </w:p>
    <w:p w14:paraId="1A888498" w14:textId="3388E5C0" w:rsidR="00255C3B" w:rsidRDefault="00255C3B" w:rsidP="00255C3B">
      <w:pPr>
        <w:ind w:right="357"/>
        <w:rPr>
          <w:sz w:val="20"/>
          <w:szCs w:val="20"/>
        </w:rPr>
      </w:pPr>
      <w:r>
        <w:rPr>
          <w:rFonts w:eastAsia="Times New Roman"/>
        </w:rPr>
        <w:t xml:space="preserve">Ерлотиниб е мощен инхибитор на CYP1A1 и умерен инхибитор на CYP3A4 и CYP2C8, както и мощен инхибитор на глюкуронидирането с помощта на UGT1A1 </w:t>
      </w:r>
      <w:r>
        <w:rPr>
          <w:rFonts w:eastAsia="Times New Roman"/>
          <w:i/>
          <w:iCs/>
        </w:rPr>
        <w:t>in vitro</w:t>
      </w:r>
      <w:r>
        <w:rPr>
          <w:rFonts w:eastAsia="Times New Roman"/>
        </w:rPr>
        <w:t>.</w:t>
      </w:r>
    </w:p>
    <w:p w14:paraId="025385B4" w14:textId="77777777" w:rsidR="00255C3B" w:rsidRDefault="00255C3B" w:rsidP="00255C3B">
      <w:pPr>
        <w:spacing w:line="1" w:lineRule="exact"/>
        <w:rPr>
          <w:sz w:val="20"/>
          <w:szCs w:val="20"/>
        </w:rPr>
      </w:pPr>
    </w:p>
    <w:p w14:paraId="593CECA2" w14:textId="77777777" w:rsidR="00255C3B" w:rsidRDefault="00255C3B" w:rsidP="00255C3B">
      <w:pPr>
        <w:ind w:right="459"/>
        <w:rPr>
          <w:sz w:val="20"/>
          <w:szCs w:val="20"/>
        </w:rPr>
      </w:pPr>
      <w:r>
        <w:rPr>
          <w:rFonts w:eastAsia="Times New Roman"/>
        </w:rPr>
        <w:t>Физиологичното значение на мощното инхибиране на CYP1A1 не е известно поради много ограничената експресия на CYP1A1 в човешките тъкани.</w:t>
      </w:r>
    </w:p>
    <w:p w14:paraId="114EDD12" w14:textId="77777777" w:rsidR="00255C3B" w:rsidRDefault="00255C3B" w:rsidP="00255C3B">
      <w:pPr>
        <w:spacing w:line="174" w:lineRule="exact"/>
        <w:rPr>
          <w:sz w:val="20"/>
          <w:szCs w:val="20"/>
        </w:rPr>
      </w:pPr>
    </w:p>
    <w:p w14:paraId="1983BA55" w14:textId="77777777" w:rsidR="00255C3B" w:rsidRDefault="00255C3B" w:rsidP="00255C3B">
      <w:pPr>
        <w:spacing w:line="246" w:lineRule="auto"/>
        <w:ind w:right="120"/>
        <w:rPr>
          <w:sz w:val="20"/>
          <w:szCs w:val="20"/>
        </w:rPr>
      </w:pPr>
      <w:r>
        <w:rPr>
          <w:rFonts w:eastAsia="Times New Roman"/>
        </w:rPr>
        <w:t>Когато ерлотиниб се прилага едновременно с ципрофлоксацин, умерен инхибитор на CYP1A2, експозицията на ерлотиниб [AUC] се увеличава значително с 39%, като не се открива статистически значима промяна в C</w:t>
      </w:r>
      <w:r>
        <w:rPr>
          <w:rFonts w:eastAsia="Times New Roman"/>
          <w:sz w:val="13"/>
          <w:szCs w:val="13"/>
        </w:rPr>
        <w:t>max</w:t>
      </w:r>
      <w:r>
        <w:rPr>
          <w:rFonts w:eastAsia="Times New Roman"/>
        </w:rPr>
        <w:t>. Аналогично, експозицията на активния метаболит се увеличава с около 60% и 48%, съответно за AUC и C</w:t>
      </w:r>
      <w:r>
        <w:rPr>
          <w:rFonts w:eastAsia="Times New Roman"/>
          <w:sz w:val="13"/>
          <w:szCs w:val="13"/>
        </w:rPr>
        <w:t>max</w:t>
      </w:r>
      <w:r>
        <w:rPr>
          <w:rFonts w:eastAsia="Times New Roman"/>
        </w:rPr>
        <w:t>. Клиничното значение на това увеличение не е установено. Трябва да се внимава, когато ципрофлоксацин или мощни инхибитори на CYP1A2 (напр. флувоксамин) се комбинират с ерлотиниб. При проява на нежелани реакции, свързани с ерлотиниб, дозата на ерлотиниб може да се намали.</w:t>
      </w:r>
    </w:p>
    <w:p w14:paraId="6D900A98" w14:textId="77777777" w:rsidR="00255C3B" w:rsidRDefault="00255C3B" w:rsidP="00255C3B">
      <w:pPr>
        <w:spacing w:line="206" w:lineRule="exact"/>
        <w:rPr>
          <w:sz w:val="20"/>
          <w:szCs w:val="20"/>
        </w:rPr>
      </w:pPr>
    </w:p>
    <w:p w14:paraId="49F36081" w14:textId="4C243EF7" w:rsidR="00255C3B" w:rsidRDefault="00255C3B" w:rsidP="00255C3B">
      <w:pPr>
        <w:spacing w:line="248" w:lineRule="auto"/>
        <w:rPr>
          <w:sz w:val="20"/>
          <w:szCs w:val="20"/>
        </w:rPr>
      </w:pPr>
      <w:r>
        <w:rPr>
          <w:rFonts w:eastAsia="Times New Roman"/>
        </w:rPr>
        <w:t xml:space="preserve">Предшестващо лечение или едновременно приложение на </w:t>
      </w:r>
      <w:r w:rsidR="00AF0AA0">
        <w:rPr>
          <w:rFonts w:eastAsia="Times New Roman"/>
        </w:rPr>
        <w:t xml:space="preserve">ерлотиниб </w:t>
      </w:r>
      <w:r>
        <w:rPr>
          <w:rFonts w:eastAsia="Times New Roman"/>
        </w:rPr>
        <w:t>не променя клирънса на прототипните субстрати на CYP3A4, мидазолам и еритромицин, но изглежда намалява пероралната бионаличност на мидазолам до 24%. При друго клинично проучване не е доказано повлияване на фармакокинетиката на паклитаксел, субстрат на CYP3A4/2C8, при едновременно приложение с ерлотиниб. Поради това, значими взаимодействия, които повлияват клирънса на други субстрати на CYP3A4, са малко вероятни.</w:t>
      </w:r>
    </w:p>
    <w:p w14:paraId="18CA154C" w14:textId="77777777" w:rsidR="00255C3B" w:rsidRDefault="00255C3B" w:rsidP="00255C3B">
      <w:pPr>
        <w:spacing w:line="202" w:lineRule="exact"/>
        <w:rPr>
          <w:sz w:val="20"/>
          <w:szCs w:val="20"/>
        </w:rPr>
      </w:pPr>
    </w:p>
    <w:p w14:paraId="1B9FD5AF" w14:textId="77777777" w:rsidR="00255C3B" w:rsidRDefault="00255C3B" w:rsidP="00255C3B">
      <w:pPr>
        <w:spacing w:line="250" w:lineRule="auto"/>
        <w:ind w:right="360"/>
        <w:rPr>
          <w:sz w:val="20"/>
          <w:szCs w:val="20"/>
        </w:rPr>
      </w:pPr>
      <w:r>
        <w:rPr>
          <w:rFonts w:eastAsia="Times New Roman"/>
        </w:rPr>
        <w:t>Инхибирането на глюкуронидирането може да доведе до взаимодействия с лекарствени продукти, които са субстрати на UGT1A1 и които се елиминират изключително по този път. Пациенти с ниско ниво на експресия на UGT1A1 или с генетични нарушения на глюкуронидирането (напр. болест на Gilbert) може да покажат повишени серумни концентрации на билирубин и трябва да се лекуват внимателно.</w:t>
      </w:r>
    </w:p>
    <w:p w14:paraId="5DD56294" w14:textId="77777777" w:rsidR="00255C3B" w:rsidRDefault="00255C3B" w:rsidP="00255C3B">
      <w:pPr>
        <w:spacing w:line="199" w:lineRule="exact"/>
        <w:rPr>
          <w:sz w:val="20"/>
          <w:szCs w:val="20"/>
        </w:rPr>
      </w:pPr>
    </w:p>
    <w:p w14:paraId="5E33B6F5" w14:textId="77777777" w:rsidR="00255C3B" w:rsidRDefault="00255C3B" w:rsidP="00255C3B">
      <w:pPr>
        <w:spacing w:line="248" w:lineRule="auto"/>
        <w:ind w:right="140"/>
        <w:rPr>
          <w:sz w:val="20"/>
          <w:szCs w:val="20"/>
        </w:rPr>
      </w:pPr>
      <w:r>
        <w:rPr>
          <w:rFonts w:eastAsia="Times New Roman"/>
        </w:rPr>
        <w:t>Ерлотиниб се метаболизира в черния дроб от чернодробните цитохроми при човека, предимно CYP3A4 и в по-малка степен от CYP1A2. Екстрахепаталният метаболизъм с помощта на CYP3A4 в червата, CYP1A1 в белите дробове, и CYP1B1 в туморната тъкан също може потенциално да допринесе за метаболитното отстраняване на ерлотиниб. Може да възникнат потенциални взаимодействия с активни вещества, които се метаболизират от тези ензими, или са техни инхибитори или индуктори.</w:t>
      </w:r>
    </w:p>
    <w:p w14:paraId="00FEC420" w14:textId="77777777" w:rsidR="00255C3B" w:rsidRDefault="00255C3B" w:rsidP="00255C3B">
      <w:pPr>
        <w:spacing w:line="202" w:lineRule="exact"/>
        <w:rPr>
          <w:sz w:val="20"/>
          <w:szCs w:val="20"/>
        </w:rPr>
      </w:pPr>
    </w:p>
    <w:p w14:paraId="48B6C169" w14:textId="10784404" w:rsidR="00255C3B" w:rsidRPr="00255C3B" w:rsidRDefault="00255C3B" w:rsidP="00255C3B">
      <w:pPr>
        <w:spacing w:line="259" w:lineRule="auto"/>
        <w:ind w:right="40"/>
      </w:pPr>
      <w:r w:rsidRPr="00255C3B">
        <w:rPr>
          <w:rFonts w:eastAsia="Times New Roman"/>
        </w:rPr>
        <w:t xml:space="preserve">Мощните инхибитори на активността на CYP3A4 намаляват метаболизма на ерлотиниб и увеличават плазмените му концентрации. При едно клинично проучване, едновременното приложение на ерлотиниб с кетоконазол (200 mg перорално, два пъти дневно в продължение на 5 дни), мощен инхибитор на CYP3A4, е довело до повишаване на експозицията на ерлотиниб (86% на AUC и 69% на Cmax). Поради това трябва да се внимава, когато ерлотиниб се комбинира с мощен инхибитор на CYP3A4, напр. азолови </w:t>
      </w:r>
      <w:r>
        <w:rPr>
          <w:rFonts w:eastAsia="Times New Roman"/>
        </w:rPr>
        <w:t>антимикотици (напр. кетоконазол</w:t>
      </w:r>
      <w:r w:rsidRPr="00255C3B">
        <w:rPr>
          <w:rFonts w:eastAsia="Times New Roman"/>
        </w:rPr>
        <w:t>, итраконазол, вориконазол), протеазни инхибитори, eритромицин или кларитромицин. Ако е необходимо, дозата на ерлотиниб трябва да се намали, особено при поява на токсичност.</w:t>
      </w:r>
    </w:p>
    <w:p w14:paraId="2626C56B" w14:textId="77777777" w:rsidR="00255C3B" w:rsidRDefault="00255C3B" w:rsidP="00255C3B">
      <w:pPr>
        <w:spacing w:line="196" w:lineRule="exact"/>
        <w:rPr>
          <w:sz w:val="20"/>
          <w:szCs w:val="20"/>
        </w:rPr>
      </w:pPr>
    </w:p>
    <w:p w14:paraId="71CDD964" w14:textId="02101013" w:rsidR="00255C3B" w:rsidRDefault="00255C3B" w:rsidP="00C62915">
      <w:pPr>
        <w:spacing w:line="277" w:lineRule="auto"/>
        <w:ind w:right="60"/>
        <w:rPr>
          <w:sz w:val="20"/>
          <w:szCs w:val="20"/>
        </w:rPr>
      </w:pPr>
      <w:r>
        <w:rPr>
          <w:rFonts w:eastAsia="Times New Roman"/>
        </w:rPr>
        <w:t>Мощните индуктори на активността на CYP3A4 засилват метаболизма на ерлотиниб и значимо намаляват плазмените му концентрации. При едно клинично проучване, едновременното</w:t>
      </w:r>
      <w:bookmarkStart w:id="6" w:name="page8"/>
      <w:bookmarkEnd w:id="6"/>
      <w:r>
        <w:rPr>
          <w:rFonts w:eastAsia="Times New Roman"/>
          <w:lang w:val="bg-BG"/>
        </w:rPr>
        <w:t xml:space="preserve"> </w:t>
      </w:r>
      <w:r>
        <w:rPr>
          <w:rFonts w:eastAsia="Times New Roman"/>
        </w:rPr>
        <w:t xml:space="preserve">приложение на ерлотиниб и рифампицин (600 mg перорално, веднъж дневно в продължение на 7 дни), мощен индуктор на CYP3A4, е довело до 69% намаление на медианната AUC на ерлотиниб. Едновременното приложение на рифампицин с еднократна доза от 450 mg </w:t>
      </w:r>
      <w:r w:rsidR="00C62915">
        <w:rPr>
          <w:rFonts w:eastAsia="Times New Roman"/>
          <w:lang w:val="bg-BG"/>
        </w:rPr>
        <w:t>ерлотиниб</w:t>
      </w:r>
      <w:r>
        <w:rPr>
          <w:rFonts w:eastAsia="Times New Roman"/>
        </w:rPr>
        <w:t xml:space="preserve"> е довело до средна експозиция на ерлотиниб (AUC) 57,5% от тази след еднократна доза от 150 mg </w:t>
      </w:r>
      <w:r w:rsidR="00C62915">
        <w:rPr>
          <w:rFonts w:eastAsia="Times New Roman"/>
          <w:lang w:val="bg-BG"/>
        </w:rPr>
        <w:t>ерлотиниб</w:t>
      </w:r>
      <w:r>
        <w:rPr>
          <w:rFonts w:eastAsia="Times New Roman"/>
        </w:rPr>
        <w:t xml:space="preserve"> без лечение с рифампицин. Поради това, едновременното приложение на</w:t>
      </w:r>
      <w:r>
        <w:rPr>
          <w:rFonts w:eastAsia="Times New Roman"/>
          <w:lang w:val="bg-BG"/>
        </w:rPr>
        <w:t xml:space="preserve"> </w:t>
      </w:r>
      <w:r w:rsidR="00C62915">
        <w:rPr>
          <w:rFonts w:eastAsia="Times New Roman"/>
          <w:lang w:val="bg-BG"/>
        </w:rPr>
        <w:t>ерлотиниб</w:t>
      </w:r>
      <w:r>
        <w:rPr>
          <w:rFonts w:eastAsia="Times New Roman"/>
        </w:rPr>
        <w:t xml:space="preserve"> с индуктори на CYP3A4 трябва да се избягва. При пациенти, които се нуждаят от</w:t>
      </w:r>
      <w:r w:rsidR="00C62915">
        <w:rPr>
          <w:rFonts w:eastAsia="Times New Roman"/>
          <w:lang w:val="bg-BG"/>
        </w:rPr>
        <w:t xml:space="preserve"> </w:t>
      </w:r>
      <w:r>
        <w:rPr>
          <w:rFonts w:eastAsia="Times New Roman"/>
        </w:rPr>
        <w:t xml:space="preserve">едновременно лечение с </w:t>
      </w:r>
      <w:r w:rsidR="00C62915">
        <w:rPr>
          <w:rFonts w:eastAsia="Times New Roman"/>
          <w:lang w:val="bg-BG"/>
        </w:rPr>
        <w:t>ерлотиниб</w:t>
      </w:r>
      <w:r>
        <w:rPr>
          <w:rFonts w:eastAsia="Times New Roman"/>
        </w:rPr>
        <w:t xml:space="preserve"> и мощен индуктор на CYP3A4 като рифампицин, трябва да се</w:t>
      </w:r>
      <w:r w:rsidR="00C62915">
        <w:rPr>
          <w:rFonts w:eastAsia="Times New Roman"/>
          <w:lang w:val="bg-BG"/>
        </w:rPr>
        <w:t xml:space="preserve"> </w:t>
      </w:r>
      <w:r>
        <w:rPr>
          <w:rFonts w:eastAsia="Times New Roman"/>
        </w:rPr>
        <w:t>обмисли увеличение на дозата до 300 mg, като внимателно се следи за безопасността</w:t>
      </w:r>
      <w:r w:rsidR="00C62915">
        <w:rPr>
          <w:rFonts w:eastAsia="Times New Roman"/>
          <w:lang w:val="bg-BG"/>
        </w:rPr>
        <w:t xml:space="preserve"> </w:t>
      </w:r>
      <w:r>
        <w:rPr>
          <w:rFonts w:eastAsia="Times New Roman"/>
        </w:rPr>
        <w:t>(включително бъбречната и чернодробната функция и серумн</w:t>
      </w:r>
      <w:r w:rsidR="00C62915">
        <w:rPr>
          <w:rFonts w:eastAsia="Times New Roman"/>
        </w:rPr>
        <w:t>ите електролити) и ако лечението</w:t>
      </w:r>
      <w:r w:rsidR="00C62915">
        <w:rPr>
          <w:rFonts w:eastAsia="Times New Roman"/>
          <w:lang w:val="bg-BG"/>
        </w:rPr>
        <w:t xml:space="preserve"> </w:t>
      </w:r>
      <w:r>
        <w:rPr>
          <w:rFonts w:eastAsia="Times New Roman"/>
        </w:rPr>
        <w:t>се понася добре в продължение на повече от 2 седмици, може да се помисли за допълнително</w:t>
      </w:r>
      <w:r w:rsidR="00C62915">
        <w:rPr>
          <w:rFonts w:eastAsia="Times New Roman"/>
          <w:lang w:val="bg-BG"/>
        </w:rPr>
        <w:t xml:space="preserve"> </w:t>
      </w:r>
      <w:r>
        <w:rPr>
          <w:rFonts w:eastAsia="Times New Roman"/>
        </w:rPr>
        <w:t>увеличаване до 450 mg при внимателно проследяване на безопасността. Намалена експозиция</w:t>
      </w:r>
      <w:r w:rsidR="00C62915">
        <w:rPr>
          <w:rFonts w:eastAsia="Times New Roman"/>
          <w:lang w:val="bg-BG"/>
        </w:rPr>
        <w:t xml:space="preserve"> </w:t>
      </w:r>
      <w:r>
        <w:rPr>
          <w:rFonts w:eastAsia="Times New Roman"/>
        </w:rPr>
        <w:t>може да се наблюдава и с други индуктори, напр. фенитоин, карбамазепин, барбитурати или</w:t>
      </w:r>
      <w:r w:rsidR="00C62915">
        <w:rPr>
          <w:rFonts w:eastAsia="Times New Roman"/>
          <w:lang w:val="bg-BG"/>
        </w:rPr>
        <w:t xml:space="preserve"> </w:t>
      </w:r>
      <w:r>
        <w:rPr>
          <w:rFonts w:eastAsia="Times New Roman"/>
        </w:rPr>
        <w:t>жълт кантарион (</w:t>
      </w:r>
      <w:r>
        <w:rPr>
          <w:rFonts w:eastAsia="Times New Roman"/>
          <w:i/>
          <w:iCs/>
        </w:rPr>
        <w:t>hypericum perforatum</w:t>
      </w:r>
      <w:r>
        <w:rPr>
          <w:rFonts w:eastAsia="Times New Roman"/>
        </w:rPr>
        <w:t>). Комбинирането на тези активни вещества с ерлотиниб</w:t>
      </w:r>
      <w:r w:rsidR="00C62915">
        <w:rPr>
          <w:rFonts w:eastAsia="Times New Roman"/>
          <w:lang w:val="bg-BG"/>
        </w:rPr>
        <w:t xml:space="preserve"> </w:t>
      </w:r>
      <w:r>
        <w:rPr>
          <w:rFonts w:eastAsia="Times New Roman"/>
        </w:rPr>
        <w:t>трябва да става предпазливо. Когато е възможно, трябва да се има предвид алтернативно</w:t>
      </w:r>
      <w:r w:rsidR="00C62915">
        <w:rPr>
          <w:rFonts w:eastAsia="Times New Roman"/>
          <w:lang w:val="bg-BG"/>
        </w:rPr>
        <w:t xml:space="preserve"> </w:t>
      </w:r>
      <w:r>
        <w:rPr>
          <w:rFonts w:eastAsia="Times New Roman"/>
        </w:rPr>
        <w:t>лечение без мощна индуцираща активност по отношение на CYP3A4.</w:t>
      </w:r>
    </w:p>
    <w:p w14:paraId="0119C000" w14:textId="77777777" w:rsidR="00255C3B" w:rsidRDefault="00255C3B" w:rsidP="00255C3B">
      <w:pPr>
        <w:spacing w:line="252" w:lineRule="exact"/>
        <w:rPr>
          <w:sz w:val="20"/>
          <w:szCs w:val="20"/>
        </w:rPr>
      </w:pPr>
    </w:p>
    <w:p w14:paraId="53E77E6A" w14:textId="77777777" w:rsidR="00255C3B" w:rsidRDefault="00255C3B" w:rsidP="00255C3B">
      <w:pPr>
        <w:rPr>
          <w:sz w:val="20"/>
          <w:szCs w:val="20"/>
        </w:rPr>
      </w:pPr>
      <w:r>
        <w:rPr>
          <w:rFonts w:eastAsia="Times New Roman"/>
          <w:u w:val="single"/>
        </w:rPr>
        <w:t>Ерлотиниб и кумаринови антикоагуланти</w:t>
      </w:r>
    </w:p>
    <w:p w14:paraId="72E98E1C" w14:textId="77777777" w:rsidR="00255C3B" w:rsidRDefault="00255C3B" w:rsidP="00255C3B">
      <w:pPr>
        <w:spacing w:line="1" w:lineRule="exact"/>
        <w:rPr>
          <w:sz w:val="20"/>
          <w:szCs w:val="20"/>
        </w:rPr>
      </w:pPr>
    </w:p>
    <w:p w14:paraId="04FDB92B" w14:textId="7C538179" w:rsidR="00255C3B" w:rsidRDefault="00C62915" w:rsidP="00255C3B">
      <w:pPr>
        <w:spacing w:line="250" w:lineRule="auto"/>
        <w:ind w:right="129"/>
        <w:rPr>
          <w:sz w:val="20"/>
          <w:szCs w:val="20"/>
        </w:rPr>
      </w:pPr>
      <w:r>
        <w:rPr>
          <w:rFonts w:eastAsia="Times New Roman"/>
        </w:rPr>
        <w:t>При пациенти, лекувани с ерлотиниб</w:t>
      </w:r>
      <w:r w:rsidR="00255C3B">
        <w:rPr>
          <w:rFonts w:eastAsia="Times New Roman"/>
        </w:rPr>
        <w:t>, има съобщения за взаимодействие с антикоагуланти, производни на кумарина, включително варфарин, водещо до повишение на Международното нормализирано съотношение (International Normalized Ratio, INR) и събития с кървене, които в някои случаи са били летални. Пациентите, приемащи антикоагуланти, производни на кумарина, трябва да се проследяват редовно за промени в протромбиновото време или INR.</w:t>
      </w:r>
    </w:p>
    <w:p w14:paraId="14B556CE" w14:textId="77777777" w:rsidR="00255C3B" w:rsidRDefault="00255C3B" w:rsidP="00255C3B">
      <w:pPr>
        <w:spacing w:line="199" w:lineRule="exact"/>
        <w:rPr>
          <w:sz w:val="20"/>
          <w:szCs w:val="20"/>
        </w:rPr>
      </w:pPr>
    </w:p>
    <w:p w14:paraId="0BCFC873" w14:textId="77777777" w:rsidR="00255C3B" w:rsidRDefault="00255C3B" w:rsidP="00255C3B">
      <w:pPr>
        <w:rPr>
          <w:sz w:val="20"/>
          <w:szCs w:val="20"/>
        </w:rPr>
      </w:pPr>
      <w:r>
        <w:rPr>
          <w:rFonts w:eastAsia="Times New Roman"/>
          <w:u w:val="single"/>
        </w:rPr>
        <w:t>Ерлотиниб и статини</w:t>
      </w:r>
    </w:p>
    <w:p w14:paraId="3D498C50" w14:textId="77777777" w:rsidR="00255C3B" w:rsidRDefault="00255C3B" w:rsidP="00255C3B">
      <w:pPr>
        <w:spacing w:line="1" w:lineRule="exact"/>
        <w:rPr>
          <w:sz w:val="20"/>
          <w:szCs w:val="20"/>
        </w:rPr>
      </w:pPr>
    </w:p>
    <w:p w14:paraId="4998BD2B" w14:textId="2A87A81D" w:rsidR="00255C3B" w:rsidRPr="00C62915" w:rsidRDefault="00255C3B" w:rsidP="00C62915">
      <w:pPr>
        <w:ind w:right="567"/>
      </w:pPr>
      <w:r>
        <w:rPr>
          <w:rFonts w:eastAsia="Times New Roman"/>
          <w:sz w:val="21"/>
          <w:szCs w:val="21"/>
        </w:rPr>
        <w:lastRenderedPageBreak/>
        <w:t>Ко</w:t>
      </w:r>
      <w:r w:rsidR="00C62915">
        <w:rPr>
          <w:rFonts w:eastAsia="Times New Roman"/>
        </w:rPr>
        <w:t>мбинацията на ерлотиниб</w:t>
      </w:r>
      <w:r w:rsidRPr="00C62915">
        <w:rPr>
          <w:rFonts w:eastAsia="Times New Roman"/>
        </w:rPr>
        <w:t xml:space="preserve"> със статин може да увеличи възможността от възникване на миопатия, индуцирана от статина, включително рабдомиолиза, което се наблюдава рядко.</w:t>
      </w:r>
    </w:p>
    <w:p w14:paraId="039DE7E0" w14:textId="77777777" w:rsidR="00255C3B" w:rsidRDefault="00255C3B" w:rsidP="00255C3B">
      <w:pPr>
        <w:spacing w:line="143" w:lineRule="exact"/>
        <w:rPr>
          <w:sz w:val="20"/>
          <w:szCs w:val="20"/>
        </w:rPr>
      </w:pPr>
    </w:p>
    <w:p w14:paraId="5BD53A44" w14:textId="77777777" w:rsidR="00255C3B" w:rsidRDefault="00255C3B" w:rsidP="00255C3B">
      <w:pPr>
        <w:rPr>
          <w:sz w:val="20"/>
          <w:szCs w:val="20"/>
        </w:rPr>
      </w:pPr>
      <w:r>
        <w:rPr>
          <w:rFonts w:eastAsia="Times New Roman"/>
          <w:u w:val="single"/>
        </w:rPr>
        <w:t>Ерлотиниб и пушачи</w:t>
      </w:r>
    </w:p>
    <w:p w14:paraId="1E291DE5" w14:textId="77777777" w:rsidR="00255C3B" w:rsidRDefault="00255C3B" w:rsidP="00255C3B">
      <w:pPr>
        <w:spacing w:line="1" w:lineRule="exact"/>
        <w:rPr>
          <w:sz w:val="20"/>
          <w:szCs w:val="20"/>
        </w:rPr>
      </w:pPr>
    </w:p>
    <w:p w14:paraId="2A6C8FD7" w14:textId="36D97957" w:rsidR="00255C3B" w:rsidRDefault="00255C3B" w:rsidP="00255C3B">
      <w:pPr>
        <w:spacing w:line="243" w:lineRule="auto"/>
        <w:ind w:right="109"/>
        <w:rPr>
          <w:sz w:val="20"/>
          <w:szCs w:val="20"/>
        </w:rPr>
      </w:pPr>
      <w:r>
        <w:rPr>
          <w:rFonts w:eastAsia="Times New Roman"/>
        </w:rPr>
        <w:t>Резултатите от едно проучване на фармакокинетичните взаимодействия показват значимо намаление от 2,8 - 1,5- и 9 пъти на AUC</w:t>
      </w:r>
      <w:r>
        <w:rPr>
          <w:rFonts w:eastAsia="Times New Roman"/>
          <w:sz w:val="13"/>
          <w:szCs w:val="13"/>
        </w:rPr>
        <w:t>inf</w:t>
      </w:r>
      <w:r>
        <w:rPr>
          <w:rFonts w:eastAsia="Times New Roman"/>
        </w:rPr>
        <w:t>, C</w:t>
      </w:r>
      <w:r>
        <w:rPr>
          <w:rFonts w:eastAsia="Times New Roman"/>
          <w:sz w:val="13"/>
          <w:szCs w:val="13"/>
        </w:rPr>
        <w:t>max</w:t>
      </w:r>
      <w:r>
        <w:rPr>
          <w:rFonts w:eastAsia="Times New Roman"/>
        </w:rPr>
        <w:t xml:space="preserve"> и плазмената концентрация след 24 часа , съот</w:t>
      </w:r>
      <w:r w:rsidR="00C62915">
        <w:rPr>
          <w:rFonts w:eastAsia="Times New Roman"/>
        </w:rPr>
        <w:t>ветно след приложение на ерлотиниб</w:t>
      </w:r>
      <w:r>
        <w:rPr>
          <w:rFonts w:eastAsia="Times New Roman"/>
        </w:rPr>
        <w:t xml:space="preserve"> при пушачи, в сравнение с непушачите. Поради това, пациентите, които продължават да пушат, трябва да бъдат насърчавани да преустановят пушенето във възможно най-кратки срокове преди</w:t>
      </w:r>
      <w:r w:rsidR="00C62915">
        <w:rPr>
          <w:rFonts w:eastAsia="Times New Roman"/>
        </w:rPr>
        <w:t xml:space="preserve"> началото на лечението с ерлотиниб</w:t>
      </w:r>
      <w:r>
        <w:rPr>
          <w:rFonts w:eastAsia="Times New Roman"/>
        </w:rPr>
        <w:t>, тъй като в противен случай плазмените концентрации на ерлотиниб намаляват. Въз основа на данните от проучване CURRENTS не са установени доказателства за някаква полза от по-висока доза ерлотиниб 300 mg в сравнение с препоръчителната доза 150 mg при активни пушачи. Данните за безопасност са сравними между дозите 300 mg и 150 mg. Има обаче числено повишение на честотата на обрив, интерстициална белодробна болест и диария при пациентите, получаващи по-високата доза ерлотиниб (вж. точки 4.2, 4.4, 5.1 и 5.2).</w:t>
      </w:r>
    </w:p>
    <w:p w14:paraId="21D7070B" w14:textId="77777777" w:rsidR="00255C3B" w:rsidRDefault="00255C3B" w:rsidP="00255C3B">
      <w:pPr>
        <w:spacing w:line="216" w:lineRule="exact"/>
        <w:rPr>
          <w:sz w:val="20"/>
          <w:szCs w:val="20"/>
        </w:rPr>
      </w:pPr>
    </w:p>
    <w:p w14:paraId="513605F7" w14:textId="77777777" w:rsidR="00255C3B" w:rsidRDefault="00255C3B" w:rsidP="00255C3B">
      <w:pPr>
        <w:rPr>
          <w:sz w:val="20"/>
          <w:szCs w:val="20"/>
        </w:rPr>
      </w:pPr>
      <w:r>
        <w:rPr>
          <w:rFonts w:eastAsia="Times New Roman"/>
          <w:u w:val="single"/>
        </w:rPr>
        <w:t>Ерлотиниб и инхибитори на P-гликопротеина</w:t>
      </w:r>
    </w:p>
    <w:p w14:paraId="208FADD3" w14:textId="77777777" w:rsidR="00255C3B" w:rsidRDefault="00255C3B" w:rsidP="00255C3B">
      <w:pPr>
        <w:spacing w:line="1" w:lineRule="exact"/>
        <w:rPr>
          <w:sz w:val="20"/>
          <w:szCs w:val="20"/>
        </w:rPr>
      </w:pPr>
    </w:p>
    <w:p w14:paraId="430C2A01" w14:textId="77777777" w:rsidR="00255C3B" w:rsidRDefault="00255C3B" w:rsidP="00255C3B">
      <w:pPr>
        <w:spacing w:line="250" w:lineRule="auto"/>
        <w:ind w:right="209"/>
        <w:rPr>
          <w:sz w:val="20"/>
          <w:szCs w:val="20"/>
        </w:rPr>
      </w:pPr>
      <w:r>
        <w:rPr>
          <w:rFonts w:eastAsia="Times New Roman"/>
        </w:rPr>
        <w:t>Ерлотиниб е субстрат на P-гликопротеина, преносител на активни вещества. Едновременното приложение на инхибитори на Pgp, напр. циклоспорин и верапамил, може да доведе до промени в разпределението и/или променено елиминиране на ерлотиниб. Последствията на това взаимодействие напр. за токсичността на ЦНС не са установени. Трябва да се внимава в такива ситуации.</w:t>
      </w:r>
    </w:p>
    <w:p w14:paraId="44B4449A" w14:textId="77777777" w:rsidR="00255C3B" w:rsidRDefault="00255C3B" w:rsidP="00255C3B">
      <w:pPr>
        <w:spacing w:line="199" w:lineRule="exact"/>
        <w:rPr>
          <w:sz w:val="20"/>
          <w:szCs w:val="20"/>
        </w:rPr>
      </w:pPr>
    </w:p>
    <w:p w14:paraId="52B8926C" w14:textId="77777777" w:rsidR="00255C3B" w:rsidRDefault="00255C3B" w:rsidP="00255C3B">
      <w:pPr>
        <w:rPr>
          <w:sz w:val="20"/>
          <w:szCs w:val="20"/>
        </w:rPr>
      </w:pPr>
      <w:r>
        <w:rPr>
          <w:rFonts w:eastAsia="Times New Roman"/>
          <w:u w:val="single"/>
        </w:rPr>
        <w:t>Ерлотиниб и лекарствени продукти, които променят pH</w:t>
      </w:r>
    </w:p>
    <w:p w14:paraId="0DD62835" w14:textId="77777777" w:rsidR="00255C3B" w:rsidRDefault="00255C3B" w:rsidP="00255C3B">
      <w:pPr>
        <w:spacing w:line="1" w:lineRule="exact"/>
        <w:rPr>
          <w:sz w:val="20"/>
          <w:szCs w:val="20"/>
        </w:rPr>
      </w:pPr>
    </w:p>
    <w:p w14:paraId="1F73DF49" w14:textId="1CE90EF4" w:rsidR="00255C3B" w:rsidRDefault="00255C3B" w:rsidP="006E6F39">
      <w:pPr>
        <w:spacing w:line="244" w:lineRule="auto"/>
        <w:ind w:right="9"/>
        <w:rPr>
          <w:rFonts w:eastAsia="Times New Roman"/>
        </w:rPr>
      </w:pPr>
      <w:r>
        <w:rPr>
          <w:rFonts w:eastAsia="Times New Roman"/>
        </w:rPr>
        <w:t>Ерлотиниб се характеризира с намаление на разтворимостта при pH над 5. Лекарствените продукти, които променят pH на горните отдели на стомашно-чревния тракт (СЧТ), може да променят разтворимостта на ерлотиниб, а оттам и неговата бионаличност. Едновременното приложение на ерлотиниб с омепразол, инхибитор на протонната помпа (ИПП), намалява експозицията на ерлотиниб [AUC] и максималната концентрация [C</w:t>
      </w:r>
      <w:r>
        <w:rPr>
          <w:rFonts w:eastAsia="Times New Roman"/>
          <w:sz w:val="13"/>
          <w:szCs w:val="13"/>
        </w:rPr>
        <w:t xml:space="preserve"> max</w:t>
      </w:r>
      <w:r>
        <w:rPr>
          <w:rFonts w:eastAsia="Times New Roman"/>
        </w:rPr>
        <w:t>] съответно с 46% и 61%. Няма промяна в T</w:t>
      </w:r>
      <w:r>
        <w:rPr>
          <w:rFonts w:eastAsia="Times New Roman"/>
          <w:sz w:val="13"/>
          <w:szCs w:val="13"/>
        </w:rPr>
        <w:t>max</w:t>
      </w:r>
      <w:r>
        <w:rPr>
          <w:rFonts w:eastAsia="Times New Roman"/>
        </w:rPr>
        <w:t xml:space="preserve"> или полуживота. Едно</w:t>
      </w:r>
      <w:r w:rsidR="00C62915">
        <w:rPr>
          <w:rFonts w:eastAsia="Times New Roman"/>
        </w:rPr>
        <w:t>временното приложение на ерлотиниб</w:t>
      </w:r>
      <w:r>
        <w:rPr>
          <w:rFonts w:eastAsia="Times New Roman"/>
        </w:rPr>
        <w:t xml:space="preserve"> с 300 mg ранитидин, H2-рецепторен антагонист, понижава експозицията на ерлотиниб [AUC] и максималните концентрации [C</w:t>
      </w:r>
      <w:r>
        <w:rPr>
          <w:rFonts w:eastAsia="Times New Roman"/>
          <w:sz w:val="13"/>
          <w:szCs w:val="13"/>
        </w:rPr>
        <w:t>max</w:t>
      </w:r>
      <w:r>
        <w:rPr>
          <w:rFonts w:eastAsia="Times New Roman"/>
        </w:rPr>
        <w:t xml:space="preserve">] съответно с 33% и 54%. Малко е вероятно повишаването на дозата на </w:t>
      </w:r>
      <w:r w:rsidR="00C62915">
        <w:rPr>
          <w:rFonts w:eastAsia="Times New Roman"/>
          <w:lang w:val="bg-BG"/>
        </w:rPr>
        <w:t>ерлотиниб</w:t>
      </w:r>
      <w:r>
        <w:rPr>
          <w:rFonts w:eastAsia="Times New Roman"/>
        </w:rPr>
        <w:t xml:space="preserve"> при едновременно приложение с такива препарати да компенсира това</w:t>
      </w:r>
      <w:bookmarkStart w:id="7" w:name="page9"/>
      <w:bookmarkEnd w:id="7"/>
      <w:r w:rsidR="00C62915">
        <w:rPr>
          <w:rFonts w:eastAsia="Times New Roman"/>
          <w:lang w:val="bg-BG"/>
        </w:rPr>
        <w:t xml:space="preserve"> </w:t>
      </w:r>
      <w:r>
        <w:rPr>
          <w:rFonts w:eastAsia="Times New Roman"/>
        </w:rPr>
        <w:t xml:space="preserve">намаляване на експозицията. Когато </w:t>
      </w:r>
      <w:r w:rsidR="00C62915">
        <w:rPr>
          <w:rFonts w:eastAsia="Times New Roman"/>
          <w:lang w:val="bg-BG"/>
        </w:rPr>
        <w:t>ерлотиниб</w:t>
      </w:r>
      <w:r>
        <w:rPr>
          <w:rFonts w:eastAsia="Times New Roman"/>
        </w:rPr>
        <w:t xml:space="preserve"> обаче се дозира, разпределен във времето, 2 часа преди или 10 часа след ранитидин 150 mg два пъти дневно, експозицията на ерлотиниб [AUC] и максималните концентрации [C</w:t>
      </w:r>
      <w:r>
        <w:rPr>
          <w:rFonts w:eastAsia="Times New Roman"/>
          <w:sz w:val="13"/>
          <w:szCs w:val="13"/>
        </w:rPr>
        <w:t>max</w:t>
      </w:r>
      <w:r>
        <w:rPr>
          <w:rFonts w:eastAsia="Times New Roman"/>
        </w:rPr>
        <w:t>] се понижават съответно само с 15% и 17%. Ефектът на антиацидите върху абсорбцията на ерлотиниб не е изследван, но абсорбцията може да е нарушена, което може да доведе до по-ниски плазмени нива. Накратко, комбинирането на ерлотиниб с инхибитори на протонната помпа трябва да се избягва. Ако по време на лечението</w:t>
      </w:r>
      <w:r w:rsidR="006E6F39">
        <w:rPr>
          <w:rFonts w:eastAsia="Times New Roman"/>
          <w:lang w:val="bg-BG"/>
        </w:rPr>
        <w:t xml:space="preserve"> с ерлотиниб</w:t>
      </w:r>
      <w:r>
        <w:rPr>
          <w:rFonts w:eastAsia="Times New Roman"/>
        </w:rPr>
        <w:t xml:space="preserve"> употребата на антиациди се счита за необходима, те трябва да се приемат най-малко</w:t>
      </w:r>
      <w:r w:rsidR="006E6F39">
        <w:rPr>
          <w:rFonts w:eastAsia="Times New Roman"/>
          <w:lang w:val="bg-BG"/>
        </w:rPr>
        <w:t xml:space="preserve"> </w:t>
      </w:r>
      <w:r>
        <w:rPr>
          <w:rFonts w:eastAsia="Times New Roman"/>
        </w:rPr>
        <w:t xml:space="preserve">4 часа преди или 2 часа след дневната доза на </w:t>
      </w:r>
      <w:r w:rsidR="006E6F39">
        <w:rPr>
          <w:rFonts w:eastAsia="Times New Roman"/>
          <w:lang w:val="bg-BG"/>
        </w:rPr>
        <w:t>ерлотиниб</w:t>
      </w:r>
      <w:r>
        <w:rPr>
          <w:rFonts w:eastAsia="Times New Roman"/>
        </w:rPr>
        <w:t xml:space="preserve">. Ако се обмисля употреба на ранитидин, той трябва да се разпредели във времето, т.е. </w:t>
      </w:r>
      <w:r w:rsidR="006E6F39">
        <w:rPr>
          <w:rFonts w:eastAsia="Times New Roman"/>
          <w:lang w:val="bg-BG"/>
        </w:rPr>
        <w:t>ерлотиниб</w:t>
      </w:r>
      <w:r>
        <w:rPr>
          <w:rFonts w:eastAsia="Times New Roman"/>
        </w:rPr>
        <w:t xml:space="preserve"> трябва да се приема най-малко 2 часа преди или 10 часа след приема на ранитидин.</w:t>
      </w:r>
    </w:p>
    <w:p w14:paraId="3B49C75D" w14:textId="77777777" w:rsidR="00255C3B" w:rsidRDefault="00255C3B" w:rsidP="00255C3B">
      <w:pPr>
        <w:spacing w:line="191" w:lineRule="exact"/>
        <w:rPr>
          <w:sz w:val="20"/>
          <w:szCs w:val="20"/>
        </w:rPr>
      </w:pPr>
    </w:p>
    <w:p w14:paraId="18721E71" w14:textId="77777777" w:rsidR="00255C3B" w:rsidRDefault="00255C3B" w:rsidP="00255C3B">
      <w:pPr>
        <w:ind w:left="4"/>
        <w:rPr>
          <w:sz w:val="20"/>
          <w:szCs w:val="20"/>
        </w:rPr>
      </w:pPr>
      <w:r>
        <w:rPr>
          <w:rFonts w:eastAsia="Times New Roman"/>
          <w:u w:val="single"/>
        </w:rPr>
        <w:t>Ерлотиниб и гемцитабин</w:t>
      </w:r>
    </w:p>
    <w:p w14:paraId="6D069EDA" w14:textId="77777777" w:rsidR="00255C3B" w:rsidRDefault="00255C3B" w:rsidP="006E6F39">
      <w:pPr>
        <w:numPr>
          <w:ilvl w:val="0"/>
          <w:numId w:val="7"/>
        </w:numPr>
        <w:tabs>
          <w:tab w:val="left" w:pos="206"/>
        </w:tabs>
        <w:spacing w:line="261" w:lineRule="auto"/>
        <w:ind w:left="4" w:right="12" w:hanging="4"/>
        <w:rPr>
          <w:rFonts w:eastAsia="Times New Roman"/>
        </w:rPr>
      </w:pPr>
      <w:r>
        <w:rPr>
          <w:rFonts w:eastAsia="Times New Roman"/>
        </w:rPr>
        <w:t>едно проучване фаза Іb не са отбелязани значими ефекти на гемцитабин върху фармакокинетиката на ерлотиниб, нито значими ефекти на ерлотиниб върху фармакокинетиката на гемцитабин.</w:t>
      </w:r>
    </w:p>
    <w:p w14:paraId="32090E2D" w14:textId="77777777" w:rsidR="00255C3B" w:rsidRDefault="00255C3B" w:rsidP="00255C3B">
      <w:pPr>
        <w:spacing w:line="187" w:lineRule="exact"/>
        <w:rPr>
          <w:sz w:val="20"/>
          <w:szCs w:val="20"/>
        </w:rPr>
      </w:pPr>
    </w:p>
    <w:p w14:paraId="2071AD4A" w14:textId="77777777" w:rsidR="00255C3B" w:rsidRDefault="00255C3B" w:rsidP="00255C3B">
      <w:pPr>
        <w:ind w:left="4"/>
        <w:rPr>
          <w:sz w:val="20"/>
          <w:szCs w:val="20"/>
        </w:rPr>
      </w:pPr>
      <w:r>
        <w:rPr>
          <w:rFonts w:eastAsia="Times New Roman"/>
          <w:u w:val="single"/>
        </w:rPr>
        <w:t>Ерлотиниб и карбоплатин/паклитаксел</w:t>
      </w:r>
    </w:p>
    <w:p w14:paraId="4411BAA9" w14:textId="77777777" w:rsidR="00255C3B" w:rsidRDefault="00255C3B" w:rsidP="00255C3B">
      <w:pPr>
        <w:spacing w:line="1" w:lineRule="exact"/>
        <w:rPr>
          <w:sz w:val="20"/>
          <w:szCs w:val="20"/>
        </w:rPr>
      </w:pPr>
    </w:p>
    <w:p w14:paraId="7732C9DF" w14:textId="77777777" w:rsidR="00255C3B" w:rsidRDefault="00255C3B" w:rsidP="00255C3B">
      <w:pPr>
        <w:spacing w:line="246" w:lineRule="auto"/>
        <w:ind w:left="4" w:right="49"/>
        <w:rPr>
          <w:sz w:val="20"/>
          <w:szCs w:val="20"/>
        </w:rPr>
      </w:pPr>
      <w:r>
        <w:rPr>
          <w:rFonts w:eastAsia="Times New Roman"/>
        </w:rPr>
        <w:t>Ерлотиниб повишава концентрациите на платината. При едно клинично проучване едновременната употреба на ерлотиниб с карбоплатин и паклитаксел води до повишаване на общата AUC</w:t>
      </w:r>
      <w:r>
        <w:rPr>
          <w:rFonts w:eastAsia="Times New Roman"/>
          <w:sz w:val="13"/>
          <w:szCs w:val="13"/>
        </w:rPr>
        <w:t>0-48</w:t>
      </w:r>
      <w:r>
        <w:rPr>
          <w:rFonts w:eastAsia="Times New Roman"/>
        </w:rPr>
        <w:t xml:space="preserve"> на платината с 10,6%. Въпреки статистическата значимост, не се счита, че големината на тази разлика е от клинично значение. В клиничната практика може да има други съпътстващи фактори, като бъбречното увреждане, водещи до повишена експозиция на карбоплатин. Няма значими ефекти на карбоплатин или паклитаксел върху фармакокинетиката на ерлотиниб.</w:t>
      </w:r>
    </w:p>
    <w:p w14:paraId="7277601A" w14:textId="77777777" w:rsidR="00255C3B" w:rsidRDefault="00255C3B" w:rsidP="00255C3B">
      <w:pPr>
        <w:spacing w:line="207" w:lineRule="exact"/>
        <w:rPr>
          <w:sz w:val="20"/>
          <w:szCs w:val="20"/>
        </w:rPr>
      </w:pPr>
    </w:p>
    <w:p w14:paraId="68AEBB75" w14:textId="77777777" w:rsidR="00255C3B" w:rsidRDefault="00255C3B" w:rsidP="00255C3B">
      <w:pPr>
        <w:ind w:left="4"/>
        <w:rPr>
          <w:sz w:val="20"/>
          <w:szCs w:val="20"/>
        </w:rPr>
      </w:pPr>
      <w:r>
        <w:rPr>
          <w:rFonts w:eastAsia="Times New Roman"/>
          <w:u w:val="single"/>
        </w:rPr>
        <w:t>Ерлотиниб и капецитабин</w:t>
      </w:r>
    </w:p>
    <w:p w14:paraId="125A54A5" w14:textId="77777777" w:rsidR="00255C3B" w:rsidRDefault="00255C3B" w:rsidP="00255C3B">
      <w:pPr>
        <w:spacing w:line="250" w:lineRule="auto"/>
        <w:ind w:left="4" w:right="29"/>
        <w:rPr>
          <w:sz w:val="20"/>
          <w:szCs w:val="20"/>
        </w:rPr>
      </w:pPr>
      <w:r>
        <w:rPr>
          <w:rFonts w:eastAsia="Times New Roman"/>
        </w:rPr>
        <w:lastRenderedPageBreak/>
        <w:t>Капецитабин може да повиши концентрациите на ерлотиниб. Когато ерлотиниб се прилага в комбинация с капецитабин, е наблюдавано статистически значимо повишение на AUC на ерлотиниб и гранично увеличение на C</w:t>
      </w:r>
      <w:r>
        <w:rPr>
          <w:rFonts w:eastAsia="Times New Roman"/>
          <w:sz w:val="13"/>
          <w:szCs w:val="13"/>
        </w:rPr>
        <w:t>max</w:t>
      </w:r>
      <w:r>
        <w:rPr>
          <w:rFonts w:eastAsia="Times New Roman"/>
        </w:rPr>
        <w:t xml:space="preserve"> в сравнение със стойностите, наблюдавани при друго проучване, където ерлотиниб е прилаган самостоятелно. Няма значими ефекти на ерлотиниб върху фармакокинетиката на капецитабин.</w:t>
      </w:r>
    </w:p>
    <w:p w14:paraId="2E6DE8F4" w14:textId="77777777" w:rsidR="00255C3B" w:rsidRDefault="00255C3B" w:rsidP="00255C3B">
      <w:pPr>
        <w:spacing w:line="199" w:lineRule="exact"/>
        <w:rPr>
          <w:sz w:val="20"/>
          <w:szCs w:val="20"/>
        </w:rPr>
      </w:pPr>
    </w:p>
    <w:p w14:paraId="498E9628" w14:textId="77777777" w:rsidR="00255C3B" w:rsidRDefault="00255C3B" w:rsidP="00255C3B">
      <w:pPr>
        <w:ind w:left="4"/>
        <w:rPr>
          <w:sz w:val="20"/>
          <w:szCs w:val="20"/>
        </w:rPr>
      </w:pPr>
      <w:r>
        <w:rPr>
          <w:rFonts w:eastAsia="Times New Roman"/>
          <w:u w:val="single"/>
        </w:rPr>
        <w:t>Ерлотиниб и протеазомни инхибитори</w:t>
      </w:r>
    </w:p>
    <w:p w14:paraId="7E235B3D" w14:textId="77777777" w:rsidR="00255C3B" w:rsidRDefault="00255C3B" w:rsidP="00255C3B">
      <w:pPr>
        <w:spacing w:line="1" w:lineRule="exact"/>
        <w:rPr>
          <w:sz w:val="20"/>
          <w:szCs w:val="20"/>
        </w:rPr>
      </w:pPr>
    </w:p>
    <w:p w14:paraId="2D7023C7" w14:textId="77777777" w:rsidR="00255C3B" w:rsidRDefault="00255C3B" w:rsidP="00255C3B">
      <w:pPr>
        <w:spacing w:line="253" w:lineRule="auto"/>
        <w:ind w:left="4" w:right="929"/>
        <w:jc w:val="both"/>
        <w:rPr>
          <w:sz w:val="20"/>
          <w:szCs w:val="20"/>
        </w:rPr>
      </w:pPr>
      <w:r>
        <w:rPr>
          <w:rFonts w:eastAsia="Times New Roman"/>
        </w:rPr>
        <w:t>Поради механизма им на действие, може да се очаква, че протеазомните инхибитори, включително бортезомиб, повлияват ефекта на инхибиторите на EGFR, включително ерлотиниб. Това влияние се подкрепя от ограничени клинични данни и предклинични изследвания, показващи разграждане на EGFR от протеазомите.</w:t>
      </w:r>
    </w:p>
    <w:p w14:paraId="62CBF79C" w14:textId="77777777" w:rsidR="00992061" w:rsidRDefault="00992061">
      <w:pPr>
        <w:spacing w:line="182" w:lineRule="exact"/>
        <w:rPr>
          <w:sz w:val="20"/>
          <w:szCs w:val="20"/>
        </w:rPr>
      </w:pPr>
    </w:p>
    <w:p w14:paraId="45E70685" w14:textId="77777777" w:rsidR="00992061" w:rsidRDefault="00D1402E">
      <w:pPr>
        <w:tabs>
          <w:tab w:val="left" w:pos="543"/>
        </w:tabs>
        <w:ind w:left="4"/>
        <w:rPr>
          <w:sz w:val="20"/>
          <w:szCs w:val="20"/>
        </w:rPr>
      </w:pPr>
      <w:r>
        <w:rPr>
          <w:rFonts w:eastAsia="Times New Roman"/>
          <w:b/>
          <w:bCs/>
        </w:rPr>
        <w:t>4.6</w:t>
      </w:r>
      <w:r>
        <w:rPr>
          <w:sz w:val="20"/>
          <w:szCs w:val="20"/>
        </w:rPr>
        <w:tab/>
      </w:r>
      <w:r>
        <w:rPr>
          <w:rFonts w:eastAsia="Times New Roman"/>
          <w:b/>
          <w:bCs/>
        </w:rPr>
        <w:t>Фертилитет, бременност и кърмене</w:t>
      </w:r>
    </w:p>
    <w:p w14:paraId="4AF1F6E8" w14:textId="77777777" w:rsidR="00992061" w:rsidRDefault="00992061">
      <w:pPr>
        <w:spacing w:line="250" w:lineRule="exact"/>
        <w:rPr>
          <w:sz w:val="20"/>
          <w:szCs w:val="20"/>
        </w:rPr>
      </w:pPr>
    </w:p>
    <w:p w14:paraId="3F99ECE9" w14:textId="77777777" w:rsidR="00992061" w:rsidRDefault="00D1402E">
      <w:pPr>
        <w:ind w:left="4"/>
        <w:rPr>
          <w:sz w:val="20"/>
          <w:szCs w:val="20"/>
        </w:rPr>
      </w:pPr>
      <w:r>
        <w:rPr>
          <w:rFonts w:eastAsia="Times New Roman"/>
          <w:u w:val="single"/>
        </w:rPr>
        <w:t>Бременност</w:t>
      </w:r>
    </w:p>
    <w:p w14:paraId="0F227D31" w14:textId="77777777" w:rsidR="00992061" w:rsidRDefault="00992061">
      <w:pPr>
        <w:spacing w:line="1" w:lineRule="exact"/>
        <w:rPr>
          <w:sz w:val="20"/>
          <w:szCs w:val="20"/>
        </w:rPr>
      </w:pPr>
    </w:p>
    <w:p w14:paraId="39296C69" w14:textId="77777777" w:rsidR="00992061" w:rsidRDefault="00D1402E">
      <w:pPr>
        <w:spacing w:line="250" w:lineRule="auto"/>
        <w:ind w:left="4" w:right="9"/>
        <w:rPr>
          <w:sz w:val="20"/>
          <w:szCs w:val="20"/>
        </w:rPr>
      </w:pPr>
      <w:r>
        <w:rPr>
          <w:rFonts w:eastAsia="Times New Roman"/>
        </w:rPr>
        <w:t>Няма достатъчно данни за употребата на ерлотиниб при бременни жени. Проучванията при животни не показват данни за тератогенност или отклонения при раждането. Не може обаче да се изключи нежелан ефект върху бременността, тъй като проучванията при плъхове и зайци са показали повишена ембрио/фетална смъртност (вж. точка 5.3). Потенциалният риск за хора не е известен.</w:t>
      </w:r>
    </w:p>
    <w:p w14:paraId="0530C70C" w14:textId="77777777" w:rsidR="00992061" w:rsidRDefault="00992061">
      <w:pPr>
        <w:spacing w:line="199" w:lineRule="exact"/>
        <w:rPr>
          <w:sz w:val="20"/>
          <w:szCs w:val="20"/>
        </w:rPr>
      </w:pPr>
    </w:p>
    <w:p w14:paraId="3B50D51A" w14:textId="77777777" w:rsidR="00992061" w:rsidRDefault="00D1402E">
      <w:pPr>
        <w:ind w:left="4"/>
        <w:rPr>
          <w:sz w:val="20"/>
          <w:szCs w:val="20"/>
        </w:rPr>
      </w:pPr>
      <w:r>
        <w:rPr>
          <w:rFonts w:eastAsia="Times New Roman"/>
          <w:u w:val="single"/>
        </w:rPr>
        <w:t>Жени с детероден потенциал</w:t>
      </w:r>
    </w:p>
    <w:p w14:paraId="270C13B3" w14:textId="77777777" w:rsidR="00992061" w:rsidRDefault="00992061">
      <w:pPr>
        <w:spacing w:line="1" w:lineRule="exact"/>
        <w:rPr>
          <w:sz w:val="20"/>
          <w:szCs w:val="20"/>
        </w:rPr>
      </w:pPr>
    </w:p>
    <w:p w14:paraId="155C77EC" w14:textId="411A9986" w:rsidR="00992061" w:rsidRDefault="00D1402E">
      <w:pPr>
        <w:spacing w:line="253" w:lineRule="auto"/>
        <w:ind w:left="4" w:right="489"/>
        <w:rPr>
          <w:sz w:val="20"/>
          <w:szCs w:val="20"/>
        </w:rPr>
      </w:pPr>
      <w:r>
        <w:rPr>
          <w:rFonts w:eastAsia="Times New Roman"/>
        </w:rPr>
        <w:t xml:space="preserve">Жените с детероден потенциал трябва да се съветват да избягват забременяване, докато се лекуват с </w:t>
      </w:r>
      <w:r w:rsidR="006E6F39">
        <w:rPr>
          <w:rFonts w:eastAsia="Times New Roman"/>
          <w:lang w:val="bg-BG"/>
        </w:rPr>
        <w:t>ерлотиниб</w:t>
      </w:r>
      <w:r>
        <w:rPr>
          <w:rFonts w:eastAsia="Times New Roman"/>
        </w:rPr>
        <w:t>. Трябва да се използва ефективна контрацепция по време на и най -малко 2 седмици след лечението. Лечението при бременни жени трябва да продължи само ако потенциалната полза за майката надхвърля риска за фетуса.</w:t>
      </w:r>
    </w:p>
    <w:p w14:paraId="17714D90" w14:textId="77777777" w:rsidR="00992061" w:rsidRDefault="00992061">
      <w:pPr>
        <w:spacing w:line="196" w:lineRule="exact"/>
        <w:rPr>
          <w:sz w:val="20"/>
          <w:szCs w:val="20"/>
        </w:rPr>
      </w:pPr>
    </w:p>
    <w:p w14:paraId="70B942F5" w14:textId="77777777" w:rsidR="00992061" w:rsidRDefault="00D1402E">
      <w:pPr>
        <w:ind w:left="4"/>
        <w:rPr>
          <w:sz w:val="20"/>
          <w:szCs w:val="20"/>
        </w:rPr>
      </w:pPr>
      <w:r>
        <w:rPr>
          <w:rFonts w:eastAsia="Times New Roman"/>
          <w:u w:val="single"/>
        </w:rPr>
        <w:t>Кърмене</w:t>
      </w:r>
    </w:p>
    <w:p w14:paraId="0E4AB34F" w14:textId="77777777" w:rsidR="00992061" w:rsidRDefault="00992061">
      <w:pPr>
        <w:spacing w:line="1" w:lineRule="exact"/>
        <w:rPr>
          <w:sz w:val="20"/>
          <w:szCs w:val="20"/>
        </w:rPr>
      </w:pPr>
    </w:p>
    <w:p w14:paraId="62CD8C61" w14:textId="575824EC" w:rsidR="00817C56" w:rsidRPr="00817C56" w:rsidRDefault="00D1402E" w:rsidP="006E6F39">
      <w:pPr>
        <w:ind w:left="6" w:right="11"/>
        <w:rPr>
          <w:rFonts w:eastAsia="Times New Roman"/>
        </w:rPr>
      </w:pPr>
      <w:r w:rsidRPr="00817C56">
        <w:rPr>
          <w:rFonts w:eastAsia="Times New Roman"/>
        </w:rPr>
        <w:t>Не е известно дали ерлотиниб се екскретира с кърмата. Не са провеждани проучвания за оц</w:t>
      </w:r>
      <w:r w:rsidR="006E6F39">
        <w:rPr>
          <w:rFonts w:eastAsia="Times New Roman"/>
        </w:rPr>
        <w:t>енка на въздействието на ерлотиниб</w:t>
      </w:r>
      <w:r w:rsidRPr="00817C56">
        <w:rPr>
          <w:rFonts w:eastAsia="Times New Roman"/>
        </w:rPr>
        <w:t xml:space="preserve"> върху производството на мляко или за наличието му в кърмата.</w:t>
      </w:r>
      <w:bookmarkStart w:id="8" w:name="page10"/>
      <w:bookmarkEnd w:id="8"/>
    </w:p>
    <w:p w14:paraId="028F454D" w14:textId="4D7D0636" w:rsidR="00992061" w:rsidRDefault="00D1402E" w:rsidP="006E6F39">
      <w:pPr>
        <w:ind w:left="6" w:right="11"/>
        <w:rPr>
          <w:sz w:val="20"/>
          <w:szCs w:val="20"/>
        </w:rPr>
      </w:pPr>
      <w:r>
        <w:rPr>
          <w:rFonts w:eastAsia="Times New Roman"/>
        </w:rPr>
        <w:t>Тъй като потенциалната вреда за кърмачето е неизвестна, майките трябва да се посъветват да н</w:t>
      </w:r>
      <w:r w:rsidR="006E6F39">
        <w:rPr>
          <w:rFonts w:eastAsia="Times New Roman"/>
        </w:rPr>
        <w:t>е кърмят, докато приемат ерлотиниб</w:t>
      </w:r>
      <w:r>
        <w:rPr>
          <w:rFonts w:eastAsia="Times New Roman"/>
        </w:rPr>
        <w:t xml:space="preserve"> и в продължение на най-малко 2 седмици след последната доза.</w:t>
      </w:r>
    </w:p>
    <w:p w14:paraId="4D624934" w14:textId="77777777" w:rsidR="00992061" w:rsidRDefault="00992061">
      <w:pPr>
        <w:spacing w:line="166" w:lineRule="exact"/>
        <w:rPr>
          <w:sz w:val="20"/>
          <w:szCs w:val="20"/>
        </w:rPr>
      </w:pPr>
    </w:p>
    <w:p w14:paraId="4E9F2C81" w14:textId="77777777" w:rsidR="00992061" w:rsidRDefault="00D1402E">
      <w:pPr>
        <w:ind w:left="4"/>
        <w:rPr>
          <w:sz w:val="20"/>
          <w:szCs w:val="20"/>
        </w:rPr>
      </w:pPr>
      <w:r>
        <w:rPr>
          <w:rFonts w:eastAsia="Times New Roman"/>
          <w:u w:val="single"/>
        </w:rPr>
        <w:t>Фертилитет</w:t>
      </w:r>
    </w:p>
    <w:p w14:paraId="4B7B2ED3" w14:textId="77777777" w:rsidR="00992061" w:rsidRDefault="00992061">
      <w:pPr>
        <w:spacing w:line="1" w:lineRule="exact"/>
        <w:rPr>
          <w:sz w:val="20"/>
          <w:szCs w:val="20"/>
        </w:rPr>
      </w:pPr>
    </w:p>
    <w:p w14:paraId="4FC025F3" w14:textId="77777777" w:rsidR="00992061" w:rsidRDefault="00D1402E">
      <w:pPr>
        <w:spacing w:line="253" w:lineRule="auto"/>
        <w:ind w:left="4" w:right="80"/>
        <w:rPr>
          <w:sz w:val="20"/>
          <w:szCs w:val="20"/>
        </w:rPr>
      </w:pPr>
      <w:r>
        <w:rPr>
          <w:rFonts w:eastAsia="Times New Roman"/>
        </w:rPr>
        <w:t>Проучванията при животни не показват данни за увреждане на фертилитета. Не може обаче да се изключи нежелан ефект върху фертилитета, тъй като проучванията при животни са показали ефекти върху репродуктивните параметри (вж. точка 5.3). Потенциалният риск за хора не е известен.</w:t>
      </w:r>
    </w:p>
    <w:p w14:paraId="197CB831" w14:textId="77777777" w:rsidR="00992061" w:rsidRDefault="00992061">
      <w:pPr>
        <w:spacing w:line="197" w:lineRule="exact"/>
        <w:rPr>
          <w:sz w:val="20"/>
          <w:szCs w:val="20"/>
        </w:rPr>
      </w:pPr>
    </w:p>
    <w:p w14:paraId="60B2EC44" w14:textId="77777777" w:rsidR="00992061" w:rsidRDefault="00D1402E">
      <w:pPr>
        <w:tabs>
          <w:tab w:val="left" w:pos="543"/>
        </w:tabs>
        <w:ind w:left="4"/>
        <w:rPr>
          <w:sz w:val="20"/>
          <w:szCs w:val="20"/>
        </w:rPr>
      </w:pPr>
      <w:r>
        <w:rPr>
          <w:rFonts w:eastAsia="Times New Roman"/>
          <w:b/>
          <w:bCs/>
        </w:rPr>
        <w:t>4.7</w:t>
      </w:r>
      <w:r>
        <w:rPr>
          <w:sz w:val="20"/>
          <w:szCs w:val="20"/>
        </w:rPr>
        <w:tab/>
      </w:r>
      <w:r>
        <w:rPr>
          <w:rFonts w:eastAsia="Times New Roman"/>
          <w:b/>
          <w:bCs/>
        </w:rPr>
        <w:t>Ефекти върху способността за шофиране и работа с машини</w:t>
      </w:r>
    </w:p>
    <w:p w14:paraId="4B1EDCF2" w14:textId="77777777" w:rsidR="00992061" w:rsidRDefault="00992061">
      <w:pPr>
        <w:spacing w:line="254" w:lineRule="exact"/>
        <w:rPr>
          <w:sz w:val="20"/>
          <w:szCs w:val="20"/>
        </w:rPr>
      </w:pPr>
    </w:p>
    <w:p w14:paraId="7A0F0D7F" w14:textId="77777777" w:rsidR="00992061" w:rsidRPr="00812217" w:rsidRDefault="00D1402E" w:rsidP="006E6F39">
      <w:pPr>
        <w:ind w:left="6" w:right="-561"/>
      </w:pPr>
      <w:r w:rsidRPr="00812217">
        <w:rPr>
          <w:rFonts w:eastAsia="Times New Roman"/>
        </w:rPr>
        <w:t>Не са провеждани проучвания за ефектите върху способността за шофиране и работа с машини; приложението на ерлотиниб обаче не се свързва с увреждане на психическите способности.</w:t>
      </w:r>
    </w:p>
    <w:p w14:paraId="2E85BC52" w14:textId="77777777" w:rsidR="00992061" w:rsidRDefault="00992061">
      <w:pPr>
        <w:spacing w:line="154" w:lineRule="exact"/>
        <w:rPr>
          <w:sz w:val="20"/>
          <w:szCs w:val="20"/>
        </w:rPr>
      </w:pPr>
    </w:p>
    <w:p w14:paraId="5B9660F1" w14:textId="77777777" w:rsidR="00992061" w:rsidRDefault="00D1402E">
      <w:pPr>
        <w:tabs>
          <w:tab w:val="left" w:pos="543"/>
        </w:tabs>
        <w:ind w:left="4"/>
        <w:rPr>
          <w:sz w:val="20"/>
          <w:szCs w:val="20"/>
        </w:rPr>
      </w:pPr>
      <w:r>
        <w:rPr>
          <w:rFonts w:eastAsia="Times New Roman"/>
          <w:b/>
          <w:bCs/>
        </w:rPr>
        <w:t>4.8</w:t>
      </w:r>
      <w:r>
        <w:rPr>
          <w:sz w:val="20"/>
          <w:szCs w:val="20"/>
        </w:rPr>
        <w:tab/>
      </w:r>
      <w:r>
        <w:rPr>
          <w:rFonts w:eastAsia="Times New Roman"/>
          <w:b/>
          <w:bCs/>
        </w:rPr>
        <w:t>Нежелани лекарствени реакции</w:t>
      </w:r>
    </w:p>
    <w:p w14:paraId="3311DE82" w14:textId="77777777" w:rsidR="00992061" w:rsidRDefault="00992061">
      <w:pPr>
        <w:spacing w:line="250" w:lineRule="exact"/>
        <w:rPr>
          <w:sz w:val="20"/>
          <w:szCs w:val="20"/>
        </w:rPr>
      </w:pPr>
    </w:p>
    <w:p w14:paraId="4F91FCB7" w14:textId="5AE85ED0" w:rsidR="00992061" w:rsidRDefault="00D1402E">
      <w:pPr>
        <w:spacing w:line="261" w:lineRule="auto"/>
        <w:ind w:left="4" w:right="220"/>
        <w:rPr>
          <w:sz w:val="20"/>
          <w:szCs w:val="20"/>
        </w:rPr>
      </w:pPr>
      <w:r>
        <w:rPr>
          <w:rFonts w:eastAsia="Times New Roman"/>
        </w:rPr>
        <w:t>Оценка</w:t>
      </w:r>
      <w:r w:rsidR="006E6F39">
        <w:rPr>
          <w:rFonts w:eastAsia="Times New Roman"/>
        </w:rPr>
        <w:t>та на безопасността на ерлотиниб</w:t>
      </w:r>
      <w:r>
        <w:rPr>
          <w:rFonts w:eastAsia="Times New Roman"/>
        </w:rPr>
        <w:t xml:space="preserve"> се основава на данни от над 1 500 пациенти, лекувани с най-малко една доза </w:t>
      </w:r>
      <w:r w:rsidR="006E6F39">
        <w:rPr>
          <w:rFonts w:eastAsia="Times New Roman"/>
        </w:rPr>
        <w:t>ерлотиниб</w:t>
      </w:r>
      <w:r>
        <w:rPr>
          <w:rFonts w:eastAsia="Times New Roman"/>
        </w:rPr>
        <w:t xml:space="preserve"> 150 mg като монотерапия и повече от 300 пациенти, които са приемали </w:t>
      </w:r>
      <w:r w:rsidR="006E6F39">
        <w:rPr>
          <w:rFonts w:eastAsia="Times New Roman"/>
        </w:rPr>
        <w:t>ерлотиниб</w:t>
      </w:r>
      <w:r>
        <w:rPr>
          <w:rFonts w:eastAsia="Times New Roman"/>
        </w:rPr>
        <w:t xml:space="preserve"> 100 mg или 150 mg в комбинация с гемцитабин.</w:t>
      </w:r>
    </w:p>
    <w:p w14:paraId="2E98CA01" w14:textId="77777777" w:rsidR="00992061" w:rsidRDefault="00992061">
      <w:pPr>
        <w:spacing w:line="187" w:lineRule="exact"/>
        <w:rPr>
          <w:sz w:val="20"/>
          <w:szCs w:val="20"/>
        </w:rPr>
      </w:pPr>
    </w:p>
    <w:p w14:paraId="368A53D1" w14:textId="74A01791" w:rsidR="00992061" w:rsidRPr="006E6F39" w:rsidRDefault="00D1402E">
      <w:pPr>
        <w:spacing w:line="263" w:lineRule="auto"/>
        <w:ind w:left="4" w:right="40"/>
      </w:pPr>
      <w:r w:rsidRPr="006E6F39">
        <w:rPr>
          <w:rFonts w:eastAsia="Times New Roman"/>
        </w:rPr>
        <w:t xml:space="preserve">Честотата на нежеланите лекарствени реакции (НЛР) от клиничните изпитвания, съобщени при приложение на </w:t>
      </w:r>
      <w:r w:rsidR="006E6F39">
        <w:rPr>
          <w:rFonts w:eastAsia="Times New Roman"/>
        </w:rPr>
        <w:t>ерлотиниб</w:t>
      </w:r>
      <w:r w:rsidRPr="006E6F39">
        <w:rPr>
          <w:rFonts w:eastAsia="Times New Roman"/>
        </w:rPr>
        <w:t xml:space="preserve"> самостоятелно или в комбинация с химиотерапия, са обобщени по степен в съответствие с Общите критерии за токсичност на Националния онкологичен институт (National Cancer Institute Common Toxicity Criteria, NCI CTC) в Таблица 1. Изброени са НЛР, които се съобщават при най-малко 10% (в групата с </w:t>
      </w:r>
      <w:r w:rsidR="006E6F39">
        <w:rPr>
          <w:rFonts w:eastAsia="Times New Roman"/>
        </w:rPr>
        <w:t>ерлотиниб</w:t>
      </w:r>
      <w:r w:rsidRPr="006E6F39">
        <w:rPr>
          <w:rFonts w:eastAsia="Times New Roman"/>
        </w:rPr>
        <w:t>) от пациентите и възникват по-често (</w:t>
      </w:r>
      <w:r w:rsidRPr="006E6F39">
        <w:rPr>
          <w:rFonts w:ascii="Arial" w:eastAsia="Arial" w:hAnsi="Arial" w:cs="Arial"/>
        </w:rPr>
        <w:t>≥</w:t>
      </w:r>
      <w:r w:rsidRPr="006E6F39">
        <w:rPr>
          <w:rFonts w:eastAsia="Times New Roman"/>
        </w:rPr>
        <w:t xml:space="preserve"> 3%) при пациентите, лекувани с </w:t>
      </w:r>
      <w:r w:rsidR="00AF0AA0">
        <w:rPr>
          <w:rFonts w:eastAsia="Times New Roman"/>
        </w:rPr>
        <w:t>ерлотиниб</w:t>
      </w:r>
      <w:r w:rsidRPr="006E6F39">
        <w:rPr>
          <w:rFonts w:eastAsia="Times New Roman"/>
        </w:rPr>
        <w:t>, отколкото в рамото със сравнителното лекарство. Другите НЛР, включително НЛР от други проучвания, са обобщени в Таблица 2.</w:t>
      </w:r>
    </w:p>
    <w:p w14:paraId="73BE4F64" w14:textId="77777777" w:rsidR="00992061" w:rsidRPr="006E6F39" w:rsidRDefault="00992061">
      <w:pPr>
        <w:spacing w:line="186" w:lineRule="exact"/>
      </w:pPr>
    </w:p>
    <w:p w14:paraId="66F8A0B1" w14:textId="2D219222" w:rsidR="00992061" w:rsidRDefault="00D1402E">
      <w:pPr>
        <w:spacing w:line="250" w:lineRule="auto"/>
        <w:ind w:left="4" w:right="60"/>
        <w:rPr>
          <w:sz w:val="20"/>
          <w:szCs w:val="20"/>
        </w:rPr>
      </w:pPr>
      <w:r>
        <w:rPr>
          <w:rFonts w:eastAsia="Times New Roman"/>
        </w:rPr>
        <w:lastRenderedPageBreak/>
        <w:t>Нежеланите лекарствени реакции от клиничните изпитвания (Таблица 1)</w:t>
      </w:r>
      <w:r w:rsidR="00D11D35">
        <w:rPr>
          <w:rFonts w:eastAsia="Times New Roman"/>
          <w:lang w:val="bg-BG"/>
        </w:rPr>
        <w:t xml:space="preserve"> и други нежелани лекарствени реакции (Таблица 2)</w:t>
      </w:r>
      <w:r>
        <w:rPr>
          <w:rFonts w:eastAsia="Times New Roman"/>
        </w:rPr>
        <w:t xml:space="preserve"> са изброени според системо-органния клас по MedDRA. Съответната категория по честота за всяка нежелана лекарствена реакция се основава на следната условна класификация: много чести (≥1/10), чести (≥1/100 до &lt;1/10), нечести (≥1/1 000 до &lt;1/100), редки (≥1/10 000 до &lt;1/1000), много редки (&lt;1/10 000)</w:t>
      </w:r>
      <w:r w:rsidR="00D11D35">
        <w:rPr>
          <w:rFonts w:eastAsia="Times New Roman"/>
          <w:lang w:val="bg-BG"/>
        </w:rPr>
        <w:t>, с неизвестна честота (от наличните данни не може да бъде направена оценка)</w:t>
      </w:r>
      <w:r>
        <w:rPr>
          <w:rFonts w:eastAsia="Times New Roman"/>
        </w:rPr>
        <w:t>.</w:t>
      </w:r>
    </w:p>
    <w:p w14:paraId="6B399FC2" w14:textId="77777777" w:rsidR="00992061" w:rsidRDefault="00992061">
      <w:pPr>
        <w:spacing w:line="199" w:lineRule="exact"/>
        <w:rPr>
          <w:sz w:val="20"/>
          <w:szCs w:val="20"/>
        </w:rPr>
      </w:pPr>
    </w:p>
    <w:p w14:paraId="1CB2C02D" w14:textId="77777777" w:rsidR="00992061" w:rsidRDefault="00D1402E" w:rsidP="006E6F39">
      <w:pPr>
        <w:ind w:left="6" w:right="1162"/>
        <w:rPr>
          <w:sz w:val="20"/>
          <w:szCs w:val="20"/>
        </w:rPr>
      </w:pPr>
      <w:r>
        <w:rPr>
          <w:rFonts w:eastAsia="Times New Roman"/>
        </w:rPr>
        <w:t>При всяко групиране в зависимост от честотата нежеланите лекарствени реакции са представени в низходящ ред по отношение на тяхната сериозност.</w:t>
      </w:r>
    </w:p>
    <w:p w14:paraId="10834B01" w14:textId="77777777" w:rsidR="00992061" w:rsidRDefault="00992061">
      <w:pPr>
        <w:spacing w:line="168" w:lineRule="exact"/>
        <w:rPr>
          <w:sz w:val="20"/>
          <w:szCs w:val="20"/>
        </w:rPr>
      </w:pPr>
    </w:p>
    <w:p w14:paraId="17E111E0" w14:textId="476CB56C" w:rsidR="00992061" w:rsidRDefault="00D1402E" w:rsidP="00301D1A">
      <w:pPr>
        <w:spacing w:line="480" w:lineRule="auto"/>
        <w:ind w:left="4" w:right="691"/>
        <w:rPr>
          <w:sz w:val="20"/>
          <w:szCs w:val="20"/>
        </w:rPr>
      </w:pPr>
      <w:r>
        <w:rPr>
          <w:rFonts w:eastAsia="Times New Roman"/>
          <w:u w:val="single"/>
        </w:rPr>
        <w:t xml:space="preserve">Недребноклетъчен рак на белия дроб (приложение на </w:t>
      </w:r>
      <w:r w:rsidR="006E6F39">
        <w:rPr>
          <w:rFonts w:eastAsia="Times New Roman"/>
          <w:u w:val="single"/>
          <w:lang w:val="bg-BG"/>
        </w:rPr>
        <w:t xml:space="preserve">ерлотиниб </w:t>
      </w:r>
      <w:r>
        <w:rPr>
          <w:rFonts w:eastAsia="Times New Roman"/>
          <w:u w:val="single"/>
        </w:rPr>
        <w:t xml:space="preserve">като </w:t>
      </w:r>
      <w:bookmarkStart w:id="9" w:name="_GoBack"/>
      <w:bookmarkEnd w:id="9"/>
      <w:r>
        <w:rPr>
          <w:rFonts w:eastAsia="Times New Roman"/>
          <w:u w:val="single"/>
        </w:rPr>
        <w:t>монотерапия)</w:t>
      </w:r>
      <w:r>
        <w:rPr>
          <w:rFonts w:eastAsia="Times New Roman"/>
          <w:i/>
          <w:iCs/>
          <w:u w:val="single"/>
        </w:rPr>
        <w:t xml:space="preserve"> Първа линия на лечение на пациенти с EGFR мутации</w:t>
      </w:r>
    </w:p>
    <w:p w14:paraId="30776DCE" w14:textId="77777777" w:rsidR="00992061" w:rsidRDefault="00992061">
      <w:pPr>
        <w:spacing w:line="1" w:lineRule="exact"/>
        <w:rPr>
          <w:sz w:val="20"/>
          <w:szCs w:val="20"/>
        </w:rPr>
      </w:pPr>
    </w:p>
    <w:p w14:paraId="70BC50D9" w14:textId="7153A9D1" w:rsidR="00992061" w:rsidRDefault="00D1402E" w:rsidP="006E6F39">
      <w:pPr>
        <w:numPr>
          <w:ilvl w:val="0"/>
          <w:numId w:val="8"/>
        </w:numPr>
        <w:tabs>
          <w:tab w:val="left" w:pos="206"/>
        </w:tabs>
        <w:spacing w:line="253" w:lineRule="auto"/>
        <w:ind w:left="4" w:right="437" w:hanging="4"/>
        <w:rPr>
          <w:rFonts w:eastAsia="Times New Roman"/>
        </w:rPr>
      </w:pPr>
      <w:r>
        <w:rPr>
          <w:rFonts w:eastAsia="Times New Roman"/>
        </w:rPr>
        <w:t>открито, рандомизирано проучване фаза III ML20650, проведено при 154 па</w:t>
      </w:r>
      <w:r w:rsidR="004406A3">
        <w:rPr>
          <w:rFonts w:eastAsia="Times New Roman"/>
        </w:rPr>
        <w:t>циенти, безопасността на ерлотиниб</w:t>
      </w:r>
      <w:r>
        <w:rPr>
          <w:rFonts w:eastAsia="Times New Roman"/>
        </w:rPr>
        <w:t xml:space="preserve"> като първа линия на лечение при пациенти с НДКРБД с EGFR активиращи мутации е оценена при 75 пациенти. Не са наблюдавани нови сигнали за безопасност при тези пациенти.</w:t>
      </w:r>
    </w:p>
    <w:p w14:paraId="03768CF2" w14:textId="77777777" w:rsidR="00992061" w:rsidRDefault="00992061">
      <w:pPr>
        <w:spacing w:line="200" w:lineRule="exact"/>
        <w:rPr>
          <w:sz w:val="20"/>
          <w:szCs w:val="20"/>
        </w:rPr>
      </w:pPr>
    </w:p>
    <w:p w14:paraId="7609D9FB" w14:textId="5505935B" w:rsidR="00992061" w:rsidRDefault="00D1402E">
      <w:pPr>
        <w:spacing w:line="247" w:lineRule="auto"/>
        <w:ind w:left="4" w:right="240"/>
        <w:rPr>
          <w:sz w:val="20"/>
          <w:szCs w:val="20"/>
        </w:rPr>
      </w:pPr>
      <w:r>
        <w:rPr>
          <w:rFonts w:eastAsia="Times New Roman"/>
        </w:rPr>
        <w:t xml:space="preserve">Най-честите НЛР, наблюдавани при пациентите, лекувани с </w:t>
      </w:r>
      <w:r w:rsidR="004406A3">
        <w:rPr>
          <w:rFonts w:eastAsia="Times New Roman"/>
        </w:rPr>
        <w:t>ерлотиниб</w:t>
      </w:r>
      <w:r>
        <w:rPr>
          <w:rFonts w:eastAsia="Times New Roman"/>
        </w:rPr>
        <w:t xml:space="preserve"> в проучване ML20650, са обрив и диария (всяка степен съответно 80% и 57%), повечето са степен 1/2 по тежест и са овладяни без интервенция. Обрив и диария степен 3 възникват съответно при 9% и 4% от пациентите. Не са наблюдавани обрив и диария степен 4. И обривът, и диарията са довели до преустановяване на </w:t>
      </w:r>
      <w:r w:rsidR="004406A3">
        <w:rPr>
          <w:rFonts w:eastAsia="Times New Roman"/>
        </w:rPr>
        <w:t>ерлотиниб</w:t>
      </w:r>
      <w:r>
        <w:rPr>
          <w:rFonts w:eastAsia="Times New Roman"/>
        </w:rPr>
        <w:t xml:space="preserve"> при 1% от пациентите. Изменение на дозата (прекъсване или понижаване) поради обрив и диария се е наложило съответно при 11% и 7% от пациентите.</w:t>
      </w:r>
    </w:p>
    <w:p w14:paraId="72FC699E" w14:textId="77777777" w:rsidR="00992061" w:rsidRDefault="00992061">
      <w:pPr>
        <w:spacing w:line="213" w:lineRule="exact"/>
        <w:rPr>
          <w:sz w:val="20"/>
          <w:szCs w:val="20"/>
        </w:rPr>
      </w:pPr>
    </w:p>
    <w:p w14:paraId="586CC0EB" w14:textId="77777777" w:rsidR="00992061" w:rsidRDefault="00D1402E">
      <w:pPr>
        <w:ind w:left="4"/>
        <w:rPr>
          <w:sz w:val="20"/>
          <w:szCs w:val="20"/>
        </w:rPr>
      </w:pPr>
      <w:r>
        <w:rPr>
          <w:rFonts w:eastAsia="Times New Roman"/>
          <w:i/>
          <w:iCs/>
          <w:u w:val="single"/>
        </w:rPr>
        <w:t>Поддържащо лечение</w:t>
      </w:r>
    </w:p>
    <w:p w14:paraId="5F31CE36" w14:textId="77777777" w:rsidR="00992061" w:rsidRDefault="00992061">
      <w:pPr>
        <w:spacing w:line="223" w:lineRule="exact"/>
        <w:rPr>
          <w:sz w:val="20"/>
          <w:szCs w:val="20"/>
        </w:rPr>
      </w:pPr>
    </w:p>
    <w:p w14:paraId="14C0DB77" w14:textId="6545EEC6" w:rsidR="00992061" w:rsidRPr="00812217" w:rsidRDefault="00D1402E" w:rsidP="004406A3">
      <w:pPr>
        <w:numPr>
          <w:ilvl w:val="0"/>
          <w:numId w:val="9"/>
        </w:numPr>
        <w:tabs>
          <w:tab w:val="left" w:pos="206"/>
        </w:tabs>
        <w:ind w:left="6" w:right="-301" w:hanging="4"/>
        <w:rPr>
          <w:rFonts w:eastAsia="Times New Roman"/>
        </w:rPr>
      </w:pPr>
      <w:r w:rsidRPr="00812217">
        <w:rPr>
          <w:rFonts w:eastAsia="Times New Roman"/>
        </w:rPr>
        <w:t xml:space="preserve">две други двойнослепи, рандомизирани, плацебо-контролирани проучвания фаза III, BO18192 (SATURN) и BO25460 (IUNO), </w:t>
      </w:r>
      <w:r w:rsidR="004406A3">
        <w:rPr>
          <w:rFonts w:eastAsia="Times New Roman"/>
        </w:rPr>
        <w:t>ерлотиниб</w:t>
      </w:r>
      <w:r w:rsidRPr="00812217">
        <w:rPr>
          <w:rFonts w:eastAsia="Times New Roman"/>
        </w:rPr>
        <w:t xml:space="preserve"> е прилаган като поддържащо лечение след</w:t>
      </w:r>
    </w:p>
    <w:p w14:paraId="45B022A5" w14:textId="77777777" w:rsidR="00992061" w:rsidRPr="00812217" w:rsidRDefault="00D1402E" w:rsidP="004406A3">
      <w:pPr>
        <w:ind w:left="6" w:right="660"/>
      </w:pPr>
      <w:bookmarkStart w:id="10" w:name="page11"/>
      <w:bookmarkEnd w:id="10"/>
      <w:r w:rsidRPr="00812217">
        <w:rPr>
          <w:rFonts w:eastAsia="Times New Roman"/>
        </w:rPr>
        <w:t>първа линия на химиотерапия. Тези проучвания са проведени при общо 1 532 пациенти с авансирал, рецидивиращ или метастазирал НДКРБД след първа линия на стандартна химиотерапия на базата на платина, като не са установени нови сигнали за безопасност.</w:t>
      </w:r>
    </w:p>
    <w:p w14:paraId="112DF98C" w14:textId="77777777" w:rsidR="00992061" w:rsidRPr="00812217" w:rsidRDefault="00992061">
      <w:pPr>
        <w:spacing w:line="194" w:lineRule="exact"/>
      </w:pPr>
    </w:p>
    <w:p w14:paraId="2BCB2F07" w14:textId="78513C7F" w:rsidR="00992061" w:rsidRPr="00812217" w:rsidRDefault="00D1402E">
      <w:pPr>
        <w:spacing w:line="239" w:lineRule="auto"/>
        <w:ind w:left="4" w:right="100"/>
      </w:pPr>
      <w:r w:rsidRPr="00812217">
        <w:rPr>
          <w:rFonts w:eastAsia="Times New Roman"/>
        </w:rPr>
        <w:t xml:space="preserve">Най-честите НЛР, наблюдавани при пациентите, лекувани с </w:t>
      </w:r>
      <w:r w:rsidR="004406A3">
        <w:rPr>
          <w:rFonts w:eastAsia="Times New Roman"/>
        </w:rPr>
        <w:t>ерлотиниб</w:t>
      </w:r>
      <w:r w:rsidRPr="00812217">
        <w:rPr>
          <w:rFonts w:eastAsia="Times New Roman"/>
        </w:rPr>
        <w:t xml:space="preserve"> в проучвания BO18192 и BO25460, са обрив (BO18192: всички степени 49,2%, степен 3: 6,0%; BO25460: всички степени</w:t>
      </w:r>
    </w:p>
    <w:p w14:paraId="0F22FBEA" w14:textId="1C0CBC38" w:rsidR="00992061" w:rsidRPr="00812217" w:rsidRDefault="00D1402E" w:rsidP="004406A3">
      <w:pPr>
        <w:spacing w:line="239" w:lineRule="auto"/>
        <w:ind w:left="4" w:right="260"/>
      </w:pPr>
      <w:r w:rsidRPr="00812217">
        <w:rPr>
          <w:rFonts w:eastAsia="Times New Roman"/>
        </w:rPr>
        <w:t xml:space="preserve">39,4%, степен 3: 5,0%) и диария (BO18192: всички степени 20,3%, степен 3: 1,8%; BO25460: всички степени 24,2%, степен 3: 2,5%). И в двете проучвания не са наблюдавани обрив и диария степен 4. Обривът и диарията са довели до преустановяване на </w:t>
      </w:r>
      <w:r w:rsidR="004406A3">
        <w:rPr>
          <w:rFonts w:eastAsia="Times New Roman"/>
        </w:rPr>
        <w:t>ерлотиниб</w:t>
      </w:r>
      <w:r w:rsidRPr="00812217">
        <w:rPr>
          <w:rFonts w:eastAsia="Times New Roman"/>
        </w:rPr>
        <w:t xml:space="preserve"> съответно при</w:t>
      </w:r>
      <w:r w:rsidR="004406A3">
        <w:rPr>
          <w:rFonts w:eastAsia="Times New Roman"/>
          <w:lang w:val="bg-BG"/>
        </w:rPr>
        <w:t xml:space="preserve"> </w:t>
      </w:r>
      <w:r w:rsidRPr="00812217">
        <w:rPr>
          <w:rFonts w:eastAsia="Times New Roman"/>
        </w:rPr>
        <w:t>1% и &lt;1% от пациентите в проучване BO18192, докато никой от пациентите не е преустановил лечението поради обрив и диария в BO25460. Изменение на дозата (прекъсване или понижаване) поради обрив и диария се е наложило съответно при 8,3% и 3% от пациентите в проучване BO18192 и съответно 5,6% и 2,8% от пациентите в проучване BO25460.</w:t>
      </w:r>
    </w:p>
    <w:p w14:paraId="4C26FF79" w14:textId="77777777" w:rsidR="00992061" w:rsidRDefault="00992061">
      <w:pPr>
        <w:spacing w:line="189" w:lineRule="exact"/>
        <w:rPr>
          <w:sz w:val="20"/>
          <w:szCs w:val="20"/>
        </w:rPr>
      </w:pPr>
    </w:p>
    <w:p w14:paraId="0F239908" w14:textId="77777777" w:rsidR="00992061" w:rsidRDefault="00D1402E">
      <w:pPr>
        <w:ind w:left="4"/>
        <w:rPr>
          <w:sz w:val="20"/>
          <w:szCs w:val="20"/>
        </w:rPr>
      </w:pPr>
      <w:r>
        <w:rPr>
          <w:rFonts w:eastAsia="Times New Roman"/>
          <w:i/>
          <w:iCs/>
          <w:u w:val="single"/>
        </w:rPr>
        <w:t>Втора и следващи линии на лечение</w:t>
      </w:r>
    </w:p>
    <w:p w14:paraId="63B273BD" w14:textId="77777777" w:rsidR="00992061" w:rsidRDefault="00992061">
      <w:pPr>
        <w:spacing w:line="247" w:lineRule="exact"/>
        <w:rPr>
          <w:sz w:val="20"/>
          <w:szCs w:val="20"/>
        </w:rPr>
      </w:pPr>
    </w:p>
    <w:p w14:paraId="500EFD77" w14:textId="375FA7F0" w:rsidR="00992061" w:rsidRDefault="00D1402E">
      <w:pPr>
        <w:numPr>
          <w:ilvl w:val="0"/>
          <w:numId w:val="10"/>
        </w:numPr>
        <w:tabs>
          <w:tab w:val="left" w:pos="206"/>
        </w:tabs>
        <w:spacing w:line="245" w:lineRule="auto"/>
        <w:ind w:left="4" w:hanging="4"/>
        <w:rPr>
          <w:rFonts w:eastAsia="Times New Roman"/>
        </w:rPr>
      </w:pPr>
      <w:r>
        <w:rPr>
          <w:rFonts w:eastAsia="Times New Roman"/>
        </w:rPr>
        <w:t xml:space="preserve">едно рандомизирано двойносляпо проучване (BR.21; </w:t>
      </w:r>
      <w:r w:rsidR="004406A3">
        <w:rPr>
          <w:rFonts w:eastAsia="Times New Roman"/>
        </w:rPr>
        <w:t>ерлотиниб</w:t>
      </w:r>
      <w:r>
        <w:rPr>
          <w:rFonts w:eastAsia="Times New Roman"/>
        </w:rPr>
        <w:t xml:space="preserve"> е прилаган като втора линия на лечение), най-често съобщаваните нежелани лекарствени реакции (НЛР) са обрив (75%) и диария (54%). Повечето са с тежест от степен 1/2 и са отзвучали без допълнителна намеса. Обриви и диария от степен 3/4 са наблюдавани при съответно 9% и 6% от пациентите, лекувани с </w:t>
      </w:r>
      <w:r w:rsidR="004406A3">
        <w:rPr>
          <w:rFonts w:eastAsia="Times New Roman"/>
        </w:rPr>
        <w:t>ерлотиниб</w:t>
      </w:r>
      <w:r>
        <w:rPr>
          <w:rFonts w:eastAsia="Times New Roman"/>
        </w:rPr>
        <w:t>, като са довели до преустановяване на участието в проучването на 1% от пациентите. Намаляване на дозата поради обрив или диария се е наложило при 6% и 1% от пациентите съответно. В проучването BR.21 медианата на времето до началото на обрива е 8 дни, а медианата на времето до началото на диарията - 12 дни.</w:t>
      </w:r>
    </w:p>
    <w:p w14:paraId="6A1E95F8" w14:textId="77777777" w:rsidR="00992061" w:rsidRDefault="00992061">
      <w:pPr>
        <w:spacing w:line="214" w:lineRule="exact"/>
        <w:rPr>
          <w:sz w:val="20"/>
          <w:szCs w:val="20"/>
        </w:rPr>
      </w:pPr>
    </w:p>
    <w:p w14:paraId="326C3FD5" w14:textId="77777777" w:rsidR="00992061" w:rsidRDefault="00D1402E">
      <w:pPr>
        <w:spacing w:line="253" w:lineRule="auto"/>
        <w:ind w:left="4" w:right="100"/>
        <w:rPr>
          <w:sz w:val="20"/>
          <w:szCs w:val="20"/>
        </w:rPr>
      </w:pPr>
      <w:r>
        <w:rPr>
          <w:rFonts w:eastAsia="Times New Roman"/>
        </w:rPr>
        <w:t xml:space="preserve">Обикновено, обривът се проявява като лек или умерен еритематозен и папуло-пустуларен обрив, който може да се появи или да се влоши в участъците, изложени на слънце. При </w:t>
      </w:r>
      <w:r>
        <w:rPr>
          <w:rFonts w:eastAsia="Times New Roman"/>
        </w:rPr>
        <w:lastRenderedPageBreak/>
        <w:t>пациентите, които се излагат на слънце, са препоръчителни защитно облекло и/или използване на слънцезащитни средства (напр. съдържащи минерали).</w:t>
      </w:r>
    </w:p>
    <w:p w14:paraId="7DD9A811" w14:textId="77777777" w:rsidR="00992061" w:rsidRDefault="00992061">
      <w:pPr>
        <w:spacing w:line="195" w:lineRule="exact"/>
        <w:rPr>
          <w:sz w:val="20"/>
          <w:szCs w:val="20"/>
        </w:rPr>
      </w:pPr>
    </w:p>
    <w:p w14:paraId="22117E47" w14:textId="38110231" w:rsidR="00992061" w:rsidRDefault="00D1402E">
      <w:pPr>
        <w:ind w:left="4"/>
        <w:rPr>
          <w:sz w:val="20"/>
          <w:szCs w:val="20"/>
        </w:rPr>
      </w:pPr>
      <w:r>
        <w:rPr>
          <w:rFonts w:eastAsia="Times New Roman"/>
          <w:u w:val="single"/>
        </w:rPr>
        <w:t>Рак на панкреаса (</w:t>
      </w:r>
      <w:r w:rsidR="004406A3" w:rsidRPr="004406A3">
        <w:rPr>
          <w:rFonts w:eastAsia="Times New Roman"/>
          <w:u w:val="single"/>
        </w:rPr>
        <w:t>ерлотиниб</w:t>
      </w:r>
      <w:r>
        <w:rPr>
          <w:rFonts w:eastAsia="Times New Roman"/>
          <w:u w:val="single"/>
        </w:rPr>
        <w:t xml:space="preserve"> е прилаган едновременно с гемцитабин)</w:t>
      </w:r>
    </w:p>
    <w:p w14:paraId="14262510" w14:textId="77777777" w:rsidR="00992061" w:rsidRDefault="00992061">
      <w:pPr>
        <w:spacing w:line="252" w:lineRule="exact"/>
        <w:rPr>
          <w:sz w:val="20"/>
          <w:szCs w:val="20"/>
        </w:rPr>
      </w:pPr>
    </w:p>
    <w:p w14:paraId="1668A44B" w14:textId="062E8DE1" w:rsidR="00812217" w:rsidRDefault="00D1402E" w:rsidP="00812217">
      <w:pPr>
        <w:spacing w:line="248" w:lineRule="auto"/>
        <w:ind w:left="4"/>
        <w:rPr>
          <w:rFonts w:eastAsia="Times New Roman"/>
        </w:rPr>
      </w:pPr>
      <w:r>
        <w:rPr>
          <w:rFonts w:eastAsia="Times New Roman"/>
        </w:rPr>
        <w:t xml:space="preserve">Най-честите нежелани реакции в основното проучване PA.3 при пациенти с рак на панкреаса, приемащи </w:t>
      </w:r>
      <w:r w:rsidR="004406A3">
        <w:rPr>
          <w:rFonts w:eastAsia="Times New Roman"/>
        </w:rPr>
        <w:t>ерлотиниб</w:t>
      </w:r>
      <w:r>
        <w:rPr>
          <w:rFonts w:eastAsia="Times New Roman"/>
        </w:rPr>
        <w:t xml:space="preserve"> 100 mg плюс гемцитабин, са умора, обрив и диария. В рамото с </w:t>
      </w:r>
      <w:r w:rsidR="004406A3">
        <w:rPr>
          <w:rFonts w:eastAsia="Times New Roman"/>
        </w:rPr>
        <w:t>ерлотиниб</w:t>
      </w:r>
      <w:r>
        <w:rPr>
          <w:rFonts w:eastAsia="Times New Roman"/>
        </w:rPr>
        <w:t xml:space="preserve"> плюс гемцитабин и обрив, и диария степен 3/4 се съобщават при 5% от пациентите. Медианата на времето до появата на обрив и диария е съответно 10 дни и 15 дни. И обривът, и диарията водят до понижаване на дозата при 2% от пациентите и до преустановяване на участието в проучването при до 1% от пациентите, приемащи </w:t>
      </w:r>
      <w:r w:rsidR="004406A3">
        <w:rPr>
          <w:rFonts w:eastAsia="Times New Roman"/>
        </w:rPr>
        <w:t>ерлотиниб</w:t>
      </w:r>
      <w:r>
        <w:rPr>
          <w:rFonts w:eastAsia="Times New Roman"/>
        </w:rPr>
        <w:t xml:space="preserve"> плюс гемцитабин.</w:t>
      </w:r>
      <w:bookmarkStart w:id="11" w:name="page12"/>
      <w:bookmarkEnd w:id="11"/>
    </w:p>
    <w:p w14:paraId="47737DAE" w14:textId="77777777" w:rsidR="00812217" w:rsidRDefault="00812217" w:rsidP="00812217">
      <w:pPr>
        <w:spacing w:line="248" w:lineRule="auto"/>
        <w:ind w:left="4"/>
        <w:rPr>
          <w:rFonts w:eastAsia="Times New Roman"/>
        </w:rPr>
      </w:pPr>
    </w:p>
    <w:p w14:paraId="34A94B09" w14:textId="29581BED" w:rsidR="00992061" w:rsidRDefault="00D1402E" w:rsidP="00812217">
      <w:pPr>
        <w:spacing w:line="248" w:lineRule="auto"/>
        <w:ind w:left="4"/>
        <w:rPr>
          <w:sz w:val="20"/>
          <w:szCs w:val="20"/>
        </w:rPr>
      </w:pPr>
      <w:r>
        <w:rPr>
          <w:rFonts w:eastAsia="Times New Roman"/>
        </w:rPr>
        <w:t>Таблица 1: НЛР, възникващи при</w:t>
      </w:r>
      <w:r>
        <w:rPr>
          <w:rFonts w:ascii="Arial" w:eastAsia="Arial" w:hAnsi="Arial" w:cs="Arial"/>
        </w:rPr>
        <w:t xml:space="preserve"> ≥</w:t>
      </w:r>
      <w:r>
        <w:rPr>
          <w:rFonts w:eastAsia="Times New Roman"/>
        </w:rPr>
        <w:t xml:space="preserve"> 10% от пациентите в проучванията BR.21 (лекувани с </w:t>
      </w:r>
      <w:r w:rsidR="004406A3">
        <w:rPr>
          <w:rFonts w:eastAsia="Times New Roman"/>
        </w:rPr>
        <w:t>ерлотиниб</w:t>
      </w:r>
      <w:r>
        <w:rPr>
          <w:rFonts w:eastAsia="Times New Roman"/>
        </w:rPr>
        <w:t xml:space="preserve">) и PA.3 (лекувани с </w:t>
      </w:r>
      <w:r w:rsidR="004406A3">
        <w:rPr>
          <w:rFonts w:eastAsia="Times New Roman"/>
        </w:rPr>
        <w:t>ерлотиниб</w:t>
      </w:r>
      <w:r>
        <w:rPr>
          <w:rFonts w:eastAsia="Times New Roman"/>
        </w:rPr>
        <w:t xml:space="preserve"> плюс гемцитабин ), и НЛР, възникващи по-често (≥ 3%) отколкото с плацебо в проучванията BR.21 (лекувани с </w:t>
      </w:r>
      <w:r w:rsidR="004406A3">
        <w:rPr>
          <w:rFonts w:eastAsia="Times New Roman"/>
        </w:rPr>
        <w:t>ерлотиниб</w:t>
      </w:r>
      <w:r>
        <w:rPr>
          <w:rFonts w:eastAsia="Times New Roman"/>
        </w:rPr>
        <w:t xml:space="preserve">) и PA.3 (лекувани с </w:t>
      </w:r>
      <w:r w:rsidR="004406A3">
        <w:rPr>
          <w:rFonts w:eastAsia="Times New Roman"/>
        </w:rPr>
        <w:t>ерлотиниб</w:t>
      </w:r>
      <w:r>
        <w:rPr>
          <w:rFonts w:eastAsia="Times New Roman"/>
        </w:rPr>
        <w:t xml:space="preserve"> плюс гемцитабин)</w:t>
      </w:r>
    </w:p>
    <w:p w14:paraId="5DB07567" w14:textId="77777777" w:rsidR="00992061" w:rsidRDefault="00992061">
      <w:pPr>
        <w:spacing w:line="203" w:lineRule="exact"/>
        <w:rPr>
          <w:sz w:val="20"/>
          <w:szCs w:val="20"/>
        </w:rPr>
      </w:pPr>
    </w:p>
    <w:tbl>
      <w:tblPr>
        <w:tblW w:w="9710" w:type="dxa"/>
        <w:tblInd w:w="10" w:type="dxa"/>
        <w:tblLayout w:type="fixed"/>
        <w:tblCellMar>
          <w:left w:w="0" w:type="dxa"/>
          <w:right w:w="0" w:type="dxa"/>
        </w:tblCellMar>
        <w:tblLook w:val="04A0" w:firstRow="1" w:lastRow="0" w:firstColumn="1" w:lastColumn="0" w:noHBand="0" w:noVBand="1"/>
      </w:tblPr>
      <w:tblGrid>
        <w:gridCol w:w="3040"/>
        <w:gridCol w:w="840"/>
        <w:gridCol w:w="140"/>
        <w:gridCol w:w="620"/>
        <w:gridCol w:w="860"/>
        <w:gridCol w:w="900"/>
        <w:gridCol w:w="140"/>
        <w:gridCol w:w="700"/>
        <w:gridCol w:w="260"/>
        <w:gridCol w:w="600"/>
        <w:gridCol w:w="1580"/>
        <w:gridCol w:w="30"/>
      </w:tblGrid>
      <w:tr w:rsidR="00992061" w14:paraId="5B985035" w14:textId="77777777" w:rsidTr="00BB0FDD">
        <w:trPr>
          <w:trHeight w:val="272"/>
        </w:trPr>
        <w:tc>
          <w:tcPr>
            <w:tcW w:w="3040" w:type="dxa"/>
            <w:tcBorders>
              <w:top w:val="single" w:sz="8" w:space="0" w:color="auto"/>
              <w:left w:val="single" w:sz="8" w:space="0" w:color="auto"/>
              <w:right w:val="single" w:sz="8" w:space="0" w:color="auto"/>
            </w:tcBorders>
            <w:vAlign w:val="bottom"/>
          </w:tcPr>
          <w:p w14:paraId="5594E827" w14:textId="77777777" w:rsidR="00992061" w:rsidRDefault="00992061">
            <w:pPr>
              <w:rPr>
                <w:sz w:val="23"/>
                <w:szCs w:val="23"/>
              </w:rPr>
            </w:pPr>
          </w:p>
        </w:tc>
        <w:tc>
          <w:tcPr>
            <w:tcW w:w="2460" w:type="dxa"/>
            <w:gridSpan w:val="4"/>
            <w:tcBorders>
              <w:top w:val="single" w:sz="8" w:space="0" w:color="auto"/>
              <w:right w:val="single" w:sz="8" w:space="0" w:color="auto"/>
            </w:tcBorders>
            <w:vAlign w:val="bottom"/>
          </w:tcPr>
          <w:p w14:paraId="4C9B040C" w14:textId="3C8C794A" w:rsidR="00992061" w:rsidRDefault="004406A3">
            <w:pPr>
              <w:jc w:val="center"/>
              <w:rPr>
                <w:sz w:val="20"/>
                <w:szCs w:val="20"/>
              </w:rPr>
            </w:pPr>
            <w:r>
              <w:rPr>
                <w:rFonts w:eastAsia="Times New Roman"/>
                <w:b/>
                <w:bCs/>
                <w:sz w:val="20"/>
                <w:szCs w:val="20"/>
              </w:rPr>
              <w:t>Е</w:t>
            </w:r>
            <w:r w:rsidRPr="004406A3">
              <w:rPr>
                <w:rFonts w:eastAsia="Times New Roman"/>
                <w:b/>
                <w:bCs/>
                <w:sz w:val="20"/>
                <w:szCs w:val="20"/>
              </w:rPr>
              <w:t>рлотиниб</w:t>
            </w:r>
            <w:r w:rsidR="00D1402E">
              <w:rPr>
                <w:rFonts w:eastAsia="Times New Roman"/>
                <w:b/>
                <w:bCs/>
                <w:sz w:val="20"/>
                <w:szCs w:val="20"/>
              </w:rPr>
              <w:t xml:space="preserve"> (BR.21)</w:t>
            </w:r>
          </w:p>
        </w:tc>
        <w:tc>
          <w:tcPr>
            <w:tcW w:w="2000" w:type="dxa"/>
            <w:gridSpan w:val="4"/>
            <w:tcBorders>
              <w:top w:val="single" w:sz="8" w:space="0" w:color="auto"/>
            </w:tcBorders>
            <w:vAlign w:val="bottom"/>
          </w:tcPr>
          <w:p w14:paraId="71F71F11" w14:textId="02B710A0" w:rsidR="00992061" w:rsidRDefault="004406A3">
            <w:pPr>
              <w:ind w:left="479"/>
              <w:jc w:val="center"/>
              <w:rPr>
                <w:sz w:val="20"/>
                <w:szCs w:val="20"/>
              </w:rPr>
            </w:pPr>
            <w:r>
              <w:rPr>
                <w:rFonts w:eastAsia="Times New Roman"/>
                <w:b/>
                <w:bCs/>
                <w:w w:val="99"/>
                <w:sz w:val="20"/>
                <w:szCs w:val="20"/>
              </w:rPr>
              <w:t>Ерлотиниб</w:t>
            </w:r>
            <w:r w:rsidR="00D1402E">
              <w:rPr>
                <w:rFonts w:eastAsia="Times New Roman"/>
                <w:b/>
                <w:bCs/>
                <w:w w:val="99"/>
                <w:sz w:val="20"/>
                <w:szCs w:val="20"/>
              </w:rPr>
              <w:t xml:space="preserve"> (PA.3)</w:t>
            </w:r>
          </w:p>
        </w:tc>
        <w:tc>
          <w:tcPr>
            <w:tcW w:w="600" w:type="dxa"/>
            <w:tcBorders>
              <w:top w:val="single" w:sz="8" w:space="0" w:color="auto"/>
              <w:right w:val="single" w:sz="8" w:space="0" w:color="auto"/>
            </w:tcBorders>
            <w:vAlign w:val="bottom"/>
          </w:tcPr>
          <w:p w14:paraId="306FBFCB" w14:textId="77777777" w:rsidR="00992061" w:rsidRDefault="00992061">
            <w:pPr>
              <w:rPr>
                <w:sz w:val="23"/>
                <w:szCs w:val="23"/>
              </w:rPr>
            </w:pPr>
          </w:p>
        </w:tc>
        <w:tc>
          <w:tcPr>
            <w:tcW w:w="1580" w:type="dxa"/>
            <w:tcBorders>
              <w:top w:val="single" w:sz="8" w:space="0" w:color="auto"/>
              <w:right w:val="single" w:sz="8" w:space="0" w:color="auto"/>
            </w:tcBorders>
            <w:vAlign w:val="bottom"/>
          </w:tcPr>
          <w:p w14:paraId="4A1DA8E2" w14:textId="77777777" w:rsidR="00992061" w:rsidRDefault="00D1402E">
            <w:pPr>
              <w:jc w:val="center"/>
              <w:rPr>
                <w:sz w:val="20"/>
                <w:szCs w:val="20"/>
              </w:rPr>
            </w:pPr>
            <w:r>
              <w:rPr>
                <w:rFonts w:eastAsia="Times New Roman"/>
                <w:b/>
                <w:bCs/>
                <w:w w:val="99"/>
                <w:sz w:val="20"/>
                <w:szCs w:val="20"/>
              </w:rPr>
              <w:t>Категория на</w:t>
            </w:r>
          </w:p>
        </w:tc>
        <w:tc>
          <w:tcPr>
            <w:tcW w:w="30" w:type="dxa"/>
            <w:vAlign w:val="bottom"/>
          </w:tcPr>
          <w:p w14:paraId="6EE4D3A5" w14:textId="77777777" w:rsidR="00992061" w:rsidRDefault="00992061">
            <w:pPr>
              <w:rPr>
                <w:sz w:val="1"/>
                <w:szCs w:val="1"/>
              </w:rPr>
            </w:pPr>
          </w:p>
        </w:tc>
      </w:tr>
      <w:tr w:rsidR="00992061" w14:paraId="4E5FACFF" w14:textId="77777777" w:rsidTr="00BB0FDD">
        <w:trPr>
          <w:trHeight w:val="230"/>
        </w:trPr>
        <w:tc>
          <w:tcPr>
            <w:tcW w:w="3040" w:type="dxa"/>
            <w:tcBorders>
              <w:left w:val="single" w:sz="8" w:space="0" w:color="auto"/>
              <w:right w:val="single" w:sz="8" w:space="0" w:color="auto"/>
            </w:tcBorders>
            <w:vAlign w:val="bottom"/>
          </w:tcPr>
          <w:p w14:paraId="7D49F76A" w14:textId="77777777" w:rsidR="00992061" w:rsidRDefault="00992061">
            <w:pPr>
              <w:rPr>
                <w:sz w:val="20"/>
                <w:szCs w:val="20"/>
              </w:rPr>
            </w:pPr>
          </w:p>
        </w:tc>
        <w:tc>
          <w:tcPr>
            <w:tcW w:w="840" w:type="dxa"/>
            <w:vAlign w:val="bottom"/>
          </w:tcPr>
          <w:p w14:paraId="19A58882" w14:textId="77777777" w:rsidR="00992061" w:rsidRDefault="00992061">
            <w:pPr>
              <w:rPr>
                <w:sz w:val="20"/>
                <w:szCs w:val="20"/>
              </w:rPr>
            </w:pPr>
          </w:p>
        </w:tc>
        <w:tc>
          <w:tcPr>
            <w:tcW w:w="760" w:type="dxa"/>
            <w:gridSpan w:val="2"/>
            <w:vAlign w:val="bottom"/>
          </w:tcPr>
          <w:p w14:paraId="7E72A562" w14:textId="77777777" w:rsidR="00992061" w:rsidRDefault="00D1402E">
            <w:pPr>
              <w:jc w:val="center"/>
              <w:rPr>
                <w:sz w:val="20"/>
                <w:szCs w:val="20"/>
              </w:rPr>
            </w:pPr>
            <w:r>
              <w:rPr>
                <w:rFonts w:eastAsia="Times New Roman"/>
                <w:b/>
                <w:bCs/>
                <w:sz w:val="20"/>
                <w:szCs w:val="20"/>
              </w:rPr>
              <w:t>N=485</w:t>
            </w:r>
          </w:p>
        </w:tc>
        <w:tc>
          <w:tcPr>
            <w:tcW w:w="860" w:type="dxa"/>
            <w:tcBorders>
              <w:right w:val="single" w:sz="8" w:space="0" w:color="auto"/>
            </w:tcBorders>
            <w:vAlign w:val="bottom"/>
          </w:tcPr>
          <w:p w14:paraId="0F3FAFB8" w14:textId="77777777" w:rsidR="00992061" w:rsidRDefault="00992061">
            <w:pPr>
              <w:rPr>
                <w:sz w:val="20"/>
                <w:szCs w:val="20"/>
              </w:rPr>
            </w:pPr>
          </w:p>
        </w:tc>
        <w:tc>
          <w:tcPr>
            <w:tcW w:w="900" w:type="dxa"/>
            <w:vAlign w:val="bottom"/>
          </w:tcPr>
          <w:p w14:paraId="1944D6ED" w14:textId="77777777" w:rsidR="00992061" w:rsidRDefault="00992061">
            <w:pPr>
              <w:rPr>
                <w:sz w:val="20"/>
                <w:szCs w:val="20"/>
              </w:rPr>
            </w:pPr>
          </w:p>
        </w:tc>
        <w:tc>
          <w:tcPr>
            <w:tcW w:w="1100" w:type="dxa"/>
            <w:gridSpan w:val="3"/>
            <w:vAlign w:val="bottom"/>
          </w:tcPr>
          <w:p w14:paraId="00F5F49A" w14:textId="77777777" w:rsidR="00992061" w:rsidRDefault="00D1402E">
            <w:pPr>
              <w:ind w:right="320"/>
              <w:jc w:val="center"/>
              <w:rPr>
                <w:sz w:val="20"/>
                <w:szCs w:val="20"/>
              </w:rPr>
            </w:pPr>
            <w:r>
              <w:rPr>
                <w:rFonts w:eastAsia="Times New Roman"/>
                <w:b/>
                <w:bCs/>
                <w:sz w:val="20"/>
                <w:szCs w:val="20"/>
              </w:rPr>
              <w:t>N=259</w:t>
            </w:r>
          </w:p>
        </w:tc>
        <w:tc>
          <w:tcPr>
            <w:tcW w:w="600" w:type="dxa"/>
            <w:tcBorders>
              <w:right w:val="single" w:sz="8" w:space="0" w:color="auto"/>
            </w:tcBorders>
            <w:vAlign w:val="bottom"/>
          </w:tcPr>
          <w:p w14:paraId="76B57BC1" w14:textId="77777777" w:rsidR="00992061" w:rsidRDefault="00992061">
            <w:pPr>
              <w:rPr>
                <w:sz w:val="20"/>
                <w:szCs w:val="20"/>
              </w:rPr>
            </w:pPr>
          </w:p>
        </w:tc>
        <w:tc>
          <w:tcPr>
            <w:tcW w:w="1580" w:type="dxa"/>
            <w:tcBorders>
              <w:right w:val="single" w:sz="8" w:space="0" w:color="auto"/>
            </w:tcBorders>
            <w:vAlign w:val="bottom"/>
          </w:tcPr>
          <w:p w14:paraId="2B5983B7" w14:textId="77777777" w:rsidR="00992061" w:rsidRDefault="00D1402E">
            <w:pPr>
              <w:jc w:val="center"/>
              <w:rPr>
                <w:sz w:val="20"/>
                <w:szCs w:val="20"/>
              </w:rPr>
            </w:pPr>
            <w:r>
              <w:rPr>
                <w:rFonts w:eastAsia="Times New Roman"/>
                <w:b/>
                <w:bCs/>
                <w:w w:val="99"/>
                <w:sz w:val="20"/>
                <w:szCs w:val="20"/>
              </w:rPr>
              <w:t>най-високата</w:t>
            </w:r>
          </w:p>
        </w:tc>
        <w:tc>
          <w:tcPr>
            <w:tcW w:w="30" w:type="dxa"/>
            <w:vAlign w:val="bottom"/>
          </w:tcPr>
          <w:p w14:paraId="241ED860" w14:textId="77777777" w:rsidR="00992061" w:rsidRDefault="00992061">
            <w:pPr>
              <w:rPr>
                <w:sz w:val="1"/>
                <w:szCs w:val="1"/>
              </w:rPr>
            </w:pPr>
          </w:p>
        </w:tc>
      </w:tr>
      <w:tr w:rsidR="00992061" w14:paraId="4D980E67" w14:textId="77777777" w:rsidTr="00BB0FDD">
        <w:trPr>
          <w:trHeight w:val="88"/>
        </w:trPr>
        <w:tc>
          <w:tcPr>
            <w:tcW w:w="3040" w:type="dxa"/>
            <w:tcBorders>
              <w:left w:val="single" w:sz="8" w:space="0" w:color="auto"/>
              <w:bottom w:val="single" w:sz="8" w:space="0" w:color="auto"/>
              <w:right w:val="single" w:sz="8" w:space="0" w:color="auto"/>
            </w:tcBorders>
            <w:vAlign w:val="bottom"/>
          </w:tcPr>
          <w:p w14:paraId="477C8F79" w14:textId="77777777" w:rsidR="00992061" w:rsidRDefault="00992061">
            <w:pPr>
              <w:rPr>
                <w:sz w:val="7"/>
                <w:szCs w:val="7"/>
              </w:rPr>
            </w:pPr>
          </w:p>
        </w:tc>
        <w:tc>
          <w:tcPr>
            <w:tcW w:w="840" w:type="dxa"/>
            <w:tcBorders>
              <w:bottom w:val="single" w:sz="8" w:space="0" w:color="auto"/>
            </w:tcBorders>
            <w:vAlign w:val="bottom"/>
          </w:tcPr>
          <w:p w14:paraId="1098F0D3" w14:textId="77777777" w:rsidR="00992061" w:rsidRDefault="00992061">
            <w:pPr>
              <w:rPr>
                <w:sz w:val="7"/>
                <w:szCs w:val="7"/>
              </w:rPr>
            </w:pPr>
          </w:p>
        </w:tc>
        <w:tc>
          <w:tcPr>
            <w:tcW w:w="140" w:type="dxa"/>
            <w:tcBorders>
              <w:bottom w:val="single" w:sz="8" w:space="0" w:color="auto"/>
            </w:tcBorders>
            <w:vAlign w:val="bottom"/>
          </w:tcPr>
          <w:p w14:paraId="565B764A" w14:textId="77777777" w:rsidR="00992061" w:rsidRDefault="00992061">
            <w:pPr>
              <w:rPr>
                <w:sz w:val="7"/>
                <w:szCs w:val="7"/>
              </w:rPr>
            </w:pPr>
          </w:p>
        </w:tc>
        <w:tc>
          <w:tcPr>
            <w:tcW w:w="620" w:type="dxa"/>
            <w:tcBorders>
              <w:bottom w:val="single" w:sz="8" w:space="0" w:color="auto"/>
            </w:tcBorders>
            <w:vAlign w:val="bottom"/>
          </w:tcPr>
          <w:p w14:paraId="0DD5D219" w14:textId="77777777" w:rsidR="00992061" w:rsidRDefault="00992061">
            <w:pPr>
              <w:rPr>
                <w:sz w:val="7"/>
                <w:szCs w:val="7"/>
              </w:rPr>
            </w:pPr>
          </w:p>
        </w:tc>
        <w:tc>
          <w:tcPr>
            <w:tcW w:w="860" w:type="dxa"/>
            <w:tcBorders>
              <w:bottom w:val="single" w:sz="8" w:space="0" w:color="auto"/>
              <w:right w:val="single" w:sz="8" w:space="0" w:color="auto"/>
            </w:tcBorders>
            <w:vAlign w:val="bottom"/>
          </w:tcPr>
          <w:p w14:paraId="5EE9BB0F" w14:textId="77777777" w:rsidR="00992061" w:rsidRDefault="00992061">
            <w:pPr>
              <w:rPr>
                <w:sz w:val="7"/>
                <w:szCs w:val="7"/>
              </w:rPr>
            </w:pPr>
          </w:p>
        </w:tc>
        <w:tc>
          <w:tcPr>
            <w:tcW w:w="900" w:type="dxa"/>
            <w:tcBorders>
              <w:bottom w:val="single" w:sz="8" w:space="0" w:color="auto"/>
            </w:tcBorders>
            <w:vAlign w:val="bottom"/>
          </w:tcPr>
          <w:p w14:paraId="47BA0E35" w14:textId="77777777" w:rsidR="00992061" w:rsidRDefault="00992061">
            <w:pPr>
              <w:rPr>
                <w:sz w:val="7"/>
                <w:szCs w:val="7"/>
              </w:rPr>
            </w:pPr>
          </w:p>
        </w:tc>
        <w:tc>
          <w:tcPr>
            <w:tcW w:w="140" w:type="dxa"/>
            <w:tcBorders>
              <w:bottom w:val="single" w:sz="8" w:space="0" w:color="auto"/>
            </w:tcBorders>
            <w:vAlign w:val="bottom"/>
          </w:tcPr>
          <w:p w14:paraId="47BFE656" w14:textId="77777777" w:rsidR="00992061" w:rsidRDefault="00992061">
            <w:pPr>
              <w:rPr>
                <w:sz w:val="7"/>
                <w:szCs w:val="7"/>
              </w:rPr>
            </w:pPr>
          </w:p>
        </w:tc>
        <w:tc>
          <w:tcPr>
            <w:tcW w:w="700" w:type="dxa"/>
            <w:tcBorders>
              <w:bottom w:val="single" w:sz="8" w:space="0" w:color="auto"/>
            </w:tcBorders>
            <w:vAlign w:val="bottom"/>
          </w:tcPr>
          <w:p w14:paraId="27F45E57" w14:textId="77777777" w:rsidR="00992061" w:rsidRDefault="00992061">
            <w:pPr>
              <w:rPr>
                <w:sz w:val="7"/>
                <w:szCs w:val="7"/>
              </w:rPr>
            </w:pPr>
          </w:p>
        </w:tc>
        <w:tc>
          <w:tcPr>
            <w:tcW w:w="260" w:type="dxa"/>
            <w:tcBorders>
              <w:bottom w:val="single" w:sz="8" w:space="0" w:color="auto"/>
            </w:tcBorders>
            <w:vAlign w:val="bottom"/>
          </w:tcPr>
          <w:p w14:paraId="64D3F510" w14:textId="77777777" w:rsidR="00992061" w:rsidRDefault="00992061">
            <w:pPr>
              <w:rPr>
                <w:sz w:val="7"/>
                <w:szCs w:val="7"/>
              </w:rPr>
            </w:pPr>
          </w:p>
        </w:tc>
        <w:tc>
          <w:tcPr>
            <w:tcW w:w="600" w:type="dxa"/>
            <w:tcBorders>
              <w:bottom w:val="single" w:sz="8" w:space="0" w:color="auto"/>
              <w:right w:val="single" w:sz="8" w:space="0" w:color="auto"/>
            </w:tcBorders>
            <w:vAlign w:val="bottom"/>
          </w:tcPr>
          <w:p w14:paraId="326D4F44" w14:textId="77777777" w:rsidR="00992061" w:rsidRDefault="00992061">
            <w:pPr>
              <w:rPr>
                <w:sz w:val="7"/>
                <w:szCs w:val="7"/>
              </w:rPr>
            </w:pPr>
          </w:p>
        </w:tc>
        <w:tc>
          <w:tcPr>
            <w:tcW w:w="1580" w:type="dxa"/>
            <w:vMerge w:val="restart"/>
            <w:tcBorders>
              <w:right w:val="single" w:sz="8" w:space="0" w:color="auto"/>
            </w:tcBorders>
            <w:vAlign w:val="bottom"/>
          </w:tcPr>
          <w:p w14:paraId="26869F20" w14:textId="77777777" w:rsidR="00992061" w:rsidRDefault="00D1402E">
            <w:pPr>
              <w:jc w:val="center"/>
              <w:rPr>
                <w:sz w:val="20"/>
                <w:szCs w:val="20"/>
              </w:rPr>
            </w:pPr>
            <w:r>
              <w:rPr>
                <w:rFonts w:eastAsia="Times New Roman"/>
                <w:b/>
                <w:bCs/>
                <w:w w:val="98"/>
                <w:sz w:val="20"/>
                <w:szCs w:val="20"/>
              </w:rPr>
              <w:t>честота</w:t>
            </w:r>
          </w:p>
        </w:tc>
        <w:tc>
          <w:tcPr>
            <w:tcW w:w="30" w:type="dxa"/>
            <w:vAlign w:val="bottom"/>
          </w:tcPr>
          <w:p w14:paraId="159343AD" w14:textId="77777777" w:rsidR="00992061" w:rsidRDefault="00992061">
            <w:pPr>
              <w:rPr>
                <w:sz w:val="1"/>
                <w:szCs w:val="1"/>
              </w:rPr>
            </w:pPr>
          </w:p>
        </w:tc>
      </w:tr>
      <w:tr w:rsidR="00992061" w14:paraId="74CE9256" w14:textId="77777777" w:rsidTr="00BB0FDD">
        <w:trPr>
          <w:trHeight w:val="171"/>
        </w:trPr>
        <w:tc>
          <w:tcPr>
            <w:tcW w:w="3040" w:type="dxa"/>
            <w:tcBorders>
              <w:left w:val="single" w:sz="8" w:space="0" w:color="auto"/>
              <w:right w:val="single" w:sz="8" w:space="0" w:color="auto"/>
            </w:tcBorders>
            <w:vAlign w:val="bottom"/>
          </w:tcPr>
          <w:p w14:paraId="5D6D54FE" w14:textId="77777777" w:rsidR="00992061" w:rsidRDefault="00992061">
            <w:pPr>
              <w:rPr>
                <w:sz w:val="14"/>
                <w:szCs w:val="14"/>
              </w:rPr>
            </w:pPr>
          </w:p>
        </w:tc>
        <w:tc>
          <w:tcPr>
            <w:tcW w:w="840" w:type="dxa"/>
            <w:vMerge w:val="restart"/>
            <w:vAlign w:val="bottom"/>
          </w:tcPr>
          <w:p w14:paraId="46626A5E" w14:textId="77777777" w:rsidR="00992061" w:rsidRDefault="00D1402E">
            <w:pPr>
              <w:jc w:val="center"/>
              <w:rPr>
                <w:sz w:val="20"/>
                <w:szCs w:val="20"/>
              </w:rPr>
            </w:pPr>
            <w:r>
              <w:rPr>
                <w:rFonts w:eastAsia="Times New Roman"/>
                <w:b/>
                <w:bCs/>
                <w:sz w:val="20"/>
                <w:szCs w:val="20"/>
              </w:rPr>
              <w:t>Всички</w:t>
            </w:r>
          </w:p>
        </w:tc>
        <w:tc>
          <w:tcPr>
            <w:tcW w:w="140" w:type="dxa"/>
            <w:tcBorders>
              <w:right w:val="single" w:sz="8" w:space="0" w:color="auto"/>
            </w:tcBorders>
            <w:vAlign w:val="bottom"/>
          </w:tcPr>
          <w:p w14:paraId="489766AC" w14:textId="77777777" w:rsidR="00992061" w:rsidRDefault="00992061">
            <w:pPr>
              <w:rPr>
                <w:sz w:val="14"/>
                <w:szCs w:val="14"/>
              </w:rPr>
            </w:pPr>
          </w:p>
        </w:tc>
        <w:tc>
          <w:tcPr>
            <w:tcW w:w="620" w:type="dxa"/>
            <w:tcBorders>
              <w:right w:val="single" w:sz="8" w:space="0" w:color="auto"/>
            </w:tcBorders>
            <w:vAlign w:val="bottom"/>
          </w:tcPr>
          <w:p w14:paraId="734ABC1B" w14:textId="77777777" w:rsidR="00992061" w:rsidRDefault="00992061">
            <w:pPr>
              <w:rPr>
                <w:sz w:val="14"/>
                <w:szCs w:val="14"/>
              </w:rPr>
            </w:pPr>
          </w:p>
        </w:tc>
        <w:tc>
          <w:tcPr>
            <w:tcW w:w="860" w:type="dxa"/>
            <w:tcBorders>
              <w:right w:val="single" w:sz="8" w:space="0" w:color="auto"/>
            </w:tcBorders>
            <w:vAlign w:val="bottom"/>
          </w:tcPr>
          <w:p w14:paraId="151F6008" w14:textId="77777777" w:rsidR="00992061" w:rsidRDefault="00992061">
            <w:pPr>
              <w:rPr>
                <w:sz w:val="14"/>
                <w:szCs w:val="14"/>
              </w:rPr>
            </w:pPr>
          </w:p>
        </w:tc>
        <w:tc>
          <w:tcPr>
            <w:tcW w:w="900" w:type="dxa"/>
            <w:vMerge w:val="restart"/>
            <w:vAlign w:val="bottom"/>
          </w:tcPr>
          <w:p w14:paraId="6FB3CF12" w14:textId="77777777" w:rsidR="00992061" w:rsidRDefault="00D1402E">
            <w:pPr>
              <w:jc w:val="center"/>
              <w:rPr>
                <w:sz w:val="20"/>
                <w:szCs w:val="20"/>
              </w:rPr>
            </w:pPr>
            <w:r>
              <w:rPr>
                <w:rFonts w:eastAsia="Times New Roman"/>
                <w:b/>
                <w:bCs/>
                <w:sz w:val="20"/>
                <w:szCs w:val="20"/>
              </w:rPr>
              <w:t>Всички</w:t>
            </w:r>
          </w:p>
        </w:tc>
        <w:tc>
          <w:tcPr>
            <w:tcW w:w="140" w:type="dxa"/>
            <w:tcBorders>
              <w:right w:val="single" w:sz="8" w:space="0" w:color="auto"/>
            </w:tcBorders>
            <w:vAlign w:val="bottom"/>
          </w:tcPr>
          <w:p w14:paraId="601BE045" w14:textId="77777777" w:rsidR="00992061" w:rsidRDefault="00992061">
            <w:pPr>
              <w:rPr>
                <w:sz w:val="14"/>
                <w:szCs w:val="14"/>
              </w:rPr>
            </w:pPr>
          </w:p>
        </w:tc>
        <w:tc>
          <w:tcPr>
            <w:tcW w:w="700" w:type="dxa"/>
            <w:tcBorders>
              <w:right w:val="single" w:sz="8" w:space="0" w:color="auto"/>
            </w:tcBorders>
            <w:vAlign w:val="bottom"/>
          </w:tcPr>
          <w:p w14:paraId="2877A54A" w14:textId="77777777" w:rsidR="00992061" w:rsidRDefault="00992061">
            <w:pPr>
              <w:rPr>
                <w:sz w:val="14"/>
                <w:szCs w:val="14"/>
              </w:rPr>
            </w:pPr>
          </w:p>
        </w:tc>
        <w:tc>
          <w:tcPr>
            <w:tcW w:w="260" w:type="dxa"/>
            <w:vAlign w:val="bottom"/>
          </w:tcPr>
          <w:p w14:paraId="110CC2C8" w14:textId="77777777" w:rsidR="00992061" w:rsidRDefault="00992061">
            <w:pPr>
              <w:rPr>
                <w:sz w:val="14"/>
                <w:szCs w:val="14"/>
              </w:rPr>
            </w:pPr>
          </w:p>
        </w:tc>
        <w:tc>
          <w:tcPr>
            <w:tcW w:w="600" w:type="dxa"/>
            <w:tcBorders>
              <w:right w:val="single" w:sz="8" w:space="0" w:color="auto"/>
            </w:tcBorders>
            <w:vAlign w:val="bottom"/>
          </w:tcPr>
          <w:p w14:paraId="31991D4B" w14:textId="77777777" w:rsidR="00992061" w:rsidRDefault="00992061">
            <w:pPr>
              <w:rPr>
                <w:sz w:val="14"/>
                <w:szCs w:val="14"/>
              </w:rPr>
            </w:pPr>
          </w:p>
        </w:tc>
        <w:tc>
          <w:tcPr>
            <w:tcW w:w="1580" w:type="dxa"/>
            <w:vMerge/>
            <w:tcBorders>
              <w:right w:val="single" w:sz="8" w:space="0" w:color="auto"/>
            </w:tcBorders>
            <w:vAlign w:val="bottom"/>
          </w:tcPr>
          <w:p w14:paraId="5A058748" w14:textId="77777777" w:rsidR="00992061" w:rsidRDefault="00992061">
            <w:pPr>
              <w:rPr>
                <w:sz w:val="14"/>
                <w:szCs w:val="14"/>
              </w:rPr>
            </w:pPr>
          </w:p>
        </w:tc>
        <w:tc>
          <w:tcPr>
            <w:tcW w:w="30" w:type="dxa"/>
            <w:vAlign w:val="bottom"/>
          </w:tcPr>
          <w:p w14:paraId="2123C879" w14:textId="77777777" w:rsidR="00992061" w:rsidRDefault="00992061">
            <w:pPr>
              <w:rPr>
                <w:sz w:val="1"/>
                <w:szCs w:val="1"/>
              </w:rPr>
            </w:pPr>
          </w:p>
        </w:tc>
      </w:tr>
      <w:tr w:rsidR="00992061" w14:paraId="11A8F4EA" w14:textId="77777777" w:rsidTr="00BB0FDD">
        <w:trPr>
          <w:trHeight w:val="76"/>
        </w:trPr>
        <w:tc>
          <w:tcPr>
            <w:tcW w:w="3040" w:type="dxa"/>
            <w:tcBorders>
              <w:left w:val="single" w:sz="8" w:space="0" w:color="auto"/>
              <w:right w:val="single" w:sz="8" w:space="0" w:color="auto"/>
            </w:tcBorders>
            <w:vAlign w:val="bottom"/>
          </w:tcPr>
          <w:p w14:paraId="33D0D8EA" w14:textId="77777777" w:rsidR="00992061" w:rsidRDefault="00992061">
            <w:pPr>
              <w:rPr>
                <w:sz w:val="6"/>
                <w:szCs w:val="6"/>
              </w:rPr>
            </w:pPr>
          </w:p>
        </w:tc>
        <w:tc>
          <w:tcPr>
            <w:tcW w:w="840" w:type="dxa"/>
            <w:vMerge/>
            <w:vAlign w:val="bottom"/>
          </w:tcPr>
          <w:p w14:paraId="6E1E6398" w14:textId="77777777" w:rsidR="00992061" w:rsidRDefault="00992061">
            <w:pPr>
              <w:rPr>
                <w:sz w:val="6"/>
                <w:szCs w:val="6"/>
              </w:rPr>
            </w:pPr>
          </w:p>
        </w:tc>
        <w:tc>
          <w:tcPr>
            <w:tcW w:w="140" w:type="dxa"/>
            <w:tcBorders>
              <w:right w:val="single" w:sz="8" w:space="0" w:color="auto"/>
            </w:tcBorders>
            <w:vAlign w:val="bottom"/>
          </w:tcPr>
          <w:p w14:paraId="1EDFAF37" w14:textId="77777777" w:rsidR="00992061" w:rsidRDefault="00992061">
            <w:pPr>
              <w:rPr>
                <w:sz w:val="6"/>
                <w:szCs w:val="6"/>
              </w:rPr>
            </w:pPr>
          </w:p>
        </w:tc>
        <w:tc>
          <w:tcPr>
            <w:tcW w:w="620" w:type="dxa"/>
            <w:tcBorders>
              <w:right w:val="single" w:sz="8" w:space="0" w:color="auto"/>
            </w:tcBorders>
            <w:vAlign w:val="bottom"/>
          </w:tcPr>
          <w:p w14:paraId="0651812A" w14:textId="77777777" w:rsidR="00992061" w:rsidRDefault="00992061">
            <w:pPr>
              <w:rPr>
                <w:sz w:val="6"/>
                <w:szCs w:val="6"/>
              </w:rPr>
            </w:pPr>
          </w:p>
        </w:tc>
        <w:tc>
          <w:tcPr>
            <w:tcW w:w="860" w:type="dxa"/>
            <w:tcBorders>
              <w:right w:val="single" w:sz="8" w:space="0" w:color="auto"/>
            </w:tcBorders>
            <w:vAlign w:val="bottom"/>
          </w:tcPr>
          <w:p w14:paraId="7FD4D3DD" w14:textId="77777777" w:rsidR="00992061" w:rsidRDefault="00992061">
            <w:pPr>
              <w:rPr>
                <w:sz w:val="6"/>
                <w:szCs w:val="6"/>
              </w:rPr>
            </w:pPr>
          </w:p>
        </w:tc>
        <w:tc>
          <w:tcPr>
            <w:tcW w:w="900" w:type="dxa"/>
            <w:vMerge/>
            <w:vAlign w:val="bottom"/>
          </w:tcPr>
          <w:p w14:paraId="22D0BA8D" w14:textId="77777777" w:rsidR="00992061" w:rsidRDefault="00992061">
            <w:pPr>
              <w:rPr>
                <w:sz w:val="6"/>
                <w:szCs w:val="6"/>
              </w:rPr>
            </w:pPr>
          </w:p>
        </w:tc>
        <w:tc>
          <w:tcPr>
            <w:tcW w:w="140" w:type="dxa"/>
            <w:tcBorders>
              <w:right w:val="single" w:sz="8" w:space="0" w:color="auto"/>
            </w:tcBorders>
            <w:vAlign w:val="bottom"/>
          </w:tcPr>
          <w:p w14:paraId="3C91710A" w14:textId="77777777" w:rsidR="00992061" w:rsidRDefault="00992061">
            <w:pPr>
              <w:rPr>
                <w:sz w:val="6"/>
                <w:szCs w:val="6"/>
              </w:rPr>
            </w:pPr>
          </w:p>
        </w:tc>
        <w:tc>
          <w:tcPr>
            <w:tcW w:w="700" w:type="dxa"/>
            <w:tcBorders>
              <w:right w:val="single" w:sz="8" w:space="0" w:color="auto"/>
            </w:tcBorders>
            <w:vAlign w:val="bottom"/>
          </w:tcPr>
          <w:p w14:paraId="32AA60DA" w14:textId="77777777" w:rsidR="00992061" w:rsidRDefault="00992061">
            <w:pPr>
              <w:rPr>
                <w:sz w:val="6"/>
                <w:szCs w:val="6"/>
              </w:rPr>
            </w:pPr>
          </w:p>
        </w:tc>
        <w:tc>
          <w:tcPr>
            <w:tcW w:w="260" w:type="dxa"/>
            <w:vAlign w:val="bottom"/>
          </w:tcPr>
          <w:p w14:paraId="4D526B54" w14:textId="77777777" w:rsidR="00992061" w:rsidRDefault="00992061">
            <w:pPr>
              <w:rPr>
                <w:sz w:val="6"/>
                <w:szCs w:val="6"/>
              </w:rPr>
            </w:pPr>
          </w:p>
        </w:tc>
        <w:tc>
          <w:tcPr>
            <w:tcW w:w="600" w:type="dxa"/>
            <w:tcBorders>
              <w:right w:val="single" w:sz="8" w:space="0" w:color="auto"/>
            </w:tcBorders>
            <w:vAlign w:val="bottom"/>
          </w:tcPr>
          <w:p w14:paraId="6DEC5113" w14:textId="77777777" w:rsidR="00992061" w:rsidRDefault="00992061">
            <w:pPr>
              <w:rPr>
                <w:sz w:val="6"/>
                <w:szCs w:val="6"/>
              </w:rPr>
            </w:pPr>
          </w:p>
        </w:tc>
        <w:tc>
          <w:tcPr>
            <w:tcW w:w="1580" w:type="dxa"/>
            <w:tcBorders>
              <w:right w:val="single" w:sz="8" w:space="0" w:color="auto"/>
            </w:tcBorders>
            <w:vAlign w:val="bottom"/>
          </w:tcPr>
          <w:p w14:paraId="1DEF44C2" w14:textId="77777777" w:rsidR="00992061" w:rsidRDefault="00992061">
            <w:pPr>
              <w:rPr>
                <w:sz w:val="6"/>
                <w:szCs w:val="6"/>
              </w:rPr>
            </w:pPr>
          </w:p>
        </w:tc>
        <w:tc>
          <w:tcPr>
            <w:tcW w:w="30" w:type="dxa"/>
            <w:vAlign w:val="bottom"/>
          </w:tcPr>
          <w:p w14:paraId="7F2D8DE1" w14:textId="77777777" w:rsidR="00992061" w:rsidRDefault="00992061">
            <w:pPr>
              <w:rPr>
                <w:sz w:val="1"/>
                <w:szCs w:val="1"/>
              </w:rPr>
            </w:pPr>
          </w:p>
        </w:tc>
      </w:tr>
      <w:tr w:rsidR="00992061" w14:paraId="5B3A08B2" w14:textId="77777777" w:rsidTr="00BB0FDD">
        <w:trPr>
          <w:trHeight w:val="279"/>
        </w:trPr>
        <w:tc>
          <w:tcPr>
            <w:tcW w:w="3040" w:type="dxa"/>
            <w:tcBorders>
              <w:left w:val="single" w:sz="8" w:space="0" w:color="auto"/>
              <w:right w:val="single" w:sz="8" w:space="0" w:color="auto"/>
            </w:tcBorders>
            <w:vAlign w:val="bottom"/>
          </w:tcPr>
          <w:p w14:paraId="19C8785F" w14:textId="77777777" w:rsidR="00992061" w:rsidRDefault="00D1402E">
            <w:pPr>
              <w:ind w:left="80"/>
              <w:rPr>
                <w:sz w:val="20"/>
                <w:szCs w:val="20"/>
              </w:rPr>
            </w:pPr>
            <w:r>
              <w:rPr>
                <w:rFonts w:eastAsia="Times New Roman"/>
                <w:b/>
                <w:bCs/>
                <w:sz w:val="20"/>
                <w:szCs w:val="20"/>
              </w:rPr>
              <w:t>Степен по NCI-CTC</w:t>
            </w:r>
          </w:p>
        </w:tc>
        <w:tc>
          <w:tcPr>
            <w:tcW w:w="840" w:type="dxa"/>
            <w:vAlign w:val="bottom"/>
          </w:tcPr>
          <w:p w14:paraId="3ABE934D" w14:textId="77777777" w:rsidR="00992061" w:rsidRDefault="00D1402E">
            <w:pPr>
              <w:jc w:val="center"/>
              <w:rPr>
                <w:sz w:val="20"/>
                <w:szCs w:val="20"/>
              </w:rPr>
            </w:pPr>
            <w:r>
              <w:rPr>
                <w:rFonts w:eastAsia="Times New Roman"/>
                <w:b/>
                <w:bCs/>
                <w:w w:val="98"/>
                <w:sz w:val="20"/>
                <w:szCs w:val="20"/>
              </w:rPr>
              <w:t>степени</w:t>
            </w:r>
          </w:p>
        </w:tc>
        <w:tc>
          <w:tcPr>
            <w:tcW w:w="140" w:type="dxa"/>
            <w:tcBorders>
              <w:right w:val="single" w:sz="8" w:space="0" w:color="auto"/>
            </w:tcBorders>
            <w:vAlign w:val="bottom"/>
          </w:tcPr>
          <w:p w14:paraId="3C25D30E" w14:textId="77777777" w:rsidR="00992061" w:rsidRDefault="00992061">
            <w:pPr>
              <w:rPr>
                <w:sz w:val="24"/>
                <w:szCs w:val="24"/>
              </w:rPr>
            </w:pPr>
          </w:p>
        </w:tc>
        <w:tc>
          <w:tcPr>
            <w:tcW w:w="620" w:type="dxa"/>
            <w:tcBorders>
              <w:right w:val="single" w:sz="8" w:space="0" w:color="auto"/>
            </w:tcBorders>
            <w:vAlign w:val="bottom"/>
          </w:tcPr>
          <w:p w14:paraId="121E9103" w14:textId="77777777" w:rsidR="00992061" w:rsidRDefault="00D1402E">
            <w:pPr>
              <w:jc w:val="center"/>
              <w:rPr>
                <w:sz w:val="20"/>
                <w:szCs w:val="20"/>
              </w:rPr>
            </w:pPr>
            <w:r>
              <w:rPr>
                <w:rFonts w:eastAsia="Times New Roman"/>
                <w:b/>
                <w:bCs/>
                <w:w w:val="99"/>
                <w:sz w:val="20"/>
                <w:szCs w:val="20"/>
              </w:rPr>
              <w:t>3</w:t>
            </w:r>
          </w:p>
        </w:tc>
        <w:tc>
          <w:tcPr>
            <w:tcW w:w="860" w:type="dxa"/>
            <w:tcBorders>
              <w:right w:val="single" w:sz="8" w:space="0" w:color="auto"/>
            </w:tcBorders>
            <w:vAlign w:val="bottom"/>
          </w:tcPr>
          <w:p w14:paraId="39ADDA29" w14:textId="77777777" w:rsidR="00992061" w:rsidRDefault="00D1402E">
            <w:pPr>
              <w:jc w:val="center"/>
              <w:rPr>
                <w:sz w:val="20"/>
                <w:szCs w:val="20"/>
              </w:rPr>
            </w:pPr>
            <w:r>
              <w:rPr>
                <w:rFonts w:eastAsia="Times New Roman"/>
                <w:b/>
                <w:bCs/>
                <w:w w:val="99"/>
                <w:sz w:val="20"/>
                <w:szCs w:val="20"/>
              </w:rPr>
              <w:t>4</w:t>
            </w:r>
          </w:p>
        </w:tc>
        <w:tc>
          <w:tcPr>
            <w:tcW w:w="900" w:type="dxa"/>
            <w:vAlign w:val="bottom"/>
          </w:tcPr>
          <w:p w14:paraId="5D9727F7" w14:textId="77777777" w:rsidR="00992061" w:rsidRDefault="00D1402E">
            <w:pPr>
              <w:jc w:val="center"/>
              <w:rPr>
                <w:sz w:val="20"/>
                <w:szCs w:val="20"/>
              </w:rPr>
            </w:pPr>
            <w:r>
              <w:rPr>
                <w:rFonts w:eastAsia="Times New Roman"/>
                <w:b/>
                <w:bCs/>
                <w:w w:val="98"/>
                <w:sz w:val="20"/>
                <w:szCs w:val="20"/>
              </w:rPr>
              <w:t>степени</w:t>
            </w:r>
          </w:p>
        </w:tc>
        <w:tc>
          <w:tcPr>
            <w:tcW w:w="140" w:type="dxa"/>
            <w:tcBorders>
              <w:right w:val="single" w:sz="8" w:space="0" w:color="auto"/>
            </w:tcBorders>
            <w:vAlign w:val="bottom"/>
          </w:tcPr>
          <w:p w14:paraId="0AE51D1A" w14:textId="77777777" w:rsidR="00992061" w:rsidRDefault="00992061">
            <w:pPr>
              <w:rPr>
                <w:sz w:val="24"/>
                <w:szCs w:val="24"/>
              </w:rPr>
            </w:pPr>
          </w:p>
        </w:tc>
        <w:tc>
          <w:tcPr>
            <w:tcW w:w="700" w:type="dxa"/>
            <w:tcBorders>
              <w:right w:val="single" w:sz="8" w:space="0" w:color="auto"/>
            </w:tcBorders>
            <w:vAlign w:val="bottom"/>
          </w:tcPr>
          <w:p w14:paraId="129A3747" w14:textId="77777777" w:rsidR="00992061" w:rsidRDefault="00D1402E">
            <w:pPr>
              <w:jc w:val="center"/>
              <w:rPr>
                <w:sz w:val="20"/>
                <w:szCs w:val="20"/>
              </w:rPr>
            </w:pPr>
            <w:r>
              <w:rPr>
                <w:rFonts w:eastAsia="Times New Roman"/>
                <w:b/>
                <w:bCs/>
                <w:w w:val="99"/>
                <w:sz w:val="20"/>
                <w:szCs w:val="20"/>
              </w:rPr>
              <w:t>3</w:t>
            </w:r>
          </w:p>
        </w:tc>
        <w:tc>
          <w:tcPr>
            <w:tcW w:w="260" w:type="dxa"/>
            <w:vAlign w:val="bottom"/>
          </w:tcPr>
          <w:p w14:paraId="4147678C" w14:textId="77777777" w:rsidR="00992061" w:rsidRDefault="00992061">
            <w:pPr>
              <w:rPr>
                <w:sz w:val="24"/>
                <w:szCs w:val="24"/>
              </w:rPr>
            </w:pPr>
          </w:p>
        </w:tc>
        <w:tc>
          <w:tcPr>
            <w:tcW w:w="600" w:type="dxa"/>
            <w:tcBorders>
              <w:right w:val="single" w:sz="8" w:space="0" w:color="auto"/>
            </w:tcBorders>
            <w:vAlign w:val="bottom"/>
          </w:tcPr>
          <w:p w14:paraId="6B5C4E02" w14:textId="77777777" w:rsidR="00992061" w:rsidRDefault="00D1402E">
            <w:pPr>
              <w:ind w:right="179"/>
              <w:jc w:val="center"/>
              <w:rPr>
                <w:sz w:val="20"/>
                <w:szCs w:val="20"/>
              </w:rPr>
            </w:pPr>
            <w:r>
              <w:rPr>
                <w:rFonts w:eastAsia="Times New Roman"/>
                <w:b/>
                <w:bCs/>
                <w:sz w:val="20"/>
                <w:szCs w:val="20"/>
              </w:rPr>
              <w:t>4</w:t>
            </w:r>
          </w:p>
        </w:tc>
        <w:tc>
          <w:tcPr>
            <w:tcW w:w="1580" w:type="dxa"/>
            <w:tcBorders>
              <w:right w:val="single" w:sz="8" w:space="0" w:color="auto"/>
            </w:tcBorders>
            <w:vAlign w:val="bottom"/>
          </w:tcPr>
          <w:p w14:paraId="4F298EFF" w14:textId="77777777" w:rsidR="00992061" w:rsidRDefault="00992061">
            <w:pPr>
              <w:rPr>
                <w:sz w:val="24"/>
                <w:szCs w:val="24"/>
              </w:rPr>
            </w:pPr>
          </w:p>
        </w:tc>
        <w:tc>
          <w:tcPr>
            <w:tcW w:w="30" w:type="dxa"/>
            <w:vAlign w:val="bottom"/>
          </w:tcPr>
          <w:p w14:paraId="085FB89D" w14:textId="77777777" w:rsidR="00992061" w:rsidRDefault="00992061">
            <w:pPr>
              <w:rPr>
                <w:sz w:val="1"/>
                <w:szCs w:val="1"/>
              </w:rPr>
            </w:pPr>
          </w:p>
        </w:tc>
      </w:tr>
      <w:tr w:rsidR="00992061" w14:paraId="42C7B2A3" w14:textId="77777777" w:rsidTr="00BB0FDD">
        <w:trPr>
          <w:trHeight w:val="40"/>
        </w:trPr>
        <w:tc>
          <w:tcPr>
            <w:tcW w:w="3040" w:type="dxa"/>
            <w:tcBorders>
              <w:left w:val="single" w:sz="8" w:space="0" w:color="auto"/>
              <w:bottom w:val="single" w:sz="8" w:space="0" w:color="auto"/>
              <w:right w:val="single" w:sz="8" w:space="0" w:color="auto"/>
            </w:tcBorders>
            <w:vAlign w:val="bottom"/>
          </w:tcPr>
          <w:p w14:paraId="5C6C6E34" w14:textId="77777777" w:rsidR="00992061" w:rsidRDefault="00992061">
            <w:pPr>
              <w:rPr>
                <w:sz w:val="3"/>
                <w:szCs w:val="3"/>
              </w:rPr>
            </w:pPr>
          </w:p>
        </w:tc>
        <w:tc>
          <w:tcPr>
            <w:tcW w:w="840" w:type="dxa"/>
            <w:tcBorders>
              <w:bottom w:val="single" w:sz="8" w:space="0" w:color="auto"/>
            </w:tcBorders>
            <w:vAlign w:val="bottom"/>
          </w:tcPr>
          <w:p w14:paraId="46CC9D0D" w14:textId="77777777" w:rsidR="00992061" w:rsidRDefault="00992061">
            <w:pPr>
              <w:rPr>
                <w:sz w:val="3"/>
                <w:szCs w:val="3"/>
              </w:rPr>
            </w:pPr>
          </w:p>
        </w:tc>
        <w:tc>
          <w:tcPr>
            <w:tcW w:w="140" w:type="dxa"/>
            <w:tcBorders>
              <w:bottom w:val="single" w:sz="8" w:space="0" w:color="auto"/>
              <w:right w:val="single" w:sz="8" w:space="0" w:color="auto"/>
            </w:tcBorders>
            <w:vAlign w:val="bottom"/>
          </w:tcPr>
          <w:p w14:paraId="32B1E599" w14:textId="77777777" w:rsidR="00992061" w:rsidRDefault="00992061">
            <w:pPr>
              <w:rPr>
                <w:sz w:val="3"/>
                <w:szCs w:val="3"/>
              </w:rPr>
            </w:pPr>
          </w:p>
        </w:tc>
        <w:tc>
          <w:tcPr>
            <w:tcW w:w="620" w:type="dxa"/>
            <w:tcBorders>
              <w:bottom w:val="single" w:sz="8" w:space="0" w:color="auto"/>
              <w:right w:val="single" w:sz="8" w:space="0" w:color="auto"/>
            </w:tcBorders>
            <w:vAlign w:val="bottom"/>
          </w:tcPr>
          <w:p w14:paraId="6DC1EB4E" w14:textId="77777777" w:rsidR="00992061" w:rsidRDefault="00992061">
            <w:pPr>
              <w:rPr>
                <w:sz w:val="3"/>
                <w:szCs w:val="3"/>
              </w:rPr>
            </w:pPr>
          </w:p>
        </w:tc>
        <w:tc>
          <w:tcPr>
            <w:tcW w:w="860" w:type="dxa"/>
            <w:tcBorders>
              <w:bottom w:val="single" w:sz="8" w:space="0" w:color="auto"/>
              <w:right w:val="single" w:sz="8" w:space="0" w:color="auto"/>
            </w:tcBorders>
            <w:vAlign w:val="bottom"/>
          </w:tcPr>
          <w:p w14:paraId="436D0F8A" w14:textId="77777777" w:rsidR="00992061" w:rsidRDefault="00992061">
            <w:pPr>
              <w:rPr>
                <w:sz w:val="3"/>
                <w:szCs w:val="3"/>
              </w:rPr>
            </w:pPr>
          </w:p>
        </w:tc>
        <w:tc>
          <w:tcPr>
            <w:tcW w:w="900" w:type="dxa"/>
            <w:tcBorders>
              <w:bottom w:val="single" w:sz="8" w:space="0" w:color="auto"/>
            </w:tcBorders>
            <w:vAlign w:val="bottom"/>
          </w:tcPr>
          <w:p w14:paraId="49F9F2E1" w14:textId="77777777" w:rsidR="00992061" w:rsidRDefault="00992061">
            <w:pPr>
              <w:rPr>
                <w:sz w:val="3"/>
                <w:szCs w:val="3"/>
              </w:rPr>
            </w:pPr>
          </w:p>
        </w:tc>
        <w:tc>
          <w:tcPr>
            <w:tcW w:w="140" w:type="dxa"/>
            <w:tcBorders>
              <w:bottom w:val="single" w:sz="8" w:space="0" w:color="auto"/>
              <w:right w:val="single" w:sz="8" w:space="0" w:color="auto"/>
            </w:tcBorders>
            <w:vAlign w:val="bottom"/>
          </w:tcPr>
          <w:p w14:paraId="14E78219" w14:textId="77777777" w:rsidR="00992061" w:rsidRDefault="00992061">
            <w:pPr>
              <w:rPr>
                <w:sz w:val="3"/>
                <w:szCs w:val="3"/>
              </w:rPr>
            </w:pPr>
          </w:p>
        </w:tc>
        <w:tc>
          <w:tcPr>
            <w:tcW w:w="700" w:type="dxa"/>
            <w:tcBorders>
              <w:bottom w:val="single" w:sz="8" w:space="0" w:color="auto"/>
              <w:right w:val="single" w:sz="8" w:space="0" w:color="auto"/>
            </w:tcBorders>
            <w:vAlign w:val="bottom"/>
          </w:tcPr>
          <w:p w14:paraId="1076C330" w14:textId="77777777" w:rsidR="00992061" w:rsidRDefault="00992061">
            <w:pPr>
              <w:rPr>
                <w:sz w:val="3"/>
                <w:szCs w:val="3"/>
              </w:rPr>
            </w:pPr>
          </w:p>
        </w:tc>
        <w:tc>
          <w:tcPr>
            <w:tcW w:w="260" w:type="dxa"/>
            <w:tcBorders>
              <w:bottom w:val="single" w:sz="8" w:space="0" w:color="auto"/>
            </w:tcBorders>
            <w:vAlign w:val="bottom"/>
          </w:tcPr>
          <w:p w14:paraId="372AD491" w14:textId="77777777" w:rsidR="00992061" w:rsidRDefault="00992061">
            <w:pPr>
              <w:rPr>
                <w:sz w:val="3"/>
                <w:szCs w:val="3"/>
              </w:rPr>
            </w:pPr>
          </w:p>
        </w:tc>
        <w:tc>
          <w:tcPr>
            <w:tcW w:w="600" w:type="dxa"/>
            <w:tcBorders>
              <w:bottom w:val="single" w:sz="8" w:space="0" w:color="auto"/>
              <w:right w:val="single" w:sz="8" w:space="0" w:color="auto"/>
            </w:tcBorders>
            <w:vAlign w:val="bottom"/>
          </w:tcPr>
          <w:p w14:paraId="01298723" w14:textId="77777777" w:rsidR="00992061" w:rsidRDefault="00992061">
            <w:pPr>
              <w:rPr>
                <w:sz w:val="3"/>
                <w:szCs w:val="3"/>
              </w:rPr>
            </w:pPr>
          </w:p>
        </w:tc>
        <w:tc>
          <w:tcPr>
            <w:tcW w:w="1580" w:type="dxa"/>
            <w:tcBorders>
              <w:right w:val="single" w:sz="8" w:space="0" w:color="auto"/>
            </w:tcBorders>
            <w:vAlign w:val="bottom"/>
          </w:tcPr>
          <w:p w14:paraId="3131EFA1" w14:textId="77777777" w:rsidR="00992061" w:rsidRDefault="00992061">
            <w:pPr>
              <w:rPr>
                <w:sz w:val="3"/>
                <w:szCs w:val="3"/>
              </w:rPr>
            </w:pPr>
          </w:p>
        </w:tc>
        <w:tc>
          <w:tcPr>
            <w:tcW w:w="30" w:type="dxa"/>
            <w:vAlign w:val="bottom"/>
          </w:tcPr>
          <w:p w14:paraId="63C2C9E1" w14:textId="77777777" w:rsidR="00992061" w:rsidRDefault="00992061">
            <w:pPr>
              <w:rPr>
                <w:sz w:val="1"/>
                <w:szCs w:val="1"/>
              </w:rPr>
            </w:pPr>
          </w:p>
        </w:tc>
      </w:tr>
      <w:tr w:rsidR="00992061" w14:paraId="3E5FEF81" w14:textId="77777777" w:rsidTr="00BB0FDD">
        <w:trPr>
          <w:trHeight w:val="242"/>
        </w:trPr>
        <w:tc>
          <w:tcPr>
            <w:tcW w:w="3040" w:type="dxa"/>
            <w:tcBorders>
              <w:left w:val="single" w:sz="8" w:space="0" w:color="auto"/>
              <w:right w:val="single" w:sz="8" w:space="0" w:color="auto"/>
            </w:tcBorders>
            <w:vAlign w:val="bottom"/>
          </w:tcPr>
          <w:p w14:paraId="021CFCF9" w14:textId="77777777" w:rsidR="00992061" w:rsidRDefault="00D1402E">
            <w:pPr>
              <w:ind w:left="80"/>
              <w:rPr>
                <w:sz w:val="20"/>
                <w:szCs w:val="20"/>
              </w:rPr>
            </w:pPr>
            <w:r>
              <w:rPr>
                <w:rFonts w:eastAsia="Times New Roman"/>
                <w:b/>
                <w:bCs/>
                <w:sz w:val="20"/>
                <w:szCs w:val="20"/>
              </w:rPr>
              <w:t>Предпочитан термин по</w:t>
            </w:r>
          </w:p>
        </w:tc>
        <w:tc>
          <w:tcPr>
            <w:tcW w:w="840" w:type="dxa"/>
            <w:vAlign w:val="bottom"/>
          </w:tcPr>
          <w:p w14:paraId="2D218332" w14:textId="77777777" w:rsidR="00992061" w:rsidRDefault="00992061">
            <w:pPr>
              <w:rPr>
                <w:sz w:val="21"/>
                <w:szCs w:val="21"/>
              </w:rPr>
            </w:pPr>
          </w:p>
        </w:tc>
        <w:tc>
          <w:tcPr>
            <w:tcW w:w="140" w:type="dxa"/>
            <w:tcBorders>
              <w:right w:val="single" w:sz="8" w:space="0" w:color="auto"/>
            </w:tcBorders>
            <w:vAlign w:val="bottom"/>
          </w:tcPr>
          <w:p w14:paraId="79B2EB7B" w14:textId="77777777" w:rsidR="00992061" w:rsidRDefault="00992061">
            <w:pPr>
              <w:rPr>
                <w:sz w:val="21"/>
                <w:szCs w:val="21"/>
              </w:rPr>
            </w:pPr>
          </w:p>
        </w:tc>
        <w:tc>
          <w:tcPr>
            <w:tcW w:w="620" w:type="dxa"/>
            <w:tcBorders>
              <w:right w:val="single" w:sz="8" w:space="0" w:color="auto"/>
            </w:tcBorders>
            <w:vAlign w:val="bottom"/>
          </w:tcPr>
          <w:p w14:paraId="6000C81D" w14:textId="77777777" w:rsidR="00992061" w:rsidRDefault="00992061">
            <w:pPr>
              <w:rPr>
                <w:sz w:val="21"/>
                <w:szCs w:val="21"/>
              </w:rPr>
            </w:pPr>
          </w:p>
        </w:tc>
        <w:tc>
          <w:tcPr>
            <w:tcW w:w="860" w:type="dxa"/>
            <w:tcBorders>
              <w:right w:val="single" w:sz="8" w:space="0" w:color="auto"/>
            </w:tcBorders>
            <w:vAlign w:val="bottom"/>
          </w:tcPr>
          <w:p w14:paraId="1909F93F" w14:textId="77777777" w:rsidR="00992061" w:rsidRDefault="00992061">
            <w:pPr>
              <w:rPr>
                <w:sz w:val="21"/>
                <w:szCs w:val="21"/>
              </w:rPr>
            </w:pPr>
          </w:p>
        </w:tc>
        <w:tc>
          <w:tcPr>
            <w:tcW w:w="900" w:type="dxa"/>
            <w:vAlign w:val="bottom"/>
          </w:tcPr>
          <w:p w14:paraId="2EABB144" w14:textId="77777777" w:rsidR="00992061" w:rsidRDefault="00992061">
            <w:pPr>
              <w:rPr>
                <w:sz w:val="21"/>
                <w:szCs w:val="21"/>
              </w:rPr>
            </w:pPr>
          </w:p>
        </w:tc>
        <w:tc>
          <w:tcPr>
            <w:tcW w:w="140" w:type="dxa"/>
            <w:tcBorders>
              <w:right w:val="single" w:sz="8" w:space="0" w:color="auto"/>
            </w:tcBorders>
            <w:vAlign w:val="bottom"/>
          </w:tcPr>
          <w:p w14:paraId="0BBC4D35" w14:textId="77777777" w:rsidR="00992061" w:rsidRDefault="00992061">
            <w:pPr>
              <w:rPr>
                <w:sz w:val="21"/>
                <w:szCs w:val="21"/>
              </w:rPr>
            </w:pPr>
          </w:p>
        </w:tc>
        <w:tc>
          <w:tcPr>
            <w:tcW w:w="700" w:type="dxa"/>
            <w:tcBorders>
              <w:right w:val="single" w:sz="8" w:space="0" w:color="auto"/>
            </w:tcBorders>
            <w:vAlign w:val="bottom"/>
          </w:tcPr>
          <w:p w14:paraId="51EA9304" w14:textId="77777777" w:rsidR="00992061" w:rsidRDefault="00992061">
            <w:pPr>
              <w:rPr>
                <w:sz w:val="21"/>
                <w:szCs w:val="21"/>
              </w:rPr>
            </w:pPr>
          </w:p>
        </w:tc>
        <w:tc>
          <w:tcPr>
            <w:tcW w:w="260" w:type="dxa"/>
            <w:vAlign w:val="bottom"/>
          </w:tcPr>
          <w:p w14:paraId="2F16D31A" w14:textId="77777777" w:rsidR="00992061" w:rsidRDefault="00992061">
            <w:pPr>
              <w:rPr>
                <w:sz w:val="21"/>
                <w:szCs w:val="21"/>
              </w:rPr>
            </w:pPr>
          </w:p>
        </w:tc>
        <w:tc>
          <w:tcPr>
            <w:tcW w:w="600" w:type="dxa"/>
            <w:tcBorders>
              <w:right w:val="single" w:sz="8" w:space="0" w:color="auto"/>
            </w:tcBorders>
            <w:vAlign w:val="bottom"/>
          </w:tcPr>
          <w:p w14:paraId="19AD4D56" w14:textId="77777777" w:rsidR="00992061" w:rsidRDefault="00992061">
            <w:pPr>
              <w:rPr>
                <w:sz w:val="21"/>
                <w:szCs w:val="21"/>
              </w:rPr>
            </w:pPr>
          </w:p>
        </w:tc>
        <w:tc>
          <w:tcPr>
            <w:tcW w:w="1580" w:type="dxa"/>
            <w:tcBorders>
              <w:right w:val="single" w:sz="8" w:space="0" w:color="auto"/>
            </w:tcBorders>
            <w:vAlign w:val="bottom"/>
          </w:tcPr>
          <w:p w14:paraId="287C9B42" w14:textId="77777777" w:rsidR="00992061" w:rsidRDefault="00992061">
            <w:pPr>
              <w:rPr>
                <w:sz w:val="21"/>
                <w:szCs w:val="21"/>
              </w:rPr>
            </w:pPr>
          </w:p>
        </w:tc>
        <w:tc>
          <w:tcPr>
            <w:tcW w:w="30" w:type="dxa"/>
            <w:vAlign w:val="bottom"/>
          </w:tcPr>
          <w:p w14:paraId="4F5D0399" w14:textId="77777777" w:rsidR="00992061" w:rsidRDefault="00992061">
            <w:pPr>
              <w:rPr>
                <w:sz w:val="1"/>
                <w:szCs w:val="1"/>
              </w:rPr>
            </w:pPr>
          </w:p>
        </w:tc>
      </w:tr>
      <w:tr w:rsidR="00992061" w14:paraId="3DF915FB" w14:textId="77777777" w:rsidTr="00BB0FDD">
        <w:trPr>
          <w:trHeight w:val="284"/>
        </w:trPr>
        <w:tc>
          <w:tcPr>
            <w:tcW w:w="3040" w:type="dxa"/>
            <w:tcBorders>
              <w:left w:val="single" w:sz="8" w:space="0" w:color="auto"/>
              <w:right w:val="single" w:sz="8" w:space="0" w:color="auto"/>
            </w:tcBorders>
            <w:vAlign w:val="bottom"/>
          </w:tcPr>
          <w:p w14:paraId="0174096D" w14:textId="77777777" w:rsidR="00992061" w:rsidRDefault="00D1402E">
            <w:pPr>
              <w:ind w:left="80"/>
              <w:rPr>
                <w:sz w:val="20"/>
                <w:szCs w:val="20"/>
              </w:rPr>
            </w:pPr>
            <w:r>
              <w:rPr>
                <w:rFonts w:eastAsia="Times New Roman"/>
                <w:b/>
                <w:bCs/>
                <w:sz w:val="20"/>
                <w:szCs w:val="20"/>
              </w:rPr>
              <w:t>MedDRA</w:t>
            </w:r>
          </w:p>
        </w:tc>
        <w:tc>
          <w:tcPr>
            <w:tcW w:w="840" w:type="dxa"/>
            <w:vAlign w:val="bottom"/>
          </w:tcPr>
          <w:p w14:paraId="5B9A3ABE" w14:textId="77777777" w:rsidR="00992061" w:rsidRDefault="00D1402E">
            <w:pPr>
              <w:jc w:val="center"/>
              <w:rPr>
                <w:sz w:val="20"/>
                <w:szCs w:val="20"/>
              </w:rPr>
            </w:pPr>
            <w:r>
              <w:rPr>
                <w:rFonts w:eastAsia="Times New Roman"/>
                <w:b/>
                <w:bCs/>
                <w:w w:val="99"/>
                <w:sz w:val="20"/>
                <w:szCs w:val="20"/>
              </w:rPr>
              <w:t>%</w:t>
            </w:r>
          </w:p>
        </w:tc>
        <w:tc>
          <w:tcPr>
            <w:tcW w:w="140" w:type="dxa"/>
            <w:tcBorders>
              <w:right w:val="single" w:sz="8" w:space="0" w:color="auto"/>
            </w:tcBorders>
            <w:vAlign w:val="bottom"/>
          </w:tcPr>
          <w:p w14:paraId="46CC61F1" w14:textId="77777777" w:rsidR="00992061" w:rsidRDefault="00992061">
            <w:pPr>
              <w:rPr>
                <w:sz w:val="24"/>
                <w:szCs w:val="24"/>
              </w:rPr>
            </w:pPr>
          </w:p>
        </w:tc>
        <w:tc>
          <w:tcPr>
            <w:tcW w:w="620" w:type="dxa"/>
            <w:tcBorders>
              <w:right w:val="single" w:sz="8" w:space="0" w:color="auto"/>
            </w:tcBorders>
            <w:vAlign w:val="bottom"/>
          </w:tcPr>
          <w:p w14:paraId="29D63477" w14:textId="77777777" w:rsidR="00992061" w:rsidRDefault="00D1402E">
            <w:pPr>
              <w:jc w:val="center"/>
              <w:rPr>
                <w:sz w:val="20"/>
                <w:szCs w:val="20"/>
              </w:rPr>
            </w:pPr>
            <w:r>
              <w:rPr>
                <w:rFonts w:eastAsia="Times New Roman"/>
                <w:b/>
                <w:bCs/>
                <w:w w:val="99"/>
                <w:sz w:val="20"/>
                <w:szCs w:val="20"/>
              </w:rPr>
              <w:t>%</w:t>
            </w:r>
          </w:p>
        </w:tc>
        <w:tc>
          <w:tcPr>
            <w:tcW w:w="860" w:type="dxa"/>
            <w:tcBorders>
              <w:right w:val="single" w:sz="8" w:space="0" w:color="auto"/>
            </w:tcBorders>
            <w:vAlign w:val="bottom"/>
          </w:tcPr>
          <w:p w14:paraId="19A791E0" w14:textId="77777777" w:rsidR="00992061" w:rsidRDefault="00D1402E">
            <w:pPr>
              <w:jc w:val="center"/>
              <w:rPr>
                <w:sz w:val="20"/>
                <w:szCs w:val="20"/>
              </w:rPr>
            </w:pPr>
            <w:r>
              <w:rPr>
                <w:rFonts w:eastAsia="Times New Roman"/>
                <w:b/>
                <w:bCs/>
                <w:w w:val="99"/>
                <w:sz w:val="20"/>
                <w:szCs w:val="20"/>
              </w:rPr>
              <w:t>%</w:t>
            </w:r>
          </w:p>
        </w:tc>
        <w:tc>
          <w:tcPr>
            <w:tcW w:w="900" w:type="dxa"/>
            <w:vAlign w:val="bottom"/>
          </w:tcPr>
          <w:p w14:paraId="4C93ED48" w14:textId="77777777" w:rsidR="00992061" w:rsidRDefault="00D1402E">
            <w:pPr>
              <w:jc w:val="center"/>
              <w:rPr>
                <w:sz w:val="20"/>
                <w:szCs w:val="20"/>
              </w:rPr>
            </w:pPr>
            <w:r>
              <w:rPr>
                <w:rFonts w:eastAsia="Times New Roman"/>
                <w:b/>
                <w:bCs/>
                <w:w w:val="99"/>
                <w:sz w:val="20"/>
                <w:szCs w:val="20"/>
              </w:rPr>
              <w:t>%</w:t>
            </w:r>
          </w:p>
        </w:tc>
        <w:tc>
          <w:tcPr>
            <w:tcW w:w="140" w:type="dxa"/>
            <w:tcBorders>
              <w:right w:val="single" w:sz="8" w:space="0" w:color="auto"/>
            </w:tcBorders>
            <w:vAlign w:val="bottom"/>
          </w:tcPr>
          <w:p w14:paraId="6202B1C1" w14:textId="77777777" w:rsidR="00992061" w:rsidRDefault="00992061">
            <w:pPr>
              <w:rPr>
                <w:sz w:val="24"/>
                <w:szCs w:val="24"/>
              </w:rPr>
            </w:pPr>
          </w:p>
        </w:tc>
        <w:tc>
          <w:tcPr>
            <w:tcW w:w="700" w:type="dxa"/>
            <w:tcBorders>
              <w:right w:val="single" w:sz="8" w:space="0" w:color="auto"/>
            </w:tcBorders>
            <w:vAlign w:val="bottom"/>
          </w:tcPr>
          <w:p w14:paraId="1C6A27B6" w14:textId="77777777" w:rsidR="00992061" w:rsidRDefault="00D1402E">
            <w:pPr>
              <w:jc w:val="center"/>
              <w:rPr>
                <w:sz w:val="20"/>
                <w:szCs w:val="20"/>
              </w:rPr>
            </w:pPr>
            <w:r>
              <w:rPr>
                <w:rFonts w:eastAsia="Times New Roman"/>
                <w:b/>
                <w:bCs/>
                <w:w w:val="99"/>
                <w:sz w:val="20"/>
                <w:szCs w:val="20"/>
              </w:rPr>
              <w:t>%</w:t>
            </w:r>
          </w:p>
        </w:tc>
        <w:tc>
          <w:tcPr>
            <w:tcW w:w="260" w:type="dxa"/>
            <w:vAlign w:val="bottom"/>
          </w:tcPr>
          <w:p w14:paraId="2F82287E" w14:textId="77777777" w:rsidR="00992061" w:rsidRDefault="00992061">
            <w:pPr>
              <w:rPr>
                <w:sz w:val="24"/>
                <w:szCs w:val="24"/>
              </w:rPr>
            </w:pPr>
          </w:p>
        </w:tc>
        <w:tc>
          <w:tcPr>
            <w:tcW w:w="600" w:type="dxa"/>
            <w:tcBorders>
              <w:right w:val="single" w:sz="8" w:space="0" w:color="auto"/>
            </w:tcBorders>
            <w:vAlign w:val="bottom"/>
          </w:tcPr>
          <w:p w14:paraId="2F58262B" w14:textId="77777777" w:rsidR="00992061" w:rsidRDefault="00D1402E">
            <w:pPr>
              <w:ind w:right="179"/>
              <w:jc w:val="center"/>
              <w:rPr>
                <w:sz w:val="20"/>
                <w:szCs w:val="20"/>
              </w:rPr>
            </w:pPr>
            <w:r>
              <w:rPr>
                <w:rFonts w:eastAsia="Times New Roman"/>
                <w:b/>
                <w:bCs/>
                <w:w w:val="99"/>
                <w:sz w:val="20"/>
                <w:szCs w:val="20"/>
              </w:rPr>
              <w:t>%</w:t>
            </w:r>
          </w:p>
        </w:tc>
        <w:tc>
          <w:tcPr>
            <w:tcW w:w="1580" w:type="dxa"/>
            <w:tcBorders>
              <w:right w:val="single" w:sz="8" w:space="0" w:color="auto"/>
            </w:tcBorders>
            <w:vAlign w:val="bottom"/>
          </w:tcPr>
          <w:p w14:paraId="63BD0288" w14:textId="77777777" w:rsidR="00992061" w:rsidRDefault="00992061">
            <w:pPr>
              <w:rPr>
                <w:sz w:val="24"/>
                <w:szCs w:val="24"/>
              </w:rPr>
            </w:pPr>
          </w:p>
        </w:tc>
        <w:tc>
          <w:tcPr>
            <w:tcW w:w="30" w:type="dxa"/>
            <w:vAlign w:val="bottom"/>
          </w:tcPr>
          <w:p w14:paraId="6516FD1C" w14:textId="77777777" w:rsidR="00992061" w:rsidRDefault="00992061">
            <w:pPr>
              <w:rPr>
                <w:sz w:val="1"/>
                <w:szCs w:val="1"/>
              </w:rPr>
            </w:pPr>
          </w:p>
        </w:tc>
      </w:tr>
      <w:tr w:rsidR="00992061" w14:paraId="5A591E7B" w14:textId="77777777" w:rsidTr="00BB0FDD">
        <w:trPr>
          <w:trHeight w:val="40"/>
        </w:trPr>
        <w:tc>
          <w:tcPr>
            <w:tcW w:w="3040" w:type="dxa"/>
            <w:tcBorders>
              <w:left w:val="single" w:sz="8" w:space="0" w:color="auto"/>
              <w:bottom w:val="single" w:sz="8" w:space="0" w:color="auto"/>
              <w:right w:val="single" w:sz="8" w:space="0" w:color="auto"/>
            </w:tcBorders>
            <w:vAlign w:val="bottom"/>
          </w:tcPr>
          <w:p w14:paraId="17CD0CDC" w14:textId="77777777" w:rsidR="00992061" w:rsidRDefault="00992061">
            <w:pPr>
              <w:rPr>
                <w:sz w:val="3"/>
                <w:szCs w:val="3"/>
              </w:rPr>
            </w:pPr>
          </w:p>
        </w:tc>
        <w:tc>
          <w:tcPr>
            <w:tcW w:w="840" w:type="dxa"/>
            <w:tcBorders>
              <w:bottom w:val="single" w:sz="8" w:space="0" w:color="auto"/>
            </w:tcBorders>
            <w:vAlign w:val="bottom"/>
          </w:tcPr>
          <w:p w14:paraId="3073231F" w14:textId="77777777" w:rsidR="00992061" w:rsidRDefault="00992061">
            <w:pPr>
              <w:rPr>
                <w:sz w:val="3"/>
                <w:szCs w:val="3"/>
              </w:rPr>
            </w:pPr>
          </w:p>
        </w:tc>
        <w:tc>
          <w:tcPr>
            <w:tcW w:w="140" w:type="dxa"/>
            <w:tcBorders>
              <w:bottom w:val="single" w:sz="8" w:space="0" w:color="auto"/>
              <w:right w:val="single" w:sz="8" w:space="0" w:color="auto"/>
            </w:tcBorders>
            <w:vAlign w:val="bottom"/>
          </w:tcPr>
          <w:p w14:paraId="4C1735E0" w14:textId="77777777" w:rsidR="00992061" w:rsidRDefault="00992061">
            <w:pPr>
              <w:rPr>
                <w:sz w:val="3"/>
                <w:szCs w:val="3"/>
              </w:rPr>
            </w:pPr>
          </w:p>
        </w:tc>
        <w:tc>
          <w:tcPr>
            <w:tcW w:w="620" w:type="dxa"/>
            <w:tcBorders>
              <w:bottom w:val="single" w:sz="8" w:space="0" w:color="auto"/>
              <w:right w:val="single" w:sz="8" w:space="0" w:color="auto"/>
            </w:tcBorders>
            <w:vAlign w:val="bottom"/>
          </w:tcPr>
          <w:p w14:paraId="317AB582" w14:textId="77777777" w:rsidR="00992061" w:rsidRDefault="00992061">
            <w:pPr>
              <w:rPr>
                <w:sz w:val="3"/>
                <w:szCs w:val="3"/>
              </w:rPr>
            </w:pPr>
          </w:p>
        </w:tc>
        <w:tc>
          <w:tcPr>
            <w:tcW w:w="860" w:type="dxa"/>
            <w:tcBorders>
              <w:bottom w:val="single" w:sz="8" w:space="0" w:color="auto"/>
              <w:right w:val="single" w:sz="8" w:space="0" w:color="auto"/>
            </w:tcBorders>
            <w:vAlign w:val="bottom"/>
          </w:tcPr>
          <w:p w14:paraId="4B91FB9E" w14:textId="77777777" w:rsidR="00992061" w:rsidRDefault="00992061">
            <w:pPr>
              <w:rPr>
                <w:sz w:val="3"/>
                <w:szCs w:val="3"/>
              </w:rPr>
            </w:pPr>
          </w:p>
        </w:tc>
        <w:tc>
          <w:tcPr>
            <w:tcW w:w="900" w:type="dxa"/>
            <w:tcBorders>
              <w:bottom w:val="single" w:sz="8" w:space="0" w:color="auto"/>
            </w:tcBorders>
            <w:vAlign w:val="bottom"/>
          </w:tcPr>
          <w:p w14:paraId="3A6EA980" w14:textId="77777777" w:rsidR="00992061" w:rsidRDefault="00992061">
            <w:pPr>
              <w:rPr>
                <w:sz w:val="3"/>
                <w:szCs w:val="3"/>
              </w:rPr>
            </w:pPr>
          </w:p>
        </w:tc>
        <w:tc>
          <w:tcPr>
            <w:tcW w:w="140" w:type="dxa"/>
            <w:tcBorders>
              <w:bottom w:val="single" w:sz="8" w:space="0" w:color="auto"/>
              <w:right w:val="single" w:sz="8" w:space="0" w:color="auto"/>
            </w:tcBorders>
            <w:vAlign w:val="bottom"/>
          </w:tcPr>
          <w:p w14:paraId="426969D1" w14:textId="77777777" w:rsidR="00992061" w:rsidRDefault="00992061">
            <w:pPr>
              <w:rPr>
                <w:sz w:val="3"/>
                <w:szCs w:val="3"/>
              </w:rPr>
            </w:pPr>
          </w:p>
        </w:tc>
        <w:tc>
          <w:tcPr>
            <w:tcW w:w="700" w:type="dxa"/>
            <w:tcBorders>
              <w:bottom w:val="single" w:sz="8" w:space="0" w:color="auto"/>
              <w:right w:val="single" w:sz="8" w:space="0" w:color="auto"/>
            </w:tcBorders>
            <w:vAlign w:val="bottom"/>
          </w:tcPr>
          <w:p w14:paraId="610D5A5B" w14:textId="77777777" w:rsidR="00992061" w:rsidRDefault="00992061">
            <w:pPr>
              <w:rPr>
                <w:sz w:val="3"/>
                <w:szCs w:val="3"/>
              </w:rPr>
            </w:pPr>
          </w:p>
        </w:tc>
        <w:tc>
          <w:tcPr>
            <w:tcW w:w="260" w:type="dxa"/>
            <w:tcBorders>
              <w:bottom w:val="single" w:sz="8" w:space="0" w:color="auto"/>
            </w:tcBorders>
            <w:vAlign w:val="bottom"/>
          </w:tcPr>
          <w:p w14:paraId="58503052" w14:textId="77777777" w:rsidR="00992061" w:rsidRDefault="00992061">
            <w:pPr>
              <w:rPr>
                <w:sz w:val="3"/>
                <w:szCs w:val="3"/>
              </w:rPr>
            </w:pPr>
          </w:p>
        </w:tc>
        <w:tc>
          <w:tcPr>
            <w:tcW w:w="600" w:type="dxa"/>
            <w:tcBorders>
              <w:bottom w:val="single" w:sz="8" w:space="0" w:color="auto"/>
              <w:right w:val="single" w:sz="8" w:space="0" w:color="auto"/>
            </w:tcBorders>
            <w:vAlign w:val="bottom"/>
          </w:tcPr>
          <w:p w14:paraId="175A9CC6" w14:textId="77777777" w:rsidR="00992061" w:rsidRDefault="00992061">
            <w:pPr>
              <w:rPr>
                <w:sz w:val="3"/>
                <w:szCs w:val="3"/>
              </w:rPr>
            </w:pPr>
          </w:p>
        </w:tc>
        <w:tc>
          <w:tcPr>
            <w:tcW w:w="1580" w:type="dxa"/>
            <w:tcBorders>
              <w:bottom w:val="single" w:sz="8" w:space="0" w:color="auto"/>
              <w:right w:val="single" w:sz="8" w:space="0" w:color="auto"/>
            </w:tcBorders>
            <w:vAlign w:val="bottom"/>
          </w:tcPr>
          <w:p w14:paraId="0A3D0963" w14:textId="77777777" w:rsidR="00992061" w:rsidRDefault="00992061">
            <w:pPr>
              <w:rPr>
                <w:sz w:val="3"/>
                <w:szCs w:val="3"/>
              </w:rPr>
            </w:pPr>
          </w:p>
        </w:tc>
        <w:tc>
          <w:tcPr>
            <w:tcW w:w="30" w:type="dxa"/>
            <w:vAlign w:val="bottom"/>
          </w:tcPr>
          <w:p w14:paraId="629DC9F1" w14:textId="77777777" w:rsidR="00992061" w:rsidRDefault="00992061">
            <w:pPr>
              <w:rPr>
                <w:sz w:val="1"/>
                <w:szCs w:val="1"/>
              </w:rPr>
            </w:pPr>
          </w:p>
        </w:tc>
      </w:tr>
      <w:tr w:rsidR="00992061" w14:paraId="0CA9B072" w14:textId="77777777" w:rsidTr="00BB0FDD">
        <w:trPr>
          <w:trHeight w:val="285"/>
        </w:trPr>
        <w:tc>
          <w:tcPr>
            <w:tcW w:w="3040" w:type="dxa"/>
            <w:tcBorders>
              <w:left w:val="single" w:sz="8" w:space="0" w:color="auto"/>
              <w:right w:val="single" w:sz="8" w:space="0" w:color="auto"/>
            </w:tcBorders>
            <w:vAlign w:val="bottom"/>
          </w:tcPr>
          <w:p w14:paraId="27F33F29" w14:textId="77777777" w:rsidR="00992061" w:rsidRDefault="00D1402E">
            <w:pPr>
              <w:ind w:left="80"/>
              <w:rPr>
                <w:sz w:val="20"/>
                <w:szCs w:val="20"/>
              </w:rPr>
            </w:pPr>
            <w:r>
              <w:rPr>
                <w:rFonts w:eastAsia="Times New Roman"/>
                <w:i/>
                <w:iCs/>
                <w:sz w:val="20"/>
                <w:szCs w:val="20"/>
              </w:rPr>
              <w:t>Инфекции и инфестации</w:t>
            </w:r>
          </w:p>
        </w:tc>
        <w:tc>
          <w:tcPr>
            <w:tcW w:w="840" w:type="dxa"/>
            <w:vAlign w:val="bottom"/>
          </w:tcPr>
          <w:p w14:paraId="39CABFA4" w14:textId="77777777" w:rsidR="00992061" w:rsidRDefault="00992061">
            <w:pPr>
              <w:rPr>
                <w:sz w:val="24"/>
                <w:szCs w:val="24"/>
              </w:rPr>
            </w:pPr>
          </w:p>
        </w:tc>
        <w:tc>
          <w:tcPr>
            <w:tcW w:w="140" w:type="dxa"/>
            <w:tcBorders>
              <w:right w:val="single" w:sz="8" w:space="0" w:color="auto"/>
            </w:tcBorders>
            <w:vAlign w:val="bottom"/>
          </w:tcPr>
          <w:p w14:paraId="3226D5D0" w14:textId="77777777" w:rsidR="00992061" w:rsidRDefault="00992061">
            <w:pPr>
              <w:rPr>
                <w:sz w:val="24"/>
                <w:szCs w:val="24"/>
              </w:rPr>
            </w:pPr>
          </w:p>
        </w:tc>
        <w:tc>
          <w:tcPr>
            <w:tcW w:w="620" w:type="dxa"/>
            <w:tcBorders>
              <w:right w:val="single" w:sz="8" w:space="0" w:color="auto"/>
            </w:tcBorders>
            <w:vAlign w:val="bottom"/>
          </w:tcPr>
          <w:p w14:paraId="16E5613C" w14:textId="77777777" w:rsidR="00992061" w:rsidRDefault="00992061">
            <w:pPr>
              <w:rPr>
                <w:sz w:val="24"/>
                <w:szCs w:val="24"/>
              </w:rPr>
            </w:pPr>
          </w:p>
        </w:tc>
        <w:tc>
          <w:tcPr>
            <w:tcW w:w="860" w:type="dxa"/>
            <w:tcBorders>
              <w:right w:val="single" w:sz="8" w:space="0" w:color="auto"/>
            </w:tcBorders>
            <w:vAlign w:val="bottom"/>
          </w:tcPr>
          <w:p w14:paraId="78CFF803" w14:textId="77777777" w:rsidR="00992061" w:rsidRDefault="00992061">
            <w:pPr>
              <w:rPr>
                <w:sz w:val="24"/>
                <w:szCs w:val="24"/>
              </w:rPr>
            </w:pPr>
          </w:p>
        </w:tc>
        <w:tc>
          <w:tcPr>
            <w:tcW w:w="900" w:type="dxa"/>
            <w:vAlign w:val="bottom"/>
          </w:tcPr>
          <w:p w14:paraId="5D6A744A" w14:textId="77777777" w:rsidR="00992061" w:rsidRDefault="00992061">
            <w:pPr>
              <w:rPr>
                <w:sz w:val="24"/>
                <w:szCs w:val="24"/>
              </w:rPr>
            </w:pPr>
          </w:p>
        </w:tc>
        <w:tc>
          <w:tcPr>
            <w:tcW w:w="140" w:type="dxa"/>
            <w:tcBorders>
              <w:right w:val="single" w:sz="8" w:space="0" w:color="auto"/>
            </w:tcBorders>
            <w:vAlign w:val="bottom"/>
          </w:tcPr>
          <w:p w14:paraId="57FC159F" w14:textId="77777777" w:rsidR="00992061" w:rsidRDefault="00992061">
            <w:pPr>
              <w:rPr>
                <w:sz w:val="24"/>
                <w:szCs w:val="24"/>
              </w:rPr>
            </w:pPr>
          </w:p>
        </w:tc>
        <w:tc>
          <w:tcPr>
            <w:tcW w:w="700" w:type="dxa"/>
            <w:tcBorders>
              <w:right w:val="single" w:sz="8" w:space="0" w:color="auto"/>
            </w:tcBorders>
            <w:vAlign w:val="bottom"/>
          </w:tcPr>
          <w:p w14:paraId="7CD64D53" w14:textId="77777777" w:rsidR="00992061" w:rsidRDefault="00992061">
            <w:pPr>
              <w:rPr>
                <w:sz w:val="24"/>
                <w:szCs w:val="24"/>
              </w:rPr>
            </w:pPr>
          </w:p>
        </w:tc>
        <w:tc>
          <w:tcPr>
            <w:tcW w:w="260" w:type="dxa"/>
            <w:vAlign w:val="bottom"/>
          </w:tcPr>
          <w:p w14:paraId="44615DD1" w14:textId="77777777" w:rsidR="00992061" w:rsidRDefault="00992061">
            <w:pPr>
              <w:rPr>
                <w:sz w:val="24"/>
                <w:szCs w:val="24"/>
              </w:rPr>
            </w:pPr>
          </w:p>
        </w:tc>
        <w:tc>
          <w:tcPr>
            <w:tcW w:w="600" w:type="dxa"/>
            <w:tcBorders>
              <w:right w:val="single" w:sz="8" w:space="0" w:color="auto"/>
            </w:tcBorders>
            <w:vAlign w:val="bottom"/>
          </w:tcPr>
          <w:p w14:paraId="6658EDB8" w14:textId="77777777" w:rsidR="00992061" w:rsidRDefault="00992061">
            <w:pPr>
              <w:rPr>
                <w:sz w:val="24"/>
                <w:szCs w:val="24"/>
              </w:rPr>
            </w:pPr>
          </w:p>
        </w:tc>
        <w:tc>
          <w:tcPr>
            <w:tcW w:w="1580" w:type="dxa"/>
            <w:tcBorders>
              <w:right w:val="single" w:sz="8" w:space="0" w:color="auto"/>
            </w:tcBorders>
            <w:vAlign w:val="bottom"/>
          </w:tcPr>
          <w:p w14:paraId="7CA4A107" w14:textId="77777777" w:rsidR="00992061" w:rsidRDefault="00992061">
            <w:pPr>
              <w:rPr>
                <w:sz w:val="24"/>
                <w:szCs w:val="24"/>
              </w:rPr>
            </w:pPr>
          </w:p>
        </w:tc>
        <w:tc>
          <w:tcPr>
            <w:tcW w:w="30" w:type="dxa"/>
            <w:vAlign w:val="bottom"/>
          </w:tcPr>
          <w:p w14:paraId="52C28D0B" w14:textId="77777777" w:rsidR="00992061" w:rsidRDefault="00992061">
            <w:pPr>
              <w:rPr>
                <w:sz w:val="1"/>
                <w:szCs w:val="1"/>
              </w:rPr>
            </w:pPr>
          </w:p>
        </w:tc>
      </w:tr>
      <w:tr w:rsidR="00992061" w14:paraId="459385F8" w14:textId="77777777" w:rsidTr="00BB0FDD">
        <w:trPr>
          <w:trHeight w:val="288"/>
        </w:trPr>
        <w:tc>
          <w:tcPr>
            <w:tcW w:w="3040" w:type="dxa"/>
            <w:tcBorders>
              <w:left w:val="single" w:sz="8" w:space="0" w:color="auto"/>
              <w:right w:val="single" w:sz="8" w:space="0" w:color="auto"/>
            </w:tcBorders>
            <w:vAlign w:val="bottom"/>
          </w:tcPr>
          <w:p w14:paraId="64E2C9E6" w14:textId="77777777" w:rsidR="00992061" w:rsidRDefault="00D1402E">
            <w:pPr>
              <w:ind w:left="280"/>
              <w:rPr>
                <w:sz w:val="20"/>
                <w:szCs w:val="20"/>
              </w:rPr>
            </w:pPr>
            <w:r>
              <w:rPr>
                <w:rFonts w:eastAsia="Times New Roman"/>
                <w:sz w:val="20"/>
                <w:szCs w:val="20"/>
              </w:rPr>
              <w:t>Инфекция*</w:t>
            </w:r>
          </w:p>
        </w:tc>
        <w:tc>
          <w:tcPr>
            <w:tcW w:w="840" w:type="dxa"/>
            <w:vAlign w:val="bottom"/>
          </w:tcPr>
          <w:p w14:paraId="6B685724" w14:textId="77777777" w:rsidR="00992061" w:rsidRDefault="00D1402E">
            <w:pPr>
              <w:jc w:val="center"/>
              <w:rPr>
                <w:sz w:val="20"/>
                <w:szCs w:val="20"/>
              </w:rPr>
            </w:pPr>
            <w:r>
              <w:rPr>
                <w:rFonts w:eastAsia="Times New Roman"/>
                <w:w w:val="99"/>
                <w:sz w:val="20"/>
                <w:szCs w:val="20"/>
              </w:rPr>
              <w:t>24</w:t>
            </w:r>
          </w:p>
        </w:tc>
        <w:tc>
          <w:tcPr>
            <w:tcW w:w="140" w:type="dxa"/>
            <w:tcBorders>
              <w:right w:val="single" w:sz="8" w:space="0" w:color="auto"/>
            </w:tcBorders>
            <w:vAlign w:val="bottom"/>
          </w:tcPr>
          <w:p w14:paraId="1CE3F113" w14:textId="77777777" w:rsidR="00992061" w:rsidRDefault="00992061">
            <w:pPr>
              <w:rPr>
                <w:sz w:val="24"/>
                <w:szCs w:val="24"/>
              </w:rPr>
            </w:pPr>
          </w:p>
        </w:tc>
        <w:tc>
          <w:tcPr>
            <w:tcW w:w="620" w:type="dxa"/>
            <w:tcBorders>
              <w:right w:val="single" w:sz="8" w:space="0" w:color="auto"/>
            </w:tcBorders>
            <w:vAlign w:val="bottom"/>
          </w:tcPr>
          <w:p w14:paraId="6FA41614" w14:textId="77777777" w:rsidR="00992061" w:rsidRDefault="00D1402E">
            <w:pPr>
              <w:jc w:val="center"/>
              <w:rPr>
                <w:sz w:val="20"/>
                <w:szCs w:val="20"/>
              </w:rPr>
            </w:pPr>
            <w:r>
              <w:rPr>
                <w:rFonts w:eastAsia="Times New Roman"/>
                <w:w w:val="99"/>
                <w:sz w:val="20"/>
                <w:szCs w:val="20"/>
              </w:rPr>
              <w:t>4</w:t>
            </w:r>
          </w:p>
        </w:tc>
        <w:tc>
          <w:tcPr>
            <w:tcW w:w="860" w:type="dxa"/>
            <w:tcBorders>
              <w:right w:val="single" w:sz="8" w:space="0" w:color="auto"/>
            </w:tcBorders>
            <w:vAlign w:val="bottom"/>
          </w:tcPr>
          <w:p w14:paraId="04EFF59B" w14:textId="77777777" w:rsidR="00992061" w:rsidRDefault="00D1402E">
            <w:pPr>
              <w:jc w:val="center"/>
              <w:rPr>
                <w:sz w:val="20"/>
                <w:szCs w:val="20"/>
              </w:rPr>
            </w:pPr>
            <w:r>
              <w:rPr>
                <w:rFonts w:eastAsia="Times New Roman"/>
                <w:w w:val="99"/>
                <w:sz w:val="20"/>
                <w:szCs w:val="20"/>
              </w:rPr>
              <w:t>0</w:t>
            </w:r>
          </w:p>
        </w:tc>
        <w:tc>
          <w:tcPr>
            <w:tcW w:w="900" w:type="dxa"/>
            <w:vAlign w:val="bottom"/>
          </w:tcPr>
          <w:p w14:paraId="04ADE400" w14:textId="77777777" w:rsidR="00992061" w:rsidRDefault="00D1402E">
            <w:pPr>
              <w:jc w:val="center"/>
              <w:rPr>
                <w:sz w:val="20"/>
                <w:szCs w:val="20"/>
              </w:rPr>
            </w:pPr>
            <w:r>
              <w:rPr>
                <w:rFonts w:eastAsia="Times New Roman"/>
                <w:w w:val="99"/>
                <w:sz w:val="20"/>
                <w:szCs w:val="20"/>
              </w:rPr>
              <w:t>31</w:t>
            </w:r>
          </w:p>
        </w:tc>
        <w:tc>
          <w:tcPr>
            <w:tcW w:w="140" w:type="dxa"/>
            <w:tcBorders>
              <w:right w:val="single" w:sz="8" w:space="0" w:color="auto"/>
            </w:tcBorders>
            <w:vAlign w:val="bottom"/>
          </w:tcPr>
          <w:p w14:paraId="1E107951" w14:textId="77777777" w:rsidR="00992061" w:rsidRDefault="00992061">
            <w:pPr>
              <w:rPr>
                <w:sz w:val="24"/>
                <w:szCs w:val="24"/>
              </w:rPr>
            </w:pPr>
          </w:p>
        </w:tc>
        <w:tc>
          <w:tcPr>
            <w:tcW w:w="700" w:type="dxa"/>
            <w:tcBorders>
              <w:right w:val="single" w:sz="8" w:space="0" w:color="auto"/>
            </w:tcBorders>
            <w:vAlign w:val="bottom"/>
          </w:tcPr>
          <w:p w14:paraId="790ADD6E" w14:textId="77777777" w:rsidR="00992061" w:rsidRDefault="00D1402E">
            <w:pPr>
              <w:jc w:val="center"/>
              <w:rPr>
                <w:sz w:val="20"/>
                <w:szCs w:val="20"/>
              </w:rPr>
            </w:pPr>
            <w:r>
              <w:rPr>
                <w:rFonts w:eastAsia="Times New Roman"/>
                <w:w w:val="99"/>
                <w:sz w:val="20"/>
                <w:szCs w:val="20"/>
              </w:rPr>
              <w:t>3</w:t>
            </w:r>
          </w:p>
        </w:tc>
        <w:tc>
          <w:tcPr>
            <w:tcW w:w="260" w:type="dxa"/>
            <w:vAlign w:val="bottom"/>
          </w:tcPr>
          <w:p w14:paraId="30DDD054" w14:textId="77777777" w:rsidR="00992061" w:rsidRDefault="00992061">
            <w:pPr>
              <w:rPr>
                <w:sz w:val="24"/>
                <w:szCs w:val="24"/>
              </w:rPr>
            </w:pPr>
          </w:p>
        </w:tc>
        <w:tc>
          <w:tcPr>
            <w:tcW w:w="600" w:type="dxa"/>
            <w:tcBorders>
              <w:right w:val="single" w:sz="8" w:space="0" w:color="auto"/>
            </w:tcBorders>
            <w:vAlign w:val="bottom"/>
          </w:tcPr>
          <w:p w14:paraId="488DFAA9" w14:textId="77777777" w:rsidR="00992061" w:rsidRDefault="00D1402E">
            <w:pPr>
              <w:ind w:right="179"/>
              <w:jc w:val="center"/>
              <w:rPr>
                <w:sz w:val="20"/>
                <w:szCs w:val="20"/>
              </w:rPr>
            </w:pPr>
            <w:r>
              <w:rPr>
                <w:rFonts w:eastAsia="Times New Roman"/>
                <w:w w:val="93"/>
                <w:sz w:val="20"/>
                <w:szCs w:val="20"/>
              </w:rPr>
              <w:t>&lt;1</w:t>
            </w:r>
          </w:p>
        </w:tc>
        <w:tc>
          <w:tcPr>
            <w:tcW w:w="1580" w:type="dxa"/>
            <w:tcBorders>
              <w:right w:val="single" w:sz="8" w:space="0" w:color="auto"/>
            </w:tcBorders>
            <w:vAlign w:val="bottom"/>
          </w:tcPr>
          <w:p w14:paraId="09D5FE90"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719393A1" w14:textId="77777777" w:rsidR="00992061" w:rsidRDefault="00992061">
            <w:pPr>
              <w:rPr>
                <w:sz w:val="1"/>
                <w:szCs w:val="1"/>
              </w:rPr>
            </w:pPr>
          </w:p>
        </w:tc>
      </w:tr>
      <w:tr w:rsidR="00992061" w14:paraId="2CE354CF" w14:textId="77777777" w:rsidTr="00BB0FDD">
        <w:trPr>
          <w:trHeight w:val="50"/>
        </w:trPr>
        <w:tc>
          <w:tcPr>
            <w:tcW w:w="3040" w:type="dxa"/>
            <w:tcBorders>
              <w:left w:val="single" w:sz="8" w:space="0" w:color="auto"/>
              <w:bottom w:val="single" w:sz="8" w:space="0" w:color="auto"/>
              <w:right w:val="single" w:sz="8" w:space="0" w:color="auto"/>
            </w:tcBorders>
            <w:vAlign w:val="bottom"/>
          </w:tcPr>
          <w:p w14:paraId="478745F2" w14:textId="77777777" w:rsidR="00992061" w:rsidRDefault="00992061">
            <w:pPr>
              <w:rPr>
                <w:sz w:val="4"/>
                <w:szCs w:val="4"/>
              </w:rPr>
            </w:pPr>
          </w:p>
        </w:tc>
        <w:tc>
          <w:tcPr>
            <w:tcW w:w="840" w:type="dxa"/>
            <w:tcBorders>
              <w:bottom w:val="single" w:sz="8" w:space="0" w:color="auto"/>
            </w:tcBorders>
            <w:vAlign w:val="bottom"/>
          </w:tcPr>
          <w:p w14:paraId="2B93405D" w14:textId="77777777" w:rsidR="00992061" w:rsidRDefault="00992061">
            <w:pPr>
              <w:rPr>
                <w:sz w:val="4"/>
                <w:szCs w:val="4"/>
              </w:rPr>
            </w:pPr>
          </w:p>
        </w:tc>
        <w:tc>
          <w:tcPr>
            <w:tcW w:w="140" w:type="dxa"/>
            <w:tcBorders>
              <w:bottom w:val="single" w:sz="8" w:space="0" w:color="auto"/>
              <w:right w:val="single" w:sz="8" w:space="0" w:color="auto"/>
            </w:tcBorders>
            <w:vAlign w:val="bottom"/>
          </w:tcPr>
          <w:p w14:paraId="4B18F565" w14:textId="77777777" w:rsidR="00992061" w:rsidRDefault="00992061">
            <w:pPr>
              <w:rPr>
                <w:sz w:val="4"/>
                <w:szCs w:val="4"/>
              </w:rPr>
            </w:pPr>
          </w:p>
        </w:tc>
        <w:tc>
          <w:tcPr>
            <w:tcW w:w="620" w:type="dxa"/>
            <w:tcBorders>
              <w:bottom w:val="single" w:sz="8" w:space="0" w:color="auto"/>
              <w:right w:val="single" w:sz="8" w:space="0" w:color="auto"/>
            </w:tcBorders>
            <w:vAlign w:val="bottom"/>
          </w:tcPr>
          <w:p w14:paraId="178AF3B8" w14:textId="77777777" w:rsidR="00992061" w:rsidRDefault="00992061">
            <w:pPr>
              <w:rPr>
                <w:sz w:val="4"/>
                <w:szCs w:val="4"/>
              </w:rPr>
            </w:pPr>
          </w:p>
        </w:tc>
        <w:tc>
          <w:tcPr>
            <w:tcW w:w="860" w:type="dxa"/>
            <w:tcBorders>
              <w:bottom w:val="single" w:sz="8" w:space="0" w:color="auto"/>
              <w:right w:val="single" w:sz="8" w:space="0" w:color="auto"/>
            </w:tcBorders>
            <w:vAlign w:val="bottom"/>
          </w:tcPr>
          <w:p w14:paraId="48B48D05" w14:textId="77777777" w:rsidR="00992061" w:rsidRDefault="00992061">
            <w:pPr>
              <w:rPr>
                <w:sz w:val="4"/>
                <w:szCs w:val="4"/>
              </w:rPr>
            </w:pPr>
          </w:p>
        </w:tc>
        <w:tc>
          <w:tcPr>
            <w:tcW w:w="900" w:type="dxa"/>
            <w:tcBorders>
              <w:bottom w:val="single" w:sz="8" w:space="0" w:color="auto"/>
            </w:tcBorders>
            <w:vAlign w:val="bottom"/>
          </w:tcPr>
          <w:p w14:paraId="5192D4FA" w14:textId="77777777" w:rsidR="00992061" w:rsidRDefault="00992061">
            <w:pPr>
              <w:rPr>
                <w:sz w:val="4"/>
                <w:szCs w:val="4"/>
              </w:rPr>
            </w:pPr>
          </w:p>
        </w:tc>
        <w:tc>
          <w:tcPr>
            <w:tcW w:w="140" w:type="dxa"/>
            <w:tcBorders>
              <w:bottom w:val="single" w:sz="8" w:space="0" w:color="auto"/>
              <w:right w:val="single" w:sz="8" w:space="0" w:color="auto"/>
            </w:tcBorders>
            <w:vAlign w:val="bottom"/>
          </w:tcPr>
          <w:p w14:paraId="090164B3" w14:textId="77777777" w:rsidR="00992061" w:rsidRDefault="00992061">
            <w:pPr>
              <w:rPr>
                <w:sz w:val="4"/>
                <w:szCs w:val="4"/>
              </w:rPr>
            </w:pPr>
          </w:p>
        </w:tc>
        <w:tc>
          <w:tcPr>
            <w:tcW w:w="700" w:type="dxa"/>
            <w:tcBorders>
              <w:bottom w:val="single" w:sz="8" w:space="0" w:color="auto"/>
              <w:right w:val="single" w:sz="8" w:space="0" w:color="auto"/>
            </w:tcBorders>
            <w:vAlign w:val="bottom"/>
          </w:tcPr>
          <w:p w14:paraId="1580CD65" w14:textId="77777777" w:rsidR="00992061" w:rsidRDefault="00992061">
            <w:pPr>
              <w:rPr>
                <w:sz w:val="4"/>
                <w:szCs w:val="4"/>
              </w:rPr>
            </w:pPr>
          </w:p>
        </w:tc>
        <w:tc>
          <w:tcPr>
            <w:tcW w:w="260" w:type="dxa"/>
            <w:tcBorders>
              <w:bottom w:val="single" w:sz="8" w:space="0" w:color="auto"/>
            </w:tcBorders>
            <w:vAlign w:val="bottom"/>
          </w:tcPr>
          <w:p w14:paraId="09544F2C" w14:textId="77777777" w:rsidR="00992061" w:rsidRDefault="00992061">
            <w:pPr>
              <w:rPr>
                <w:sz w:val="4"/>
                <w:szCs w:val="4"/>
              </w:rPr>
            </w:pPr>
          </w:p>
        </w:tc>
        <w:tc>
          <w:tcPr>
            <w:tcW w:w="600" w:type="dxa"/>
            <w:tcBorders>
              <w:bottom w:val="single" w:sz="8" w:space="0" w:color="auto"/>
              <w:right w:val="single" w:sz="8" w:space="0" w:color="auto"/>
            </w:tcBorders>
            <w:vAlign w:val="bottom"/>
          </w:tcPr>
          <w:p w14:paraId="026DF64C" w14:textId="77777777" w:rsidR="00992061" w:rsidRDefault="00992061">
            <w:pPr>
              <w:rPr>
                <w:sz w:val="4"/>
                <w:szCs w:val="4"/>
              </w:rPr>
            </w:pPr>
          </w:p>
        </w:tc>
        <w:tc>
          <w:tcPr>
            <w:tcW w:w="1580" w:type="dxa"/>
            <w:tcBorders>
              <w:bottom w:val="single" w:sz="8" w:space="0" w:color="auto"/>
              <w:right w:val="single" w:sz="8" w:space="0" w:color="auto"/>
            </w:tcBorders>
            <w:vAlign w:val="bottom"/>
          </w:tcPr>
          <w:p w14:paraId="4F8E74A3" w14:textId="77777777" w:rsidR="00992061" w:rsidRDefault="00992061">
            <w:pPr>
              <w:rPr>
                <w:sz w:val="4"/>
                <w:szCs w:val="4"/>
              </w:rPr>
            </w:pPr>
          </w:p>
        </w:tc>
        <w:tc>
          <w:tcPr>
            <w:tcW w:w="30" w:type="dxa"/>
            <w:vAlign w:val="bottom"/>
          </w:tcPr>
          <w:p w14:paraId="271D5F72" w14:textId="77777777" w:rsidR="00992061" w:rsidRDefault="00992061">
            <w:pPr>
              <w:rPr>
                <w:sz w:val="1"/>
                <w:szCs w:val="1"/>
              </w:rPr>
            </w:pPr>
          </w:p>
        </w:tc>
      </w:tr>
      <w:tr w:rsidR="00992061" w14:paraId="5A6EBF3F" w14:textId="77777777" w:rsidTr="00BB0FDD">
        <w:trPr>
          <w:trHeight w:val="307"/>
        </w:trPr>
        <w:tc>
          <w:tcPr>
            <w:tcW w:w="3040" w:type="dxa"/>
            <w:tcBorders>
              <w:left w:val="single" w:sz="8" w:space="0" w:color="auto"/>
              <w:right w:val="single" w:sz="8" w:space="0" w:color="auto"/>
            </w:tcBorders>
            <w:vAlign w:val="bottom"/>
          </w:tcPr>
          <w:p w14:paraId="28394C1D" w14:textId="77777777" w:rsidR="00992061" w:rsidRDefault="00D1402E">
            <w:pPr>
              <w:ind w:left="80"/>
              <w:rPr>
                <w:sz w:val="20"/>
                <w:szCs w:val="20"/>
              </w:rPr>
            </w:pPr>
            <w:r>
              <w:rPr>
                <w:rFonts w:eastAsia="Times New Roman"/>
                <w:i/>
                <w:iCs/>
                <w:sz w:val="20"/>
                <w:szCs w:val="20"/>
              </w:rPr>
              <w:t>Нарушения на метаболизма и</w:t>
            </w:r>
          </w:p>
        </w:tc>
        <w:tc>
          <w:tcPr>
            <w:tcW w:w="840" w:type="dxa"/>
            <w:vAlign w:val="bottom"/>
          </w:tcPr>
          <w:p w14:paraId="3929AFE1" w14:textId="77777777" w:rsidR="00992061" w:rsidRDefault="00992061">
            <w:pPr>
              <w:rPr>
                <w:sz w:val="24"/>
                <w:szCs w:val="24"/>
              </w:rPr>
            </w:pPr>
          </w:p>
        </w:tc>
        <w:tc>
          <w:tcPr>
            <w:tcW w:w="140" w:type="dxa"/>
            <w:tcBorders>
              <w:right w:val="single" w:sz="8" w:space="0" w:color="auto"/>
            </w:tcBorders>
            <w:vAlign w:val="bottom"/>
          </w:tcPr>
          <w:p w14:paraId="0F4D1F30" w14:textId="77777777" w:rsidR="00992061" w:rsidRDefault="00992061">
            <w:pPr>
              <w:rPr>
                <w:sz w:val="24"/>
                <w:szCs w:val="24"/>
              </w:rPr>
            </w:pPr>
          </w:p>
        </w:tc>
        <w:tc>
          <w:tcPr>
            <w:tcW w:w="620" w:type="dxa"/>
            <w:tcBorders>
              <w:right w:val="single" w:sz="8" w:space="0" w:color="auto"/>
            </w:tcBorders>
            <w:vAlign w:val="bottom"/>
          </w:tcPr>
          <w:p w14:paraId="1CB21CC0" w14:textId="77777777" w:rsidR="00992061" w:rsidRDefault="00992061">
            <w:pPr>
              <w:rPr>
                <w:sz w:val="24"/>
                <w:szCs w:val="24"/>
              </w:rPr>
            </w:pPr>
          </w:p>
        </w:tc>
        <w:tc>
          <w:tcPr>
            <w:tcW w:w="860" w:type="dxa"/>
            <w:tcBorders>
              <w:right w:val="single" w:sz="8" w:space="0" w:color="auto"/>
            </w:tcBorders>
            <w:vAlign w:val="bottom"/>
          </w:tcPr>
          <w:p w14:paraId="7805C0F2" w14:textId="77777777" w:rsidR="00992061" w:rsidRDefault="00992061">
            <w:pPr>
              <w:rPr>
                <w:sz w:val="24"/>
                <w:szCs w:val="24"/>
              </w:rPr>
            </w:pPr>
          </w:p>
        </w:tc>
        <w:tc>
          <w:tcPr>
            <w:tcW w:w="900" w:type="dxa"/>
            <w:vAlign w:val="bottom"/>
          </w:tcPr>
          <w:p w14:paraId="0FC803E5" w14:textId="77777777" w:rsidR="00992061" w:rsidRDefault="00992061">
            <w:pPr>
              <w:rPr>
                <w:sz w:val="24"/>
                <w:szCs w:val="24"/>
              </w:rPr>
            </w:pPr>
          </w:p>
        </w:tc>
        <w:tc>
          <w:tcPr>
            <w:tcW w:w="140" w:type="dxa"/>
            <w:tcBorders>
              <w:right w:val="single" w:sz="8" w:space="0" w:color="auto"/>
            </w:tcBorders>
            <w:vAlign w:val="bottom"/>
          </w:tcPr>
          <w:p w14:paraId="074A24F6" w14:textId="77777777" w:rsidR="00992061" w:rsidRDefault="00992061">
            <w:pPr>
              <w:rPr>
                <w:sz w:val="24"/>
                <w:szCs w:val="24"/>
              </w:rPr>
            </w:pPr>
          </w:p>
        </w:tc>
        <w:tc>
          <w:tcPr>
            <w:tcW w:w="700" w:type="dxa"/>
            <w:tcBorders>
              <w:right w:val="single" w:sz="8" w:space="0" w:color="auto"/>
            </w:tcBorders>
            <w:vAlign w:val="bottom"/>
          </w:tcPr>
          <w:p w14:paraId="4278B0C2" w14:textId="77777777" w:rsidR="00992061" w:rsidRDefault="00992061">
            <w:pPr>
              <w:rPr>
                <w:sz w:val="24"/>
                <w:szCs w:val="24"/>
              </w:rPr>
            </w:pPr>
          </w:p>
        </w:tc>
        <w:tc>
          <w:tcPr>
            <w:tcW w:w="260" w:type="dxa"/>
            <w:vAlign w:val="bottom"/>
          </w:tcPr>
          <w:p w14:paraId="2B21CF94" w14:textId="77777777" w:rsidR="00992061" w:rsidRDefault="00992061">
            <w:pPr>
              <w:rPr>
                <w:sz w:val="24"/>
                <w:szCs w:val="24"/>
              </w:rPr>
            </w:pPr>
          </w:p>
        </w:tc>
        <w:tc>
          <w:tcPr>
            <w:tcW w:w="600" w:type="dxa"/>
            <w:tcBorders>
              <w:right w:val="single" w:sz="8" w:space="0" w:color="auto"/>
            </w:tcBorders>
            <w:vAlign w:val="bottom"/>
          </w:tcPr>
          <w:p w14:paraId="4B253715" w14:textId="77777777" w:rsidR="00992061" w:rsidRDefault="00992061">
            <w:pPr>
              <w:rPr>
                <w:sz w:val="24"/>
                <w:szCs w:val="24"/>
              </w:rPr>
            </w:pPr>
          </w:p>
        </w:tc>
        <w:tc>
          <w:tcPr>
            <w:tcW w:w="1580" w:type="dxa"/>
            <w:tcBorders>
              <w:right w:val="single" w:sz="8" w:space="0" w:color="auto"/>
            </w:tcBorders>
            <w:vAlign w:val="bottom"/>
          </w:tcPr>
          <w:p w14:paraId="6DBF040E" w14:textId="77777777" w:rsidR="00992061" w:rsidRDefault="00992061">
            <w:pPr>
              <w:rPr>
                <w:sz w:val="24"/>
                <w:szCs w:val="24"/>
              </w:rPr>
            </w:pPr>
          </w:p>
        </w:tc>
        <w:tc>
          <w:tcPr>
            <w:tcW w:w="30" w:type="dxa"/>
            <w:vAlign w:val="bottom"/>
          </w:tcPr>
          <w:p w14:paraId="540B8EB6" w14:textId="77777777" w:rsidR="00992061" w:rsidRDefault="00992061">
            <w:pPr>
              <w:rPr>
                <w:sz w:val="1"/>
                <w:szCs w:val="1"/>
              </w:rPr>
            </w:pPr>
          </w:p>
        </w:tc>
      </w:tr>
      <w:tr w:rsidR="00992061" w14:paraId="7D1E8C67" w14:textId="77777777" w:rsidTr="00BB0FDD">
        <w:trPr>
          <w:trHeight w:val="266"/>
        </w:trPr>
        <w:tc>
          <w:tcPr>
            <w:tcW w:w="3040" w:type="dxa"/>
            <w:tcBorders>
              <w:left w:val="single" w:sz="8" w:space="0" w:color="auto"/>
              <w:right w:val="single" w:sz="8" w:space="0" w:color="auto"/>
            </w:tcBorders>
            <w:vAlign w:val="bottom"/>
          </w:tcPr>
          <w:p w14:paraId="65ABB9A3" w14:textId="77777777" w:rsidR="00992061" w:rsidRDefault="00D1402E">
            <w:pPr>
              <w:ind w:left="80"/>
              <w:rPr>
                <w:sz w:val="20"/>
                <w:szCs w:val="20"/>
              </w:rPr>
            </w:pPr>
            <w:r>
              <w:rPr>
                <w:rFonts w:eastAsia="Times New Roman"/>
                <w:i/>
                <w:iCs/>
                <w:sz w:val="20"/>
                <w:szCs w:val="20"/>
              </w:rPr>
              <w:t>храненето</w:t>
            </w:r>
          </w:p>
        </w:tc>
        <w:tc>
          <w:tcPr>
            <w:tcW w:w="840" w:type="dxa"/>
            <w:vAlign w:val="bottom"/>
          </w:tcPr>
          <w:p w14:paraId="07FD95AF" w14:textId="77777777" w:rsidR="00992061" w:rsidRDefault="00992061">
            <w:pPr>
              <w:rPr>
                <w:sz w:val="23"/>
                <w:szCs w:val="23"/>
              </w:rPr>
            </w:pPr>
          </w:p>
        </w:tc>
        <w:tc>
          <w:tcPr>
            <w:tcW w:w="140" w:type="dxa"/>
            <w:tcBorders>
              <w:right w:val="single" w:sz="8" w:space="0" w:color="auto"/>
            </w:tcBorders>
            <w:vAlign w:val="bottom"/>
          </w:tcPr>
          <w:p w14:paraId="26640A88" w14:textId="77777777" w:rsidR="00992061" w:rsidRDefault="00992061">
            <w:pPr>
              <w:rPr>
                <w:sz w:val="23"/>
                <w:szCs w:val="23"/>
              </w:rPr>
            </w:pPr>
          </w:p>
        </w:tc>
        <w:tc>
          <w:tcPr>
            <w:tcW w:w="620" w:type="dxa"/>
            <w:tcBorders>
              <w:right w:val="single" w:sz="8" w:space="0" w:color="auto"/>
            </w:tcBorders>
            <w:vAlign w:val="bottom"/>
          </w:tcPr>
          <w:p w14:paraId="66F4C079" w14:textId="77777777" w:rsidR="00992061" w:rsidRDefault="00992061">
            <w:pPr>
              <w:rPr>
                <w:sz w:val="23"/>
                <w:szCs w:val="23"/>
              </w:rPr>
            </w:pPr>
          </w:p>
        </w:tc>
        <w:tc>
          <w:tcPr>
            <w:tcW w:w="860" w:type="dxa"/>
            <w:tcBorders>
              <w:right w:val="single" w:sz="8" w:space="0" w:color="auto"/>
            </w:tcBorders>
            <w:vAlign w:val="bottom"/>
          </w:tcPr>
          <w:p w14:paraId="5688BD38" w14:textId="77777777" w:rsidR="00992061" w:rsidRDefault="00992061">
            <w:pPr>
              <w:rPr>
                <w:sz w:val="23"/>
                <w:szCs w:val="23"/>
              </w:rPr>
            </w:pPr>
          </w:p>
        </w:tc>
        <w:tc>
          <w:tcPr>
            <w:tcW w:w="900" w:type="dxa"/>
            <w:vAlign w:val="bottom"/>
          </w:tcPr>
          <w:p w14:paraId="56CFF053" w14:textId="77777777" w:rsidR="00992061" w:rsidRDefault="00992061">
            <w:pPr>
              <w:rPr>
                <w:sz w:val="23"/>
                <w:szCs w:val="23"/>
              </w:rPr>
            </w:pPr>
          </w:p>
        </w:tc>
        <w:tc>
          <w:tcPr>
            <w:tcW w:w="140" w:type="dxa"/>
            <w:tcBorders>
              <w:right w:val="single" w:sz="8" w:space="0" w:color="auto"/>
            </w:tcBorders>
            <w:vAlign w:val="bottom"/>
          </w:tcPr>
          <w:p w14:paraId="024377F9" w14:textId="77777777" w:rsidR="00992061" w:rsidRDefault="00992061">
            <w:pPr>
              <w:rPr>
                <w:sz w:val="23"/>
                <w:szCs w:val="23"/>
              </w:rPr>
            </w:pPr>
          </w:p>
        </w:tc>
        <w:tc>
          <w:tcPr>
            <w:tcW w:w="700" w:type="dxa"/>
            <w:tcBorders>
              <w:right w:val="single" w:sz="8" w:space="0" w:color="auto"/>
            </w:tcBorders>
            <w:vAlign w:val="bottom"/>
          </w:tcPr>
          <w:p w14:paraId="715E3A6F" w14:textId="77777777" w:rsidR="00992061" w:rsidRDefault="00992061">
            <w:pPr>
              <w:rPr>
                <w:sz w:val="23"/>
                <w:szCs w:val="23"/>
              </w:rPr>
            </w:pPr>
          </w:p>
        </w:tc>
        <w:tc>
          <w:tcPr>
            <w:tcW w:w="260" w:type="dxa"/>
            <w:vAlign w:val="bottom"/>
          </w:tcPr>
          <w:p w14:paraId="46F4B042" w14:textId="77777777" w:rsidR="00992061" w:rsidRDefault="00992061">
            <w:pPr>
              <w:rPr>
                <w:sz w:val="23"/>
                <w:szCs w:val="23"/>
              </w:rPr>
            </w:pPr>
          </w:p>
        </w:tc>
        <w:tc>
          <w:tcPr>
            <w:tcW w:w="600" w:type="dxa"/>
            <w:tcBorders>
              <w:right w:val="single" w:sz="8" w:space="0" w:color="auto"/>
            </w:tcBorders>
            <w:vAlign w:val="bottom"/>
          </w:tcPr>
          <w:p w14:paraId="341AAF2A" w14:textId="77777777" w:rsidR="00992061" w:rsidRDefault="00992061">
            <w:pPr>
              <w:rPr>
                <w:sz w:val="23"/>
                <w:szCs w:val="23"/>
              </w:rPr>
            </w:pPr>
          </w:p>
        </w:tc>
        <w:tc>
          <w:tcPr>
            <w:tcW w:w="1580" w:type="dxa"/>
            <w:tcBorders>
              <w:right w:val="single" w:sz="8" w:space="0" w:color="auto"/>
            </w:tcBorders>
            <w:vAlign w:val="bottom"/>
          </w:tcPr>
          <w:p w14:paraId="7EBEBA44" w14:textId="77777777" w:rsidR="00992061" w:rsidRDefault="00992061">
            <w:pPr>
              <w:rPr>
                <w:sz w:val="23"/>
                <w:szCs w:val="23"/>
              </w:rPr>
            </w:pPr>
          </w:p>
        </w:tc>
        <w:tc>
          <w:tcPr>
            <w:tcW w:w="30" w:type="dxa"/>
            <w:vAlign w:val="bottom"/>
          </w:tcPr>
          <w:p w14:paraId="75FCC500" w14:textId="77777777" w:rsidR="00992061" w:rsidRDefault="00992061">
            <w:pPr>
              <w:rPr>
                <w:sz w:val="1"/>
                <w:szCs w:val="1"/>
              </w:rPr>
            </w:pPr>
          </w:p>
        </w:tc>
      </w:tr>
      <w:tr w:rsidR="00992061" w14:paraId="2B3F13DC" w14:textId="77777777" w:rsidTr="00BB0FDD">
        <w:trPr>
          <w:trHeight w:val="293"/>
        </w:trPr>
        <w:tc>
          <w:tcPr>
            <w:tcW w:w="3040" w:type="dxa"/>
            <w:tcBorders>
              <w:left w:val="single" w:sz="8" w:space="0" w:color="auto"/>
              <w:right w:val="single" w:sz="8" w:space="0" w:color="auto"/>
            </w:tcBorders>
            <w:vAlign w:val="bottom"/>
          </w:tcPr>
          <w:p w14:paraId="17FD51EB" w14:textId="77777777" w:rsidR="00992061" w:rsidRDefault="00D1402E">
            <w:pPr>
              <w:ind w:left="280"/>
              <w:rPr>
                <w:sz w:val="20"/>
                <w:szCs w:val="20"/>
              </w:rPr>
            </w:pPr>
            <w:r>
              <w:rPr>
                <w:rFonts w:eastAsia="Times New Roman"/>
                <w:sz w:val="20"/>
                <w:szCs w:val="20"/>
              </w:rPr>
              <w:t>Анорексия</w:t>
            </w:r>
          </w:p>
        </w:tc>
        <w:tc>
          <w:tcPr>
            <w:tcW w:w="840" w:type="dxa"/>
            <w:vAlign w:val="bottom"/>
          </w:tcPr>
          <w:p w14:paraId="6C3C59A5" w14:textId="77777777" w:rsidR="00992061" w:rsidRDefault="00D1402E">
            <w:pPr>
              <w:jc w:val="center"/>
              <w:rPr>
                <w:sz w:val="20"/>
                <w:szCs w:val="20"/>
              </w:rPr>
            </w:pPr>
            <w:r>
              <w:rPr>
                <w:rFonts w:eastAsia="Times New Roman"/>
                <w:w w:val="99"/>
                <w:sz w:val="20"/>
                <w:szCs w:val="20"/>
              </w:rPr>
              <w:t>52</w:t>
            </w:r>
          </w:p>
        </w:tc>
        <w:tc>
          <w:tcPr>
            <w:tcW w:w="140" w:type="dxa"/>
            <w:tcBorders>
              <w:right w:val="single" w:sz="8" w:space="0" w:color="auto"/>
            </w:tcBorders>
            <w:vAlign w:val="bottom"/>
          </w:tcPr>
          <w:p w14:paraId="6247EE66" w14:textId="77777777" w:rsidR="00992061" w:rsidRDefault="00992061">
            <w:pPr>
              <w:rPr>
                <w:sz w:val="24"/>
                <w:szCs w:val="24"/>
              </w:rPr>
            </w:pPr>
          </w:p>
        </w:tc>
        <w:tc>
          <w:tcPr>
            <w:tcW w:w="620" w:type="dxa"/>
            <w:tcBorders>
              <w:right w:val="single" w:sz="8" w:space="0" w:color="auto"/>
            </w:tcBorders>
            <w:vAlign w:val="bottom"/>
          </w:tcPr>
          <w:p w14:paraId="7C91A8C6" w14:textId="77777777" w:rsidR="00992061" w:rsidRDefault="00D1402E">
            <w:pPr>
              <w:jc w:val="center"/>
              <w:rPr>
                <w:sz w:val="20"/>
                <w:szCs w:val="20"/>
              </w:rPr>
            </w:pPr>
            <w:r>
              <w:rPr>
                <w:rFonts w:eastAsia="Times New Roman"/>
                <w:w w:val="99"/>
                <w:sz w:val="20"/>
                <w:szCs w:val="20"/>
              </w:rPr>
              <w:t>8</w:t>
            </w:r>
          </w:p>
        </w:tc>
        <w:tc>
          <w:tcPr>
            <w:tcW w:w="860" w:type="dxa"/>
            <w:tcBorders>
              <w:right w:val="single" w:sz="8" w:space="0" w:color="auto"/>
            </w:tcBorders>
            <w:vAlign w:val="bottom"/>
          </w:tcPr>
          <w:p w14:paraId="7B04BF71" w14:textId="77777777" w:rsidR="00992061" w:rsidRDefault="00D1402E">
            <w:pPr>
              <w:jc w:val="center"/>
              <w:rPr>
                <w:sz w:val="20"/>
                <w:szCs w:val="20"/>
              </w:rPr>
            </w:pPr>
            <w:r>
              <w:rPr>
                <w:rFonts w:eastAsia="Times New Roman"/>
                <w:w w:val="99"/>
                <w:sz w:val="20"/>
                <w:szCs w:val="20"/>
              </w:rPr>
              <w:t>1</w:t>
            </w:r>
          </w:p>
        </w:tc>
        <w:tc>
          <w:tcPr>
            <w:tcW w:w="900" w:type="dxa"/>
            <w:vAlign w:val="bottom"/>
          </w:tcPr>
          <w:p w14:paraId="00315AA6"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006F4AE1" w14:textId="77777777" w:rsidR="00992061" w:rsidRDefault="00992061">
            <w:pPr>
              <w:rPr>
                <w:sz w:val="24"/>
                <w:szCs w:val="24"/>
              </w:rPr>
            </w:pPr>
          </w:p>
        </w:tc>
        <w:tc>
          <w:tcPr>
            <w:tcW w:w="700" w:type="dxa"/>
            <w:tcBorders>
              <w:right w:val="single" w:sz="8" w:space="0" w:color="auto"/>
            </w:tcBorders>
            <w:vAlign w:val="bottom"/>
          </w:tcPr>
          <w:p w14:paraId="48985289" w14:textId="77777777" w:rsidR="00992061" w:rsidRDefault="00D1402E">
            <w:pPr>
              <w:jc w:val="center"/>
              <w:rPr>
                <w:sz w:val="20"/>
                <w:szCs w:val="20"/>
              </w:rPr>
            </w:pPr>
            <w:r>
              <w:rPr>
                <w:rFonts w:eastAsia="Times New Roman"/>
                <w:sz w:val="20"/>
                <w:szCs w:val="20"/>
              </w:rPr>
              <w:t>-</w:t>
            </w:r>
          </w:p>
        </w:tc>
        <w:tc>
          <w:tcPr>
            <w:tcW w:w="260" w:type="dxa"/>
            <w:vAlign w:val="bottom"/>
          </w:tcPr>
          <w:p w14:paraId="16A32DD9" w14:textId="77777777" w:rsidR="00992061" w:rsidRDefault="00992061">
            <w:pPr>
              <w:rPr>
                <w:sz w:val="24"/>
                <w:szCs w:val="24"/>
              </w:rPr>
            </w:pPr>
          </w:p>
        </w:tc>
        <w:tc>
          <w:tcPr>
            <w:tcW w:w="600" w:type="dxa"/>
            <w:tcBorders>
              <w:right w:val="single" w:sz="8" w:space="0" w:color="auto"/>
            </w:tcBorders>
            <w:vAlign w:val="bottom"/>
          </w:tcPr>
          <w:p w14:paraId="0D228EFD"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01D43962"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45AA244A" w14:textId="77777777" w:rsidR="00992061" w:rsidRDefault="00992061">
            <w:pPr>
              <w:rPr>
                <w:sz w:val="1"/>
                <w:szCs w:val="1"/>
              </w:rPr>
            </w:pPr>
          </w:p>
        </w:tc>
      </w:tr>
      <w:tr w:rsidR="00992061" w14:paraId="6D715940" w14:textId="77777777" w:rsidTr="00BB0FDD">
        <w:trPr>
          <w:trHeight w:val="350"/>
        </w:trPr>
        <w:tc>
          <w:tcPr>
            <w:tcW w:w="3040" w:type="dxa"/>
            <w:tcBorders>
              <w:left w:val="single" w:sz="8" w:space="0" w:color="auto"/>
              <w:right w:val="single" w:sz="8" w:space="0" w:color="auto"/>
            </w:tcBorders>
            <w:vAlign w:val="bottom"/>
          </w:tcPr>
          <w:p w14:paraId="2DE9BBC2" w14:textId="77777777" w:rsidR="00992061" w:rsidRDefault="00D1402E">
            <w:pPr>
              <w:ind w:left="280"/>
              <w:rPr>
                <w:sz w:val="20"/>
                <w:szCs w:val="20"/>
              </w:rPr>
            </w:pPr>
            <w:r>
              <w:rPr>
                <w:rFonts w:eastAsia="Times New Roman"/>
                <w:sz w:val="20"/>
                <w:szCs w:val="20"/>
              </w:rPr>
              <w:t>Намаление на теглото</w:t>
            </w:r>
          </w:p>
        </w:tc>
        <w:tc>
          <w:tcPr>
            <w:tcW w:w="840" w:type="dxa"/>
            <w:vAlign w:val="bottom"/>
          </w:tcPr>
          <w:p w14:paraId="7AD4DD56"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533C209B" w14:textId="77777777" w:rsidR="00992061" w:rsidRDefault="00992061">
            <w:pPr>
              <w:rPr>
                <w:sz w:val="24"/>
                <w:szCs w:val="24"/>
              </w:rPr>
            </w:pPr>
          </w:p>
        </w:tc>
        <w:tc>
          <w:tcPr>
            <w:tcW w:w="620" w:type="dxa"/>
            <w:tcBorders>
              <w:right w:val="single" w:sz="8" w:space="0" w:color="auto"/>
            </w:tcBorders>
            <w:vAlign w:val="bottom"/>
          </w:tcPr>
          <w:p w14:paraId="44BBB798" w14:textId="77777777" w:rsidR="00992061" w:rsidRDefault="00D1402E">
            <w:pPr>
              <w:jc w:val="center"/>
              <w:rPr>
                <w:sz w:val="20"/>
                <w:szCs w:val="20"/>
              </w:rPr>
            </w:pPr>
            <w:r>
              <w:rPr>
                <w:rFonts w:eastAsia="Times New Roman"/>
                <w:w w:val="89"/>
                <w:sz w:val="20"/>
                <w:szCs w:val="20"/>
              </w:rPr>
              <w:t>-</w:t>
            </w:r>
          </w:p>
        </w:tc>
        <w:tc>
          <w:tcPr>
            <w:tcW w:w="860" w:type="dxa"/>
            <w:tcBorders>
              <w:right w:val="single" w:sz="8" w:space="0" w:color="auto"/>
            </w:tcBorders>
            <w:vAlign w:val="bottom"/>
          </w:tcPr>
          <w:p w14:paraId="707F2186" w14:textId="77777777" w:rsidR="00992061" w:rsidRDefault="00D1402E">
            <w:pPr>
              <w:jc w:val="center"/>
              <w:rPr>
                <w:sz w:val="20"/>
                <w:szCs w:val="20"/>
              </w:rPr>
            </w:pPr>
            <w:r>
              <w:rPr>
                <w:rFonts w:eastAsia="Times New Roman"/>
                <w:sz w:val="20"/>
                <w:szCs w:val="20"/>
              </w:rPr>
              <w:t>-</w:t>
            </w:r>
          </w:p>
        </w:tc>
        <w:tc>
          <w:tcPr>
            <w:tcW w:w="900" w:type="dxa"/>
            <w:vAlign w:val="bottom"/>
          </w:tcPr>
          <w:p w14:paraId="583613AE" w14:textId="77777777" w:rsidR="00992061" w:rsidRDefault="00D1402E">
            <w:pPr>
              <w:jc w:val="center"/>
              <w:rPr>
                <w:sz w:val="20"/>
                <w:szCs w:val="20"/>
              </w:rPr>
            </w:pPr>
            <w:r>
              <w:rPr>
                <w:rFonts w:eastAsia="Times New Roman"/>
                <w:w w:val="99"/>
                <w:sz w:val="20"/>
                <w:szCs w:val="20"/>
              </w:rPr>
              <w:t>39</w:t>
            </w:r>
          </w:p>
        </w:tc>
        <w:tc>
          <w:tcPr>
            <w:tcW w:w="140" w:type="dxa"/>
            <w:tcBorders>
              <w:right w:val="single" w:sz="8" w:space="0" w:color="auto"/>
            </w:tcBorders>
            <w:vAlign w:val="bottom"/>
          </w:tcPr>
          <w:p w14:paraId="2D9DD9BF" w14:textId="77777777" w:rsidR="00992061" w:rsidRDefault="00992061">
            <w:pPr>
              <w:rPr>
                <w:sz w:val="24"/>
                <w:szCs w:val="24"/>
              </w:rPr>
            </w:pPr>
          </w:p>
        </w:tc>
        <w:tc>
          <w:tcPr>
            <w:tcW w:w="700" w:type="dxa"/>
            <w:tcBorders>
              <w:right w:val="single" w:sz="8" w:space="0" w:color="auto"/>
            </w:tcBorders>
            <w:vAlign w:val="bottom"/>
          </w:tcPr>
          <w:p w14:paraId="1BB73E91" w14:textId="77777777" w:rsidR="00992061" w:rsidRDefault="00D1402E">
            <w:pPr>
              <w:jc w:val="center"/>
              <w:rPr>
                <w:sz w:val="20"/>
                <w:szCs w:val="20"/>
              </w:rPr>
            </w:pPr>
            <w:r>
              <w:rPr>
                <w:rFonts w:eastAsia="Times New Roman"/>
                <w:w w:val="99"/>
                <w:sz w:val="20"/>
                <w:szCs w:val="20"/>
              </w:rPr>
              <w:t>2</w:t>
            </w:r>
          </w:p>
        </w:tc>
        <w:tc>
          <w:tcPr>
            <w:tcW w:w="260" w:type="dxa"/>
            <w:vAlign w:val="bottom"/>
          </w:tcPr>
          <w:p w14:paraId="5FE813C5" w14:textId="77777777" w:rsidR="00992061" w:rsidRDefault="00992061">
            <w:pPr>
              <w:rPr>
                <w:sz w:val="24"/>
                <w:szCs w:val="24"/>
              </w:rPr>
            </w:pPr>
          </w:p>
        </w:tc>
        <w:tc>
          <w:tcPr>
            <w:tcW w:w="600" w:type="dxa"/>
            <w:tcBorders>
              <w:right w:val="single" w:sz="8" w:space="0" w:color="auto"/>
            </w:tcBorders>
            <w:vAlign w:val="bottom"/>
          </w:tcPr>
          <w:p w14:paraId="654B5743"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165F985C"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6C64ADED" w14:textId="77777777" w:rsidR="00992061" w:rsidRDefault="00992061">
            <w:pPr>
              <w:rPr>
                <w:sz w:val="1"/>
                <w:szCs w:val="1"/>
              </w:rPr>
            </w:pPr>
          </w:p>
        </w:tc>
      </w:tr>
      <w:tr w:rsidR="00992061" w14:paraId="7324D46F" w14:textId="77777777" w:rsidTr="00BB0FDD">
        <w:trPr>
          <w:trHeight w:val="50"/>
        </w:trPr>
        <w:tc>
          <w:tcPr>
            <w:tcW w:w="3040" w:type="dxa"/>
            <w:tcBorders>
              <w:left w:val="single" w:sz="8" w:space="0" w:color="auto"/>
              <w:bottom w:val="single" w:sz="8" w:space="0" w:color="auto"/>
              <w:right w:val="single" w:sz="8" w:space="0" w:color="auto"/>
            </w:tcBorders>
            <w:vAlign w:val="bottom"/>
          </w:tcPr>
          <w:p w14:paraId="3079EBB4" w14:textId="77777777" w:rsidR="00992061" w:rsidRDefault="00992061">
            <w:pPr>
              <w:rPr>
                <w:sz w:val="4"/>
                <w:szCs w:val="4"/>
              </w:rPr>
            </w:pPr>
          </w:p>
        </w:tc>
        <w:tc>
          <w:tcPr>
            <w:tcW w:w="840" w:type="dxa"/>
            <w:tcBorders>
              <w:bottom w:val="single" w:sz="8" w:space="0" w:color="auto"/>
            </w:tcBorders>
            <w:vAlign w:val="bottom"/>
          </w:tcPr>
          <w:p w14:paraId="5054312E" w14:textId="77777777" w:rsidR="00992061" w:rsidRDefault="00992061">
            <w:pPr>
              <w:rPr>
                <w:sz w:val="4"/>
                <w:szCs w:val="4"/>
              </w:rPr>
            </w:pPr>
          </w:p>
        </w:tc>
        <w:tc>
          <w:tcPr>
            <w:tcW w:w="140" w:type="dxa"/>
            <w:tcBorders>
              <w:bottom w:val="single" w:sz="8" w:space="0" w:color="auto"/>
              <w:right w:val="single" w:sz="8" w:space="0" w:color="auto"/>
            </w:tcBorders>
            <w:vAlign w:val="bottom"/>
          </w:tcPr>
          <w:p w14:paraId="48EF94EA" w14:textId="77777777" w:rsidR="00992061" w:rsidRDefault="00992061">
            <w:pPr>
              <w:rPr>
                <w:sz w:val="4"/>
                <w:szCs w:val="4"/>
              </w:rPr>
            </w:pPr>
          </w:p>
        </w:tc>
        <w:tc>
          <w:tcPr>
            <w:tcW w:w="620" w:type="dxa"/>
            <w:tcBorders>
              <w:bottom w:val="single" w:sz="8" w:space="0" w:color="auto"/>
              <w:right w:val="single" w:sz="8" w:space="0" w:color="auto"/>
            </w:tcBorders>
            <w:vAlign w:val="bottom"/>
          </w:tcPr>
          <w:p w14:paraId="2A30C1BB" w14:textId="77777777" w:rsidR="00992061" w:rsidRDefault="00992061">
            <w:pPr>
              <w:rPr>
                <w:sz w:val="4"/>
                <w:szCs w:val="4"/>
              </w:rPr>
            </w:pPr>
          </w:p>
        </w:tc>
        <w:tc>
          <w:tcPr>
            <w:tcW w:w="860" w:type="dxa"/>
            <w:tcBorders>
              <w:bottom w:val="single" w:sz="8" w:space="0" w:color="auto"/>
              <w:right w:val="single" w:sz="8" w:space="0" w:color="auto"/>
            </w:tcBorders>
            <w:vAlign w:val="bottom"/>
          </w:tcPr>
          <w:p w14:paraId="2B84EBEA" w14:textId="77777777" w:rsidR="00992061" w:rsidRDefault="00992061">
            <w:pPr>
              <w:rPr>
                <w:sz w:val="4"/>
                <w:szCs w:val="4"/>
              </w:rPr>
            </w:pPr>
          </w:p>
        </w:tc>
        <w:tc>
          <w:tcPr>
            <w:tcW w:w="900" w:type="dxa"/>
            <w:tcBorders>
              <w:bottom w:val="single" w:sz="8" w:space="0" w:color="auto"/>
            </w:tcBorders>
            <w:vAlign w:val="bottom"/>
          </w:tcPr>
          <w:p w14:paraId="255B46B4" w14:textId="77777777" w:rsidR="00992061" w:rsidRDefault="00992061">
            <w:pPr>
              <w:rPr>
                <w:sz w:val="4"/>
                <w:szCs w:val="4"/>
              </w:rPr>
            </w:pPr>
          </w:p>
        </w:tc>
        <w:tc>
          <w:tcPr>
            <w:tcW w:w="140" w:type="dxa"/>
            <w:tcBorders>
              <w:bottom w:val="single" w:sz="8" w:space="0" w:color="auto"/>
              <w:right w:val="single" w:sz="8" w:space="0" w:color="auto"/>
            </w:tcBorders>
            <w:vAlign w:val="bottom"/>
          </w:tcPr>
          <w:p w14:paraId="39B420F0" w14:textId="77777777" w:rsidR="00992061" w:rsidRDefault="00992061">
            <w:pPr>
              <w:rPr>
                <w:sz w:val="4"/>
                <w:szCs w:val="4"/>
              </w:rPr>
            </w:pPr>
          </w:p>
        </w:tc>
        <w:tc>
          <w:tcPr>
            <w:tcW w:w="700" w:type="dxa"/>
            <w:tcBorders>
              <w:bottom w:val="single" w:sz="8" w:space="0" w:color="auto"/>
              <w:right w:val="single" w:sz="8" w:space="0" w:color="auto"/>
            </w:tcBorders>
            <w:vAlign w:val="bottom"/>
          </w:tcPr>
          <w:p w14:paraId="4E605DD8" w14:textId="77777777" w:rsidR="00992061" w:rsidRDefault="00992061">
            <w:pPr>
              <w:rPr>
                <w:sz w:val="4"/>
                <w:szCs w:val="4"/>
              </w:rPr>
            </w:pPr>
          </w:p>
        </w:tc>
        <w:tc>
          <w:tcPr>
            <w:tcW w:w="260" w:type="dxa"/>
            <w:tcBorders>
              <w:bottom w:val="single" w:sz="8" w:space="0" w:color="auto"/>
            </w:tcBorders>
            <w:vAlign w:val="bottom"/>
          </w:tcPr>
          <w:p w14:paraId="61FD0C52" w14:textId="77777777" w:rsidR="00992061" w:rsidRDefault="00992061">
            <w:pPr>
              <w:rPr>
                <w:sz w:val="4"/>
                <w:szCs w:val="4"/>
              </w:rPr>
            </w:pPr>
          </w:p>
        </w:tc>
        <w:tc>
          <w:tcPr>
            <w:tcW w:w="600" w:type="dxa"/>
            <w:tcBorders>
              <w:bottom w:val="single" w:sz="8" w:space="0" w:color="auto"/>
              <w:right w:val="single" w:sz="8" w:space="0" w:color="auto"/>
            </w:tcBorders>
            <w:vAlign w:val="bottom"/>
          </w:tcPr>
          <w:p w14:paraId="43CE925C" w14:textId="77777777" w:rsidR="00992061" w:rsidRDefault="00992061">
            <w:pPr>
              <w:rPr>
                <w:sz w:val="4"/>
                <w:szCs w:val="4"/>
              </w:rPr>
            </w:pPr>
          </w:p>
        </w:tc>
        <w:tc>
          <w:tcPr>
            <w:tcW w:w="1580" w:type="dxa"/>
            <w:tcBorders>
              <w:bottom w:val="single" w:sz="8" w:space="0" w:color="auto"/>
              <w:right w:val="single" w:sz="8" w:space="0" w:color="auto"/>
            </w:tcBorders>
            <w:vAlign w:val="bottom"/>
          </w:tcPr>
          <w:p w14:paraId="66D1B4D4" w14:textId="77777777" w:rsidR="00992061" w:rsidRDefault="00992061">
            <w:pPr>
              <w:rPr>
                <w:sz w:val="4"/>
                <w:szCs w:val="4"/>
              </w:rPr>
            </w:pPr>
          </w:p>
        </w:tc>
        <w:tc>
          <w:tcPr>
            <w:tcW w:w="30" w:type="dxa"/>
            <w:vAlign w:val="bottom"/>
          </w:tcPr>
          <w:p w14:paraId="161307F4" w14:textId="77777777" w:rsidR="00992061" w:rsidRDefault="00992061">
            <w:pPr>
              <w:rPr>
                <w:sz w:val="1"/>
                <w:szCs w:val="1"/>
              </w:rPr>
            </w:pPr>
          </w:p>
        </w:tc>
      </w:tr>
      <w:tr w:rsidR="00992061" w14:paraId="55AA920B" w14:textId="77777777" w:rsidTr="00BB0FDD">
        <w:trPr>
          <w:trHeight w:val="285"/>
        </w:trPr>
        <w:tc>
          <w:tcPr>
            <w:tcW w:w="3040" w:type="dxa"/>
            <w:tcBorders>
              <w:left w:val="single" w:sz="8" w:space="0" w:color="auto"/>
              <w:right w:val="single" w:sz="8" w:space="0" w:color="auto"/>
            </w:tcBorders>
            <w:vAlign w:val="bottom"/>
          </w:tcPr>
          <w:p w14:paraId="66F69A63" w14:textId="77777777" w:rsidR="00992061" w:rsidRDefault="00D1402E">
            <w:pPr>
              <w:ind w:left="80"/>
              <w:rPr>
                <w:sz w:val="20"/>
                <w:szCs w:val="20"/>
              </w:rPr>
            </w:pPr>
            <w:r>
              <w:rPr>
                <w:rFonts w:eastAsia="Times New Roman"/>
                <w:i/>
                <w:iCs/>
                <w:sz w:val="20"/>
                <w:szCs w:val="20"/>
              </w:rPr>
              <w:t>Нарушения на очите</w:t>
            </w:r>
          </w:p>
        </w:tc>
        <w:tc>
          <w:tcPr>
            <w:tcW w:w="840" w:type="dxa"/>
            <w:vAlign w:val="bottom"/>
          </w:tcPr>
          <w:p w14:paraId="1D8DAFBE" w14:textId="77777777" w:rsidR="00992061" w:rsidRDefault="00992061">
            <w:pPr>
              <w:rPr>
                <w:sz w:val="24"/>
                <w:szCs w:val="24"/>
              </w:rPr>
            </w:pPr>
          </w:p>
        </w:tc>
        <w:tc>
          <w:tcPr>
            <w:tcW w:w="140" w:type="dxa"/>
            <w:tcBorders>
              <w:right w:val="single" w:sz="8" w:space="0" w:color="auto"/>
            </w:tcBorders>
            <w:vAlign w:val="bottom"/>
          </w:tcPr>
          <w:p w14:paraId="5F9BD574" w14:textId="77777777" w:rsidR="00992061" w:rsidRDefault="00992061">
            <w:pPr>
              <w:rPr>
                <w:sz w:val="24"/>
                <w:szCs w:val="24"/>
              </w:rPr>
            </w:pPr>
          </w:p>
        </w:tc>
        <w:tc>
          <w:tcPr>
            <w:tcW w:w="620" w:type="dxa"/>
            <w:tcBorders>
              <w:right w:val="single" w:sz="8" w:space="0" w:color="auto"/>
            </w:tcBorders>
            <w:vAlign w:val="bottom"/>
          </w:tcPr>
          <w:p w14:paraId="78589D47" w14:textId="77777777" w:rsidR="00992061" w:rsidRDefault="00992061">
            <w:pPr>
              <w:rPr>
                <w:sz w:val="24"/>
                <w:szCs w:val="24"/>
              </w:rPr>
            </w:pPr>
          </w:p>
        </w:tc>
        <w:tc>
          <w:tcPr>
            <w:tcW w:w="860" w:type="dxa"/>
            <w:tcBorders>
              <w:right w:val="single" w:sz="8" w:space="0" w:color="auto"/>
            </w:tcBorders>
            <w:vAlign w:val="bottom"/>
          </w:tcPr>
          <w:p w14:paraId="7A969A56" w14:textId="77777777" w:rsidR="00992061" w:rsidRDefault="00992061">
            <w:pPr>
              <w:rPr>
                <w:sz w:val="24"/>
                <w:szCs w:val="24"/>
              </w:rPr>
            </w:pPr>
          </w:p>
        </w:tc>
        <w:tc>
          <w:tcPr>
            <w:tcW w:w="900" w:type="dxa"/>
            <w:vAlign w:val="bottom"/>
          </w:tcPr>
          <w:p w14:paraId="7EABC4A8" w14:textId="77777777" w:rsidR="00992061" w:rsidRDefault="00992061">
            <w:pPr>
              <w:rPr>
                <w:sz w:val="24"/>
                <w:szCs w:val="24"/>
              </w:rPr>
            </w:pPr>
          </w:p>
        </w:tc>
        <w:tc>
          <w:tcPr>
            <w:tcW w:w="140" w:type="dxa"/>
            <w:tcBorders>
              <w:right w:val="single" w:sz="8" w:space="0" w:color="auto"/>
            </w:tcBorders>
            <w:vAlign w:val="bottom"/>
          </w:tcPr>
          <w:p w14:paraId="1EA46522" w14:textId="77777777" w:rsidR="00992061" w:rsidRDefault="00992061">
            <w:pPr>
              <w:rPr>
                <w:sz w:val="24"/>
                <w:szCs w:val="24"/>
              </w:rPr>
            </w:pPr>
          </w:p>
        </w:tc>
        <w:tc>
          <w:tcPr>
            <w:tcW w:w="700" w:type="dxa"/>
            <w:tcBorders>
              <w:right w:val="single" w:sz="8" w:space="0" w:color="auto"/>
            </w:tcBorders>
            <w:vAlign w:val="bottom"/>
          </w:tcPr>
          <w:p w14:paraId="23C885D2" w14:textId="77777777" w:rsidR="00992061" w:rsidRDefault="00992061">
            <w:pPr>
              <w:rPr>
                <w:sz w:val="24"/>
                <w:szCs w:val="24"/>
              </w:rPr>
            </w:pPr>
          </w:p>
        </w:tc>
        <w:tc>
          <w:tcPr>
            <w:tcW w:w="260" w:type="dxa"/>
            <w:vAlign w:val="bottom"/>
          </w:tcPr>
          <w:p w14:paraId="5EC2932B" w14:textId="77777777" w:rsidR="00992061" w:rsidRDefault="00992061">
            <w:pPr>
              <w:rPr>
                <w:sz w:val="24"/>
                <w:szCs w:val="24"/>
              </w:rPr>
            </w:pPr>
          </w:p>
        </w:tc>
        <w:tc>
          <w:tcPr>
            <w:tcW w:w="600" w:type="dxa"/>
            <w:tcBorders>
              <w:right w:val="single" w:sz="8" w:space="0" w:color="auto"/>
            </w:tcBorders>
            <w:vAlign w:val="bottom"/>
          </w:tcPr>
          <w:p w14:paraId="6994B634" w14:textId="77777777" w:rsidR="00992061" w:rsidRDefault="00992061">
            <w:pPr>
              <w:rPr>
                <w:sz w:val="24"/>
                <w:szCs w:val="24"/>
              </w:rPr>
            </w:pPr>
          </w:p>
        </w:tc>
        <w:tc>
          <w:tcPr>
            <w:tcW w:w="1580" w:type="dxa"/>
            <w:tcBorders>
              <w:right w:val="single" w:sz="8" w:space="0" w:color="auto"/>
            </w:tcBorders>
            <w:vAlign w:val="bottom"/>
          </w:tcPr>
          <w:p w14:paraId="091EE414" w14:textId="77777777" w:rsidR="00992061" w:rsidRDefault="00992061">
            <w:pPr>
              <w:rPr>
                <w:sz w:val="24"/>
                <w:szCs w:val="24"/>
              </w:rPr>
            </w:pPr>
          </w:p>
        </w:tc>
        <w:tc>
          <w:tcPr>
            <w:tcW w:w="30" w:type="dxa"/>
            <w:vAlign w:val="bottom"/>
          </w:tcPr>
          <w:p w14:paraId="0120780F" w14:textId="77777777" w:rsidR="00992061" w:rsidRDefault="00992061">
            <w:pPr>
              <w:rPr>
                <w:sz w:val="1"/>
                <w:szCs w:val="1"/>
              </w:rPr>
            </w:pPr>
          </w:p>
        </w:tc>
      </w:tr>
      <w:tr w:rsidR="00992061" w14:paraId="0AD6B57D" w14:textId="77777777" w:rsidTr="00BB0FDD">
        <w:trPr>
          <w:trHeight w:val="288"/>
        </w:trPr>
        <w:tc>
          <w:tcPr>
            <w:tcW w:w="3040" w:type="dxa"/>
            <w:tcBorders>
              <w:left w:val="single" w:sz="8" w:space="0" w:color="auto"/>
              <w:right w:val="single" w:sz="8" w:space="0" w:color="auto"/>
            </w:tcBorders>
            <w:vAlign w:val="bottom"/>
          </w:tcPr>
          <w:p w14:paraId="0BB18B7D" w14:textId="77777777" w:rsidR="00992061" w:rsidRDefault="00D1402E">
            <w:pPr>
              <w:ind w:left="280"/>
              <w:rPr>
                <w:sz w:val="20"/>
                <w:szCs w:val="20"/>
              </w:rPr>
            </w:pPr>
            <w:r>
              <w:rPr>
                <w:rFonts w:eastAsia="Times New Roman"/>
                <w:sz w:val="20"/>
                <w:szCs w:val="20"/>
              </w:rPr>
              <w:t>Сух кератоконюнктивит</w:t>
            </w:r>
          </w:p>
        </w:tc>
        <w:tc>
          <w:tcPr>
            <w:tcW w:w="840" w:type="dxa"/>
            <w:vAlign w:val="bottom"/>
          </w:tcPr>
          <w:p w14:paraId="3540F109" w14:textId="77777777" w:rsidR="00992061" w:rsidRDefault="00D1402E">
            <w:pPr>
              <w:jc w:val="center"/>
              <w:rPr>
                <w:sz w:val="20"/>
                <w:szCs w:val="20"/>
              </w:rPr>
            </w:pPr>
            <w:r>
              <w:rPr>
                <w:rFonts w:eastAsia="Times New Roman"/>
                <w:w w:val="99"/>
                <w:sz w:val="20"/>
                <w:szCs w:val="20"/>
              </w:rPr>
              <w:t>12</w:t>
            </w:r>
          </w:p>
        </w:tc>
        <w:tc>
          <w:tcPr>
            <w:tcW w:w="140" w:type="dxa"/>
            <w:tcBorders>
              <w:right w:val="single" w:sz="8" w:space="0" w:color="auto"/>
            </w:tcBorders>
            <w:vAlign w:val="bottom"/>
          </w:tcPr>
          <w:p w14:paraId="176BA9B5" w14:textId="77777777" w:rsidR="00992061" w:rsidRDefault="00992061">
            <w:pPr>
              <w:rPr>
                <w:sz w:val="24"/>
                <w:szCs w:val="24"/>
              </w:rPr>
            </w:pPr>
          </w:p>
        </w:tc>
        <w:tc>
          <w:tcPr>
            <w:tcW w:w="620" w:type="dxa"/>
            <w:tcBorders>
              <w:right w:val="single" w:sz="8" w:space="0" w:color="auto"/>
            </w:tcBorders>
            <w:vAlign w:val="bottom"/>
          </w:tcPr>
          <w:p w14:paraId="185A4A84" w14:textId="77777777" w:rsidR="00992061" w:rsidRDefault="00D1402E">
            <w:pPr>
              <w:jc w:val="center"/>
              <w:rPr>
                <w:sz w:val="20"/>
                <w:szCs w:val="20"/>
              </w:rPr>
            </w:pPr>
            <w:r>
              <w:rPr>
                <w:rFonts w:eastAsia="Times New Roman"/>
                <w:w w:val="99"/>
                <w:sz w:val="20"/>
                <w:szCs w:val="20"/>
              </w:rPr>
              <w:t>0</w:t>
            </w:r>
          </w:p>
        </w:tc>
        <w:tc>
          <w:tcPr>
            <w:tcW w:w="860" w:type="dxa"/>
            <w:tcBorders>
              <w:right w:val="single" w:sz="8" w:space="0" w:color="auto"/>
            </w:tcBorders>
            <w:vAlign w:val="bottom"/>
          </w:tcPr>
          <w:p w14:paraId="5AE9618C" w14:textId="77777777" w:rsidR="00992061" w:rsidRDefault="00D1402E">
            <w:pPr>
              <w:jc w:val="center"/>
              <w:rPr>
                <w:sz w:val="20"/>
                <w:szCs w:val="20"/>
              </w:rPr>
            </w:pPr>
            <w:r>
              <w:rPr>
                <w:rFonts w:eastAsia="Times New Roman"/>
                <w:w w:val="99"/>
                <w:sz w:val="20"/>
                <w:szCs w:val="20"/>
              </w:rPr>
              <w:t>0</w:t>
            </w:r>
          </w:p>
        </w:tc>
        <w:tc>
          <w:tcPr>
            <w:tcW w:w="900" w:type="dxa"/>
            <w:vAlign w:val="bottom"/>
          </w:tcPr>
          <w:p w14:paraId="46502F85"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0D3BDE3B" w14:textId="77777777" w:rsidR="00992061" w:rsidRDefault="00992061">
            <w:pPr>
              <w:rPr>
                <w:sz w:val="24"/>
                <w:szCs w:val="24"/>
              </w:rPr>
            </w:pPr>
          </w:p>
        </w:tc>
        <w:tc>
          <w:tcPr>
            <w:tcW w:w="700" w:type="dxa"/>
            <w:tcBorders>
              <w:right w:val="single" w:sz="8" w:space="0" w:color="auto"/>
            </w:tcBorders>
            <w:vAlign w:val="bottom"/>
          </w:tcPr>
          <w:p w14:paraId="4CC939E6" w14:textId="77777777" w:rsidR="00992061" w:rsidRDefault="00D1402E">
            <w:pPr>
              <w:jc w:val="center"/>
              <w:rPr>
                <w:sz w:val="20"/>
                <w:szCs w:val="20"/>
              </w:rPr>
            </w:pPr>
            <w:r>
              <w:rPr>
                <w:rFonts w:eastAsia="Times New Roman"/>
                <w:sz w:val="20"/>
                <w:szCs w:val="20"/>
              </w:rPr>
              <w:t>-</w:t>
            </w:r>
          </w:p>
        </w:tc>
        <w:tc>
          <w:tcPr>
            <w:tcW w:w="260" w:type="dxa"/>
            <w:vAlign w:val="bottom"/>
          </w:tcPr>
          <w:p w14:paraId="5EBF1CCC" w14:textId="77777777" w:rsidR="00992061" w:rsidRDefault="00992061">
            <w:pPr>
              <w:rPr>
                <w:sz w:val="24"/>
                <w:szCs w:val="24"/>
              </w:rPr>
            </w:pPr>
          </w:p>
        </w:tc>
        <w:tc>
          <w:tcPr>
            <w:tcW w:w="600" w:type="dxa"/>
            <w:tcBorders>
              <w:right w:val="single" w:sz="8" w:space="0" w:color="auto"/>
            </w:tcBorders>
            <w:vAlign w:val="bottom"/>
          </w:tcPr>
          <w:p w14:paraId="64C09BB1"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4C21D07C"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4847F033" w14:textId="77777777" w:rsidR="00992061" w:rsidRDefault="00992061">
            <w:pPr>
              <w:rPr>
                <w:sz w:val="1"/>
                <w:szCs w:val="1"/>
              </w:rPr>
            </w:pPr>
          </w:p>
        </w:tc>
      </w:tr>
      <w:tr w:rsidR="00992061" w14:paraId="07301BC7" w14:textId="77777777" w:rsidTr="00BB0FDD">
        <w:trPr>
          <w:trHeight w:val="288"/>
        </w:trPr>
        <w:tc>
          <w:tcPr>
            <w:tcW w:w="3040" w:type="dxa"/>
            <w:tcBorders>
              <w:left w:val="single" w:sz="8" w:space="0" w:color="auto"/>
              <w:right w:val="single" w:sz="8" w:space="0" w:color="auto"/>
            </w:tcBorders>
            <w:vAlign w:val="bottom"/>
          </w:tcPr>
          <w:p w14:paraId="69FD3188" w14:textId="77777777" w:rsidR="00992061" w:rsidRDefault="00D1402E">
            <w:pPr>
              <w:ind w:left="280"/>
              <w:rPr>
                <w:sz w:val="20"/>
                <w:szCs w:val="20"/>
              </w:rPr>
            </w:pPr>
            <w:r>
              <w:rPr>
                <w:rFonts w:eastAsia="Times New Roman"/>
                <w:sz w:val="20"/>
                <w:szCs w:val="20"/>
              </w:rPr>
              <w:t>Конюнктивит</w:t>
            </w:r>
          </w:p>
        </w:tc>
        <w:tc>
          <w:tcPr>
            <w:tcW w:w="840" w:type="dxa"/>
            <w:vAlign w:val="bottom"/>
          </w:tcPr>
          <w:p w14:paraId="3162264B" w14:textId="77777777" w:rsidR="00992061" w:rsidRDefault="00D1402E">
            <w:pPr>
              <w:jc w:val="center"/>
              <w:rPr>
                <w:sz w:val="20"/>
                <w:szCs w:val="20"/>
              </w:rPr>
            </w:pPr>
            <w:r>
              <w:rPr>
                <w:rFonts w:eastAsia="Times New Roman"/>
                <w:w w:val="99"/>
                <w:sz w:val="20"/>
                <w:szCs w:val="20"/>
              </w:rPr>
              <w:t>12</w:t>
            </w:r>
          </w:p>
        </w:tc>
        <w:tc>
          <w:tcPr>
            <w:tcW w:w="140" w:type="dxa"/>
            <w:tcBorders>
              <w:right w:val="single" w:sz="8" w:space="0" w:color="auto"/>
            </w:tcBorders>
            <w:vAlign w:val="bottom"/>
          </w:tcPr>
          <w:p w14:paraId="1D63D6B4" w14:textId="77777777" w:rsidR="00992061" w:rsidRDefault="00992061">
            <w:pPr>
              <w:rPr>
                <w:sz w:val="24"/>
                <w:szCs w:val="24"/>
              </w:rPr>
            </w:pPr>
          </w:p>
        </w:tc>
        <w:tc>
          <w:tcPr>
            <w:tcW w:w="620" w:type="dxa"/>
            <w:tcBorders>
              <w:right w:val="single" w:sz="8" w:space="0" w:color="auto"/>
            </w:tcBorders>
            <w:vAlign w:val="bottom"/>
          </w:tcPr>
          <w:p w14:paraId="1A30677F" w14:textId="77777777" w:rsidR="00992061" w:rsidRDefault="00D1402E">
            <w:pPr>
              <w:jc w:val="center"/>
              <w:rPr>
                <w:sz w:val="20"/>
                <w:szCs w:val="20"/>
              </w:rPr>
            </w:pPr>
            <w:r>
              <w:rPr>
                <w:rFonts w:eastAsia="Times New Roman"/>
                <w:sz w:val="20"/>
                <w:szCs w:val="20"/>
              </w:rPr>
              <w:t>&lt;1</w:t>
            </w:r>
          </w:p>
        </w:tc>
        <w:tc>
          <w:tcPr>
            <w:tcW w:w="860" w:type="dxa"/>
            <w:tcBorders>
              <w:right w:val="single" w:sz="8" w:space="0" w:color="auto"/>
            </w:tcBorders>
            <w:vAlign w:val="bottom"/>
          </w:tcPr>
          <w:p w14:paraId="4DFF3E24" w14:textId="77777777" w:rsidR="00992061" w:rsidRDefault="00D1402E">
            <w:pPr>
              <w:jc w:val="center"/>
              <w:rPr>
                <w:sz w:val="20"/>
                <w:szCs w:val="20"/>
              </w:rPr>
            </w:pPr>
            <w:r>
              <w:rPr>
                <w:rFonts w:eastAsia="Times New Roman"/>
                <w:w w:val="99"/>
                <w:sz w:val="20"/>
                <w:szCs w:val="20"/>
              </w:rPr>
              <w:t>0</w:t>
            </w:r>
          </w:p>
        </w:tc>
        <w:tc>
          <w:tcPr>
            <w:tcW w:w="900" w:type="dxa"/>
            <w:vAlign w:val="bottom"/>
          </w:tcPr>
          <w:p w14:paraId="53FFBE19"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152CA8D1" w14:textId="77777777" w:rsidR="00992061" w:rsidRDefault="00992061">
            <w:pPr>
              <w:rPr>
                <w:sz w:val="24"/>
                <w:szCs w:val="24"/>
              </w:rPr>
            </w:pPr>
          </w:p>
        </w:tc>
        <w:tc>
          <w:tcPr>
            <w:tcW w:w="700" w:type="dxa"/>
            <w:tcBorders>
              <w:right w:val="single" w:sz="8" w:space="0" w:color="auto"/>
            </w:tcBorders>
            <w:vAlign w:val="bottom"/>
          </w:tcPr>
          <w:p w14:paraId="6D550455" w14:textId="77777777" w:rsidR="00992061" w:rsidRDefault="00D1402E">
            <w:pPr>
              <w:jc w:val="center"/>
              <w:rPr>
                <w:sz w:val="20"/>
                <w:szCs w:val="20"/>
              </w:rPr>
            </w:pPr>
            <w:r>
              <w:rPr>
                <w:rFonts w:eastAsia="Times New Roman"/>
                <w:sz w:val="20"/>
                <w:szCs w:val="20"/>
              </w:rPr>
              <w:t>-</w:t>
            </w:r>
          </w:p>
        </w:tc>
        <w:tc>
          <w:tcPr>
            <w:tcW w:w="260" w:type="dxa"/>
            <w:vAlign w:val="bottom"/>
          </w:tcPr>
          <w:p w14:paraId="719429BC" w14:textId="77777777" w:rsidR="00992061" w:rsidRDefault="00992061">
            <w:pPr>
              <w:rPr>
                <w:sz w:val="24"/>
                <w:szCs w:val="24"/>
              </w:rPr>
            </w:pPr>
          </w:p>
        </w:tc>
        <w:tc>
          <w:tcPr>
            <w:tcW w:w="600" w:type="dxa"/>
            <w:tcBorders>
              <w:right w:val="single" w:sz="8" w:space="0" w:color="auto"/>
            </w:tcBorders>
            <w:vAlign w:val="bottom"/>
          </w:tcPr>
          <w:p w14:paraId="5C12110C"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3C24EE06"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6FCC2EE6" w14:textId="77777777" w:rsidR="00992061" w:rsidRDefault="00992061">
            <w:pPr>
              <w:rPr>
                <w:sz w:val="1"/>
                <w:szCs w:val="1"/>
              </w:rPr>
            </w:pPr>
          </w:p>
        </w:tc>
      </w:tr>
      <w:tr w:rsidR="00992061" w14:paraId="56856FFD" w14:textId="77777777" w:rsidTr="00BB0FDD">
        <w:trPr>
          <w:trHeight w:val="55"/>
        </w:trPr>
        <w:tc>
          <w:tcPr>
            <w:tcW w:w="3040" w:type="dxa"/>
            <w:tcBorders>
              <w:left w:val="single" w:sz="8" w:space="0" w:color="auto"/>
              <w:bottom w:val="single" w:sz="8" w:space="0" w:color="auto"/>
              <w:right w:val="single" w:sz="8" w:space="0" w:color="auto"/>
            </w:tcBorders>
            <w:vAlign w:val="bottom"/>
          </w:tcPr>
          <w:p w14:paraId="5BA65C43" w14:textId="77777777" w:rsidR="00992061" w:rsidRDefault="00992061">
            <w:pPr>
              <w:rPr>
                <w:sz w:val="4"/>
                <w:szCs w:val="4"/>
              </w:rPr>
            </w:pPr>
          </w:p>
        </w:tc>
        <w:tc>
          <w:tcPr>
            <w:tcW w:w="840" w:type="dxa"/>
            <w:tcBorders>
              <w:bottom w:val="single" w:sz="8" w:space="0" w:color="auto"/>
            </w:tcBorders>
            <w:vAlign w:val="bottom"/>
          </w:tcPr>
          <w:p w14:paraId="182E4E4F" w14:textId="77777777" w:rsidR="00992061" w:rsidRDefault="00992061">
            <w:pPr>
              <w:rPr>
                <w:sz w:val="4"/>
                <w:szCs w:val="4"/>
              </w:rPr>
            </w:pPr>
          </w:p>
        </w:tc>
        <w:tc>
          <w:tcPr>
            <w:tcW w:w="140" w:type="dxa"/>
            <w:tcBorders>
              <w:bottom w:val="single" w:sz="8" w:space="0" w:color="auto"/>
              <w:right w:val="single" w:sz="8" w:space="0" w:color="auto"/>
            </w:tcBorders>
            <w:vAlign w:val="bottom"/>
          </w:tcPr>
          <w:p w14:paraId="437EE99E" w14:textId="77777777" w:rsidR="00992061" w:rsidRDefault="00992061">
            <w:pPr>
              <w:rPr>
                <w:sz w:val="4"/>
                <w:szCs w:val="4"/>
              </w:rPr>
            </w:pPr>
          </w:p>
        </w:tc>
        <w:tc>
          <w:tcPr>
            <w:tcW w:w="620" w:type="dxa"/>
            <w:tcBorders>
              <w:bottom w:val="single" w:sz="8" w:space="0" w:color="auto"/>
              <w:right w:val="single" w:sz="8" w:space="0" w:color="auto"/>
            </w:tcBorders>
            <w:vAlign w:val="bottom"/>
          </w:tcPr>
          <w:p w14:paraId="76D51FB9" w14:textId="77777777" w:rsidR="00992061" w:rsidRDefault="00992061">
            <w:pPr>
              <w:rPr>
                <w:sz w:val="4"/>
                <w:szCs w:val="4"/>
              </w:rPr>
            </w:pPr>
          </w:p>
        </w:tc>
        <w:tc>
          <w:tcPr>
            <w:tcW w:w="860" w:type="dxa"/>
            <w:tcBorders>
              <w:bottom w:val="single" w:sz="8" w:space="0" w:color="auto"/>
              <w:right w:val="single" w:sz="8" w:space="0" w:color="auto"/>
            </w:tcBorders>
            <w:vAlign w:val="bottom"/>
          </w:tcPr>
          <w:p w14:paraId="692EE76D" w14:textId="77777777" w:rsidR="00992061" w:rsidRDefault="00992061">
            <w:pPr>
              <w:rPr>
                <w:sz w:val="4"/>
                <w:szCs w:val="4"/>
              </w:rPr>
            </w:pPr>
          </w:p>
        </w:tc>
        <w:tc>
          <w:tcPr>
            <w:tcW w:w="900" w:type="dxa"/>
            <w:tcBorders>
              <w:bottom w:val="single" w:sz="8" w:space="0" w:color="auto"/>
            </w:tcBorders>
            <w:vAlign w:val="bottom"/>
          </w:tcPr>
          <w:p w14:paraId="47713E1A" w14:textId="77777777" w:rsidR="00992061" w:rsidRDefault="00992061">
            <w:pPr>
              <w:rPr>
                <w:sz w:val="4"/>
                <w:szCs w:val="4"/>
              </w:rPr>
            </w:pPr>
          </w:p>
        </w:tc>
        <w:tc>
          <w:tcPr>
            <w:tcW w:w="140" w:type="dxa"/>
            <w:tcBorders>
              <w:bottom w:val="single" w:sz="8" w:space="0" w:color="auto"/>
              <w:right w:val="single" w:sz="8" w:space="0" w:color="auto"/>
            </w:tcBorders>
            <w:vAlign w:val="bottom"/>
          </w:tcPr>
          <w:p w14:paraId="5E684ECC" w14:textId="77777777" w:rsidR="00992061" w:rsidRDefault="00992061">
            <w:pPr>
              <w:rPr>
                <w:sz w:val="4"/>
                <w:szCs w:val="4"/>
              </w:rPr>
            </w:pPr>
          </w:p>
        </w:tc>
        <w:tc>
          <w:tcPr>
            <w:tcW w:w="700" w:type="dxa"/>
            <w:tcBorders>
              <w:bottom w:val="single" w:sz="8" w:space="0" w:color="auto"/>
              <w:right w:val="single" w:sz="8" w:space="0" w:color="auto"/>
            </w:tcBorders>
            <w:vAlign w:val="bottom"/>
          </w:tcPr>
          <w:p w14:paraId="62A3E2C4" w14:textId="77777777" w:rsidR="00992061" w:rsidRDefault="00992061">
            <w:pPr>
              <w:rPr>
                <w:sz w:val="4"/>
                <w:szCs w:val="4"/>
              </w:rPr>
            </w:pPr>
          </w:p>
        </w:tc>
        <w:tc>
          <w:tcPr>
            <w:tcW w:w="260" w:type="dxa"/>
            <w:tcBorders>
              <w:bottom w:val="single" w:sz="8" w:space="0" w:color="auto"/>
            </w:tcBorders>
            <w:vAlign w:val="bottom"/>
          </w:tcPr>
          <w:p w14:paraId="443F604E" w14:textId="77777777" w:rsidR="00992061" w:rsidRDefault="00992061">
            <w:pPr>
              <w:rPr>
                <w:sz w:val="4"/>
                <w:szCs w:val="4"/>
              </w:rPr>
            </w:pPr>
          </w:p>
        </w:tc>
        <w:tc>
          <w:tcPr>
            <w:tcW w:w="600" w:type="dxa"/>
            <w:tcBorders>
              <w:bottom w:val="single" w:sz="8" w:space="0" w:color="auto"/>
              <w:right w:val="single" w:sz="8" w:space="0" w:color="auto"/>
            </w:tcBorders>
            <w:vAlign w:val="bottom"/>
          </w:tcPr>
          <w:p w14:paraId="4E5E67C7" w14:textId="77777777" w:rsidR="00992061" w:rsidRDefault="00992061">
            <w:pPr>
              <w:rPr>
                <w:sz w:val="4"/>
                <w:szCs w:val="4"/>
              </w:rPr>
            </w:pPr>
          </w:p>
        </w:tc>
        <w:tc>
          <w:tcPr>
            <w:tcW w:w="1580" w:type="dxa"/>
            <w:tcBorders>
              <w:bottom w:val="single" w:sz="8" w:space="0" w:color="auto"/>
              <w:right w:val="single" w:sz="8" w:space="0" w:color="auto"/>
            </w:tcBorders>
            <w:vAlign w:val="bottom"/>
          </w:tcPr>
          <w:p w14:paraId="16C01629" w14:textId="77777777" w:rsidR="00992061" w:rsidRDefault="00992061">
            <w:pPr>
              <w:rPr>
                <w:sz w:val="4"/>
                <w:szCs w:val="4"/>
              </w:rPr>
            </w:pPr>
          </w:p>
        </w:tc>
        <w:tc>
          <w:tcPr>
            <w:tcW w:w="30" w:type="dxa"/>
            <w:vAlign w:val="bottom"/>
          </w:tcPr>
          <w:p w14:paraId="621EE6B4" w14:textId="77777777" w:rsidR="00992061" w:rsidRDefault="00992061">
            <w:pPr>
              <w:rPr>
                <w:sz w:val="1"/>
                <w:szCs w:val="1"/>
              </w:rPr>
            </w:pPr>
          </w:p>
        </w:tc>
      </w:tr>
      <w:tr w:rsidR="00992061" w14:paraId="5D60B809" w14:textId="77777777" w:rsidTr="00BB0FDD">
        <w:trPr>
          <w:trHeight w:val="290"/>
        </w:trPr>
        <w:tc>
          <w:tcPr>
            <w:tcW w:w="3040" w:type="dxa"/>
            <w:tcBorders>
              <w:left w:val="single" w:sz="8" w:space="0" w:color="auto"/>
              <w:right w:val="single" w:sz="8" w:space="0" w:color="auto"/>
            </w:tcBorders>
            <w:vAlign w:val="bottom"/>
          </w:tcPr>
          <w:p w14:paraId="58262CA1" w14:textId="77777777" w:rsidR="00992061" w:rsidRDefault="00D1402E">
            <w:pPr>
              <w:ind w:left="80"/>
              <w:rPr>
                <w:sz w:val="20"/>
                <w:szCs w:val="20"/>
              </w:rPr>
            </w:pPr>
            <w:r>
              <w:rPr>
                <w:rFonts w:eastAsia="Times New Roman"/>
                <w:i/>
                <w:iCs/>
                <w:sz w:val="20"/>
                <w:szCs w:val="20"/>
              </w:rPr>
              <w:t>Психични нарушения</w:t>
            </w:r>
          </w:p>
        </w:tc>
        <w:tc>
          <w:tcPr>
            <w:tcW w:w="840" w:type="dxa"/>
            <w:vAlign w:val="bottom"/>
          </w:tcPr>
          <w:p w14:paraId="4B8AEFA9" w14:textId="77777777" w:rsidR="00992061" w:rsidRDefault="00992061">
            <w:pPr>
              <w:rPr>
                <w:sz w:val="24"/>
                <w:szCs w:val="24"/>
              </w:rPr>
            </w:pPr>
          </w:p>
        </w:tc>
        <w:tc>
          <w:tcPr>
            <w:tcW w:w="140" w:type="dxa"/>
            <w:tcBorders>
              <w:right w:val="single" w:sz="8" w:space="0" w:color="auto"/>
            </w:tcBorders>
            <w:vAlign w:val="bottom"/>
          </w:tcPr>
          <w:p w14:paraId="2C18F1B3" w14:textId="77777777" w:rsidR="00992061" w:rsidRDefault="00992061">
            <w:pPr>
              <w:rPr>
                <w:sz w:val="24"/>
                <w:szCs w:val="24"/>
              </w:rPr>
            </w:pPr>
          </w:p>
        </w:tc>
        <w:tc>
          <w:tcPr>
            <w:tcW w:w="620" w:type="dxa"/>
            <w:tcBorders>
              <w:right w:val="single" w:sz="8" w:space="0" w:color="auto"/>
            </w:tcBorders>
            <w:vAlign w:val="bottom"/>
          </w:tcPr>
          <w:p w14:paraId="53FD288F" w14:textId="77777777" w:rsidR="00992061" w:rsidRDefault="00992061">
            <w:pPr>
              <w:rPr>
                <w:sz w:val="24"/>
                <w:szCs w:val="24"/>
              </w:rPr>
            </w:pPr>
          </w:p>
        </w:tc>
        <w:tc>
          <w:tcPr>
            <w:tcW w:w="860" w:type="dxa"/>
            <w:tcBorders>
              <w:right w:val="single" w:sz="8" w:space="0" w:color="auto"/>
            </w:tcBorders>
            <w:vAlign w:val="bottom"/>
          </w:tcPr>
          <w:p w14:paraId="3209C932" w14:textId="77777777" w:rsidR="00992061" w:rsidRDefault="00992061">
            <w:pPr>
              <w:rPr>
                <w:sz w:val="24"/>
                <w:szCs w:val="24"/>
              </w:rPr>
            </w:pPr>
          </w:p>
        </w:tc>
        <w:tc>
          <w:tcPr>
            <w:tcW w:w="900" w:type="dxa"/>
            <w:vAlign w:val="bottom"/>
          </w:tcPr>
          <w:p w14:paraId="3C785570" w14:textId="77777777" w:rsidR="00992061" w:rsidRDefault="00992061">
            <w:pPr>
              <w:rPr>
                <w:sz w:val="24"/>
                <w:szCs w:val="24"/>
              </w:rPr>
            </w:pPr>
          </w:p>
        </w:tc>
        <w:tc>
          <w:tcPr>
            <w:tcW w:w="140" w:type="dxa"/>
            <w:tcBorders>
              <w:right w:val="single" w:sz="8" w:space="0" w:color="auto"/>
            </w:tcBorders>
            <w:vAlign w:val="bottom"/>
          </w:tcPr>
          <w:p w14:paraId="6F726E18" w14:textId="77777777" w:rsidR="00992061" w:rsidRDefault="00992061">
            <w:pPr>
              <w:rPr>
                <w:sz w:val="24"/>
                <w:szCs w:val="24"/>
              </w:rPr>
            </w:pPr>
          </w:p>
        </w:tc>
        <w:tc>
          <w:tcPr>
            <w:tcW w:w="700" w:type="dxa"/>
            <w:tcBorders>
              <w:right w:val="single" w:sz="8" w:space="0" w:color="auto"/>
            </w:tcBorders>
            <w:vAlign w:val="bottom"/>
          </w:tcPr>
          <w:p w14:paraId="13F688B4" w14:textId="77777777" w:rsidR="00992061" w:rsidRDefault="00992061">
            <w:pPr>
              <w:rPr>
                <w:sz w:val="24"/>
                <w:szCs w:val="24"/>
              </w:rPr>
            </w:pPr>
          </w:p>
        </w:tc>
        <w:tc>
          <w:tcPr>
            <w:tcW w:w="260" w:type="dxa"/>
            <w:vAlign w:val="bottom"/>
          </w:tcPr>
          <w:p w14:paraId="73E73023" w14:textId="77777777" w:rsidR="00992061" w:rsidRDefault="00992061">
            <w:pPr>
              <w:rPr>
                <w:sz w:val="24"/>
                <w:szCs w:val="24"/>
              </w:rPr>
            </w:pPr>
          </w:p>
        </w:tc>
        <w:tc>
          <w:tcPr>
            <w:tcW w:w="600" w:type="dxa"/>
            <w:tcBorders>
              <w:right w:val="single" w:sz="8" w:space="0" w:color="auto"/>
            </w:tcBorders>
            <w:vAlign w:val="bottom"/>
          </w:tcPr>
          <w:p w14:paraId="072EAB40" w14:textId="77777777" w:rsidR="00992061" w:rsidRDefault="00992061">
            <w:pPr>
              <w:rPr>
                <w:sz w:val="24"/>
                <w:szCs w:val="24"/>
              </w:rPr>
            </w:pPr>
          </w:p>
        </w:tc>
        <w:tc>
          <w:tcPr>
            <w:tcW w:w="1580" w:type="dxa"/>
            <w:tcBorders>
              <w:right w:val="single" w:sz="8" w:space="0" w:color="auto"/>
            </w:tcBorders>
            <w:vAlign w:val="bottom"/>
          </w:tcPr>
          <w:p w14:paraId="246C6588" w14:textId="77777777" w:rsidR="00992061" w:rsidRDefault="00992061">
            <w:pPr>
              <w:rPr>
                <w:sz w:val="24"/>
                <w:szCs w:val="24"/>
              </w:rPr>
            </w:pPr>
          </w:p>
        </w:tc>
        <w:tc>
          <w:tcPr>
            <w:tcW w:w="30" w:type="dxa"/>
            <w:vAlign w:val="bottom"/>
          </w:tcPr>
          <w:p w14:paraId="6D7FDD7B" w14:textId="77777777" w:rsidR="00992061" w:rsidRDefault="00992061">
            <w:pPr>
              <w:rPr>
                <w:sz w:val="1"/>
                <w:szCs w:val="1"/>
              </w:rPr>
            </w:pPr>
          </w:p>
        </w:tc>
      </w:tr>
      <w:tr w:rsidR="00992061" w14:paraId="7C94A9D4" w14:textId="77777777" w:rsidTr="00BB0FDD">
        <w:trPr>
          <w:trHeight w:val="288"/>
        </w:trPr>
        <w:tc>
          <w:tcPr>
            <w:tcW w:w="3040" w:type="dxa"/>
            <w:tcBorders>
              <w:left w:val="single" w:sz="8" w:space="0" w:color="auto"/>
              <w:right w:val="single" w:sz="8" w:space="0" w:color="auto"/>
            </w:tcBorders>
            <w:vAlign w:val="bottom"/>
          </w:tcPr>
          <w:p w14:paraId="628110F4" w14:textId="77777777" w:rsidR="00992061" w:rsidRDefault="00D1402E">
            <w:pPr>
              <w:ind w:left="320"/>
              <w:rPr>
                <w:sz w:val="20"/>
                <w:szCs w:val="20"/>
              </w:rPr>
            </w:pPr>
            <w:r>
              <w:rPr>
                <w:rFonts w:eastAsia="Times New Roman"/>
                <w:sz w:val="20"/>
                <w:szCs w:val="20"/>
              </w:rPr>
              <w:t>Депресия</w:t>
            </w:r>
          </w:p>
        </w:tc>
        <w:tc>
          <w:tcPr>
            <w:tcW w:w="840" w:type="dxa"/>
            <w:vAlign w:val="bottom"/>
          </w:tcPr>
          <w:p w14:paraId="0C7438C3"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61B23554" w14:textId="77777777" w:rsidR="00992061" w:rsidRDefault="00992061">
            <w:pPr>
              <w:rPr>
                <w:sz w:val="24"/>
                <w:szCs w:val="24"/>
              </w:rPr>
            </w:pPr>
          </w:p>
        </w:tc>
        <w:tc>
          <w:tcPr>
            <w:tcW w:w="620" w:type="dxa"/>
            <w:tcBorders>
              <w:right w:val="single" w:sz="8" w:space="0" w:color="auto"/>
            </w:tcBorders>
            <w:vAlign w:val="bottom"/>
          </w:tcPr>
          <w:p w14:paraId="0CB4C2F7" w14:textId="77777777" w:rsidR="00992061" w:rsidRDefault="00D1402E">
            <w:pPr>
              <w:jc w:val="center"/>
              <w:rPr>
                <w:sz w:val="20"/>
                <w:szCs w:val="20"/>
              </w:rPr>
            </w:pPr>
            <w:r>
              <w:rPr>
                <w:rFonts w:eastAsia="Times New Roman"/>
                <w:w w:val="89"/>
                <w:sz w:val="20"/>
                <w:szCs w:val="20"/>
              </w:rPr>
              <w:t>-</w:t>
            </w:r>
          </w:p>
        </w:tc>
        <w:tc>
          <w:tcPr>
            <w:tcW w:w="860" w:type="dxa"/>
            <w:tcBorders>
              <w:right w:val="single" w:sz="8" w:space="0" w:color="auto"/>
            </w:tcBorders>
            <w:vAlign w:val="bottom"/>
          </w:tcPr>
          <w:p w14:paraId="0DA84358" w14:textId="77777777" w:rsidR="00992061" w:rsidRDefault="00D1402E">
            <w:pPr>
              <w:jc w:val="center"/>
              <w:rPr>
                <w:sz w:val="20"/>
                <w:szCs w:val="20"/>
              </w:rPr>
            </w:pPr>
            <w:r>
              <w:rPr>
                <w:rFonts w:eastAsia="Times New Roman"/>
                <w:sz w:val="20"/>
                <w:szCs w:val="20"/>
              </w:rPr>
              <w:t>-</w:t>
            </w:r>
          </w:p>
        </w:tc>
        <w:tc>
          <w:tcPr>
            <w:tcW w:w="900" w:type="dxa"/>
            <w:vAlign w:val="bottom"/>
          </w:tcPr>
          <w:p w14:paraId="0B2C30A2" w14:textId="77777777" w:rsidR="00992061" w:rsidRDefault="00D1402E">
            <w:pPr>
              <w:jc w:val="center"/>
              <w:rPr>
                <w:sz w:val="20"/>
                <w:szCs w:val="20"/>
              </w:rPr>
            </w:pPr>
            <w:r>
              <w:rPr>
                <w:rFonts w:eastAsia="Times New Roman"/>
                <w:w w:val="99"/>
                <w:sz w:val="20"/>
                <w:szCs w:val="20"/>
              </w:rPr>
              <w:t>19</w:t>
            </w:r>
          </w:p>
        </w:tc>
        <w:tc>
          <w:tcPr>
            <w:tcW w:w="140" w:type="dxa"/>
            <w:tcBorders>
              <w:right w:val="single" w:sz="8" w:space="0" w:color="auto"/>
            </w:tcBorders>
            <w:vAlign w:val="bottom"/>
          </w:tcPr>
          <w:p w14:paraId="39526A07" w14:textId="77777777" w:rsidR="00992061" w:rsidRDefault="00992061">
            <w:pPr>
              <w:rPr>
                <w:sz w:val="24"/>
                <w:szCs w:val="24"/>
              </w:rPr>
            </w:pPr>
          </w:p>
        </w:tc>
        <w:tc>
          <w:tcPr>
            <w:tcW w:w="700" w:type="dxa"/>
            <w:tcBorders>
              <w:right w:val="single" w:sz="8" w:space="0" w:color="auto"/>
            </w:tcBorders>
            <w:vAlign w:val="bottom"/>
          </w:tcPr>
          <w:p w14:paraId="29BA6AB5" w14:textId="77777777" w:rsidR="00992061" w:rsidRDefault="00D1402E">
            <w:pPr>
              <w:jc w:val="center"/>
              <w:rPr>
                <w:sz w:val="20"/>
                <w:szCs w:val="20"/>
              </w:rPr>
            </w:pPr>
            <w:r>
              <w:rPr>
                <w:rFonts w:eastAsia="Times New Roman"/>
                <w:w w:val="99"/>
                <w:sz w:val="20"/>
                <w:szCs w:val="20"/>
              </w:rPr>
              <w:t>2</w:t>
            </w:r>
          </w:p>
        </w:tc>
        <w:tc>
          <w:tcPr>
            <w:tcW w:w="260" w:type="dxa"/>
            <w:vAlign w:val="bottom"/>
          </w:tcPr>
          <w:p w14:paraId="6F9C6543" w14:textId="77777777" w:rsidR="00992061" w:rsidRDefault="00992061">
            <w:pPr>
              <w:rPr>
                <w:sz w:val="24"/>
                <w:szCs w:val="24"/>
              </w:rPr>
            </w:pPr>
          </w:p>
        </w:tc>
        <w:tc>
          <w:tcPr>
            <w:tcW w:w="600" w:type="dxa"/>
            <w:tcBorders>
              <w:right w:val="single" w:sz="8" w:space="0" w:color="auto"/>
            </w:tcBorders>
            <w:vAlign w:val="bottom"/>
          </w:tcPr>
          <w:p w14:paraId="5DE5AE6E"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4F618BCD"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6C3D0924" w14:textId="77777777" w:rsidR="00992061" w:rsidRDefault="00992061">
            <w:pPr>
              <w:rPr>
                <w:sz w:val="1"/>
                <w:szCs w:val="1"/>
              </w:rPr>
            </w:pPr>
          </w:p>
        </w:tc>
      </w:tr>
      <w:tr w:rsidR="00992061" w14:paraId="32D1786A" w14:textId="77777777" w:rsidTr="00BB0FDD">
        <w:trPr>
          <w:trHeight w:val="50"/>
        </w:trPr>
        <w:tc>
          <w:tcPr>
            <w:tcW w:w="3040" w:type="dxa"/>
            <w:tcBorders>
              <w:left w:val="single" w:sz="8" w:space="0" w:color="auto"/>
              <w:bottom w:val="single" w:sz="8" w:space="0" w:color="auto"/>
              <w:right w:val="single" w:sz="8" w:space="0" w:color="auto"/>
            </w:tcBorders>
            <w:vAlign w:val="bottom"/>
          </w:tcPr>
          <w:p w14:paraId="6E441EAD" w14:textId="77777777" w:rsidR="00992061" w:rsidRDefault="00992061">
            <w:pPr>
              <w:rPr>
                <w:sz w:val="4"/>
                <w:szCs w:val="4"/>
              </w:rPr>
            </w:pPr>
          </w:p>
        </w:tc>
        <w:tc>
          <w:tcPr>
            <w:tcW w:w="840" w:type="dxa"/>
            <w:tcBorders>
              <w:bottom w:val="single" w:sz="8" w:space="0" w:color="auto"/>
            </w:tcBorders>
            <w:vAlign w:val="bottom"/>
          </w:tcPr>
          <w:p w14:paraId="4659CC02" w14:textId="77777777" w:rsidR="00992061" w:rsidRDefault="00992061">
            <w:pPr>
              <w:rPr>
                <w:sz w:val="4"/>
                <w:szCs w:val="4"/>
              </w:rPr>
            </w:pPr>
          </w:p>
        </w:tc>
        <w:tc>
          <w:tcPr>
            <w:tcW w:w="140" w:type="dxa"/>
            <w:tcBorders>
              <w:bottom w:val="single" w:sz="8" w:space="0" w:color="auto"/>
              <w:right w:val="single" w:sz="8" w:space="0" w:color="auto"/>
            </w:tcBorders>
            <w:vAlign w:val="bottom"/>
          </w:tcPr>
          <w:p w14:paraId="7DF4379F" w14:textId="77777777" w:rsidR="00992061" w:rsidRDefault="00992061">
            <w:pPr>
              <w:rPr>
                <w:sz w:val="4"/>
                <w:szCs w:val="4"/>
              </w:rPr>
            </w:pPr>
          </w:p>
        </w:tc>
        <w:tc>
          <w:tcPr>
            <w:tcW w:w="620" w:type="dxa"/>
            <w:tcBorders>
              <w:bottom w:val="single" w:sz="8" w:space="0" w:color="auto"/>
              <w:right w:val="single" w:sz="8" w:space="0" w:color="auto"/>
            </w:tcBorders>
            <w:vAlign w:val="bottom"/>
          </w:tcPr>
          <w:p w14:paraId="1D06D93B" w14:textId="77777777" w:rsidR="00992061" w:rsidRDefault="00992061">
            <w:pPr>
              <w:rPr>
                <w:sz w:val="4"/>
                <w:szCs w:val="4"/>
              </w:rPr>
            </w:pPr>
          </w:p>
        </w:tc>
        <w:tc>
          <w:tcPr>
            <w:tcW w:w="860" w:type="dxa"/>
            <w:tcBorders>
              <w:bottom w:val="single" w:sz="8" w:space="0" w:color="auto"/>
              <w:right w:val="single" w:sz="8" w:space="0" w:color="auto"/>
            </w:tcBorders>
            <w:vAlign w:val="bottom"/>
          </w:tcPr>
          <w:p w14:paraId="2AC879B0" w14:textId="77777777" w:rsidR="00992061" w:rsidRDefault="00992061">
            <w:pPr>
              <w:rPr>
                <w:sz w:val="4"/>
                <w:szCs w:val="4"/>
              </w:rPr>
            </w:pPr>
          </w:p>
        </w:tc>
        <w:tc>
          <w:tcPr>
            <w:tcW w:w="900" w:type="dxa"/>
            <w:tcBorders>
              <w:bottom w:val="single" w:sz="8" w:space="0" w:color="auto"/>
            </w:tcBorders>
            <w:vAlign w:val="bottom"/>
          </w:tcPr>
          <w:p w14:paraId="67F112D3" w14:textId="77777777" w:rsidR="00992061" w:rsidRDefault="00992061">
            <w:pPr>
              <w:rPr>
                <w:sz w:val="4"/>
                <w:szCs w:val="4"/>
              </w:rPr>
            </w:pPr>
          </w:p>
        </w:tc>
        <w:tc>
          <w:tcPr>
            <w:tcW w:w="140" w:type="dxa"/>
            <w:tcBorders>
              <w:bottom w:val="single" w:sz="8" w:space="0" w:color="auto"/>
              <w:right w:val="single" w:sz="8" w:space="0" w:color="auto"/>
            </w:tcBorders>
            <w:vAlign w:val="bottom"/>
          </w:tcPr>
          <w:p w14:paraId="266C2A35" w14:textId="77777777" w:rsidR="00992061" w:rsidRDefault="00992061">
            <w:pPr>
              <w:rPr>
                <w:sz w:val="4"/>
                <w:szCs w:val="4"/>
              </w:rPr>
            </w:pPr>
          </w:p>
        </w:tc>
        <w:tc>
          <w:tcPr>
            <w:tcW w:w="700" w:type="dxa"/>
            <w:tcBorders>
              <w:bottom w:val="single" w:sz="8" w:space="0" w:color="auto"/>
              <w:right w:val="single" w:sz="8" w:space="0" w:color="auto"/>
            </w:tcBorders>
            <w:vAlign w:val="bottom"/>
          </w:tcPr>
          <w:p w14:paraId="1E9BE8E8" w14:textId="77777777" w:rsidR="00992061" w:rsidRDefault="00992061">
            <w:pPr>
              <w:rPr>
                <w:sz w:val="4"/>
                <w:szCs w:val="4"/>
              </w:rPr>
            </w:pPr>
          </w:p>
        </w:tc>
        <w:tc>
          <w:tcPr>
            <w:tcW w:w="260" w:type="dxa"/>
            <w:tcBorders>
              <w:bottom w:val="single" w:sz="8" w:space="0" w:color="auto"/>
            </w:tcBorders>
            <w:vAlign w:val="bottom"/>
          </w:tcPr>
          <w:p w14:paraId="5E42C1DA" w14:textId="77777777" w:rsidR="00992061" w:rsidRDefault="00992061">
            <w:pPr>
              <w:rPr>
                <w:sz w:val="4"/>
                <w:szCs w:val="4"/>
              </w:rPr>
            </w:pPr>
          </w:p>
        </w:tc>
        <w:tc>
          <w:tcPr>
            <w:tcW w:w="600" w:type="dxa"/>
            <w:tcBorders>
              <w:bottom w:val="single" w:sz="8" w:space="0" w:color="auto"/>
              <w:right w:val="single" w:sz="8" w:space="0" w:color="auto"/>
            </w:tcBorders>
            <w:vAlign w:val="bottom"/>
          </w:tcPr>
          <w:p w14:paraId="4213C387" w14:textId="77777777" w:rsidR="00992061" w:rsidRDefault="00992061">
            <w:pPr>
              <w:rPr>
                <w:sz w:val="4"/>
                <w:szCs w:val="4"/>
              </w:rPr>
            </w:pPr>
          </w:p>
        </w:tc>
        <w:tc>
          <w:tcPr>
            <w:tcW w:w="1580" w:type="dxa"/>
            <w:tcBorders>
              <w:bottom w:val="single" w:sz="8" w:space="0" w:color="auto"/>
              <w:right w:val="single" w:sz="8" w:space="0" w:color="auto"/>
            </w:tcBorders>
            <w:vAlign w:val="bottom"/>
          </w:tcPr>
          <w:p w14:paraId="0B40EB23" w14:textId="77777777" w:rsidR="00992061" w:rsidRDefault="00992061">
            <w:pPr>
              <w:rPr>
                <w:sz w:val="4"/>
                <w:szCs w:val="4"/>
              </w:rPr>
            </w:pPr>
          </w:p>
        </w:tc>
        <w:tc>
          <w:tcPr>
            <w:tcW w:w="30" w:type="dxa"/>
            <w:vAlign w:val="bottom"/>
          </w:tcPr>
          <w:p w14:paraId="54895011" w14:textId="77777777" w:rsidR="00992061" w:rsidRDefault="00992061">
            <w:pPr>
              <w:rPr>
                <w:sz w:val="1"/>
                <w:szCs w:val="1"/>
              </w:rPr>
            </w:pPr>
          </w:p>
        </w:tc>
      </w:tr>
      <w:tr w:rsidR="00992061" w14:paraId="2AE6D321" w14:textId="77777777" w:rsidTr="00BB0FDD">
        <w:trPr>
          <w:trHeight w:val="311"/>
        </w:trPr>
        <w:tc>
          <w:tcPr>
            <w:tcW w:w="3040" w:type="dxa"/>
            <w:tcBorders>
              <w:left w:val="single" w:sz="8" w:space="0" w:color="auto"/>
              <w:right w:val="single" w:sz="8" w:space="0" w:color="auto"/>
            </w:tcBorders>
            <w:vAlign w:val="bottom"/>
          </w:tcPr>
          <w:p w14:paraId="290544FD" w14:textId="77777777" w:rsidR="00992061" w:rsidRDefault="00D1402E">
            <w:pPr>
              <w:ind w:left="80"/>
              <w:rPr>
                <w:sz w:val="20"/>
                <w:szCs w:val="20"/>
              </w:rPr>
            </w:pPr>
            <w:r>
              <w:rPr>
                <w:rFonts w:eastAsia="Times New Roman"/>
                <w:i/>
                <w:iCs/>
                <w:sz w:val="20"/>
                <w:szCs w:val="20"/>
              </w:rPr>
              <w:t>Нарушения на нервната</w:t>
            </w:r>
          </w:p>
        </w:tc>
        <w:tc>
          <w:tcPr>
            <w:tcW w:w="840" w:type="dxa"/>
            <w:vAlign w:val="bottom"/>
          </w:tcPr>
          <w:p w14:paraId="4A346684" w14:textId="77777777" w:rsidR="00992061" w:rsidRDefault="00992061">
            <w:pPr>
              <w:rPr>
                <w:sz w:val="24"/>
                <w:szCs w:val="24"/>
              </w:rPr>
            </w:pPr>
          </w:p>
        </w:tc>
        <w:tc>
          <w:tcPr>
            <w:tcW w:w="140" w:type="dxa"/>
            <w:tcBorders>
              <w:right w:val="single" w:sz="8" w:space="0" w:color="auto"/>
            </w:tcBorders>
            <w:vAlign w:val="bottom"/>
          </w:tcPr>
          <w:p w14:paraId="574DB02A" w14:textId="77777777" w:rsidR="00992061" w:rsidRDefault="00992061">
            <w:pPr>
              <w:rPr>
                <w:sz w:val="24"/>
                <w:szCs w:val="24"/>
              </w:rPr>
            </w:pPr>
          </w:p>
        </w:tc>
        <w:tc>
          <w:tcPr>
            <w:tcW w:w="620" w:type="dxa"/>
            <w:tcBorders>
              <w:right w:val="single" w:sz="8" w:space="0" w:color="auto"/>
            </w:tcBorders>
            <w:vAlign w:val="bottom"/>
          </w:tcPr>
          <w:p w14:paraId="5A6C2FC5" w14:textId="77777777" w:rsidR="00992061" w:rsidRDefault="00992061">
            <w:pPr>
              <w:rPr>
                <w:sz w:val="24"/>
                <w:szCs w:val="24"/>
              </w:rPr>
            </w:pPr>
          </w:p>
        </w:tc>
        <w:tc>
          <w:tcPr>
            <w:tcW w:w="860" w:type="dxa"/>
            <w:tcBorders>
              <w:right w:val="single" w:sz="8" w:space="0" w:color="auto"/>
            </w:tcBorders>
            <w:vAlign w:val="bottom"/>
          </w:tcPr>
          <w:p w14:paraId="037183B8" w14:textId="77777777" w:rsidR="00992061" w:rsidRDefault="00992061">
            <w:pPr>
              <w:rPr>
                <w:sz w:val="24"/>
                <w:szCs w:val="24"/>
              </w:rPr>
            </w:pPr>
          </w:p>
        </w:tc>
        <w:tc>
          <w:tcPr>
            <w:tcW w:w="900" w:type="dxa"/>
            <w:vAlign w:val="bottom"/>
          </w:tcPr>
          <w:p w14:paraId="34D6D394" w14:textId="77777777" w:rsidR="00992061" w:rsidRDefault="00992061">
            <w:pPr>
              <w:rPr>
                <w:sz w:val="24"/>
                <w:szCs w:val="24"/>
              </w:rPr>
            </w:pPr>
          </w:p>
        </w:tc>
        <w:tc>
          <w:tcPr>
            <w:tcW w:w="140" w:type="dxa"/>
            <w:tcBorders>
              <w:right w:val="single" w:sz="8" w:space="0" w:color="auto"/>
            </w:tcBorders>
            <w:vAlign w:val="bottom"/>
          </w:tcPr>
          <w:p w14:paraId="307FB546" w14:textId="77777777" w:rsidR="00992061" w:rsidRDefault="00992061">
            <w:pPr>
              <w:rPr>
                <w:sz w:val="24"/>
                <w:szCs w:val="24"/>
              </w:rPr>
            </w:pPr>
          </w:p>
        </w:tc>
        <w:tc>
          <w:tcPr>
            <w:tcW w:w="700" w:type="dxa"/>
            <w:tcBorders>
              <w:right w:val="single" w:sz="8" w:space="0" w:color="auto"/>
            </w:tcBorders>
            <w:vAlign w:val="bottom"/>
          </w:tcPr>
          <w:p w14:paraId="2E5A1679" w14:textId="77777777" w:rsidR="00992061" w:rsidRDefault="00992061">
            <w:pPr>
              <w:rPr>
                <w:sz w:val="24"/>
                <w:szCs w:val="24"/>
              </w:rPr>
            </w:pPr>
          </w:p>
        </w:tc>
        <w:tc>
          <w:tcPr>
            <w:tcW w:w="260" w:type="dxa"/>
            <w:vAlign w:val="bottom"/>
          </w:tcPr>
          <w:p w14:paraId="511CE3D7" w14:textId="77777777" w:rsidR="00992061" w:rsidRDefault="00992061">
            <w:pPr>
              <w:rPr>
                <w:sz w:val="24"/>
                <w:szCs w:val="24"/>
              </w:rPr>
            </w:pPr>
          </w:p>
        </w:tc>
        <w:tc>
          <w:tcPr>
            <w:tcW w:w="600" w:type="dxa"/>
            <w:tcBorders>
              <w:right w:val="single" w:sz="8" w:space="0" w:color="auto"/>
            </w:tcBorders>
            <w:vAlign w:val="bottom"/>
          </w:tcPr>
          <w:p w14:paraId="5C5D9EAC" w14:textId="77777777" w:rsidR="00992061" w:rsidRDefault="00992061">
            <w:pPr>
              <w:rPr>
                <w:sz w:val="24"/>
                <w:szCs w:val="24"/>
              </w:rPr>
            </w:pPr>
          </w:p>
        </w:tc>
        <w:tc>
          <w:tcPr>
            <w:tcW w:w="1580" w:type="dxa"/>
            <w:tcBorders>
              <w:right w:val="single" w:sz="8" w:space="0" w:color="auto"/>
            </w:tcBorders>
            <w:vAlign w:val="bottom"/>
          </w:tcPr>
          <w:p w14:paraId="0E9D1816" w14:textId="77777777" w:rsidR="00992061" w:rsidRDefault="00992061">
            <w:pPr>
              <w:rPr>
                <w:sz w:val="24"/>
                <w:szCs w:val="24"/>
              </w:rPr>
            </w:pPr>
          </w:p>
        </w:tc>
        <w:tc>
          <w:tcPr>
            <w:tcW w:w="30" w:type="dxa"/>
            <w:vAlign w:val="bottom"/>
          </w:tcPr>
          <w:p w14:paraId="3BB1B12D" w14:textId="77777777" w:rsidR="00992061" w:rsidRDefault="00992061">
            <w:pPr>
              <w:rPr>
                <w:sz w:val="1"/>
                <w:szCs w:val="1"/>
              </w:rPr>
            </w:pPr>
          </w:p>
        </w:tc>
      </w:tr>
      <w:tr w:rsidR="00992061" w14:paraId="56CCE1ED" w14:textId="77777777" w:rsidTr="00BB0FDD">
        <w:trPr>
          <w:trHeight w:val="266"/>
        </w:trPr>
        <w:tc>
          <w:tcPr>
            <w:tcW w:w="3040" w:type="dxa"/>
            <w:tcBorders>
              <w:left w:val="single" w:sz="8" w:space="0" w:color="auto"/>
              <w:right w:val="single" w:sz="8" w:space="0" w:color="auto"/>
            </w:tcBorders>
            <w:vAlign w:val="bottom"/>
          </w:tcPr>
          <w:p w14:paraId="743E7346" w14:textId="77777777" w:rsidR="00992061" w:rsidRDefault="00D1402E">
            <w:pPr>
              <w:ind w:left="80"/>
              <w:rPr>
                <w:sz w:val="20"/>
                <w:szCs w:val="20"/>
              </w:rPr>
            </w:pPr>
            <w:r>
              <w:rPr>
                <w:rFonts w:eastAsia="Times New Roman"/>
                <w:i/>
                <w:iCs/>
                <w:sz w:val="20"/>
                <w:szCs w:val="20"/>
              </w:rPr>
              <w:t>система</w:t>
            </w:r>
          </w:p>
        </w:tc>
        <w:tc>
          <w:tcPr>
            <w:tcW w:w="840" w:type="dxa"/>
            <w:vAlign w:val="bottom"/>
          </w:tcPr>
          <w:p w14:paraId="1AD93FEA" w14:textId="77777777" w:rsidR="00992061" w:rsidRDefault="00992061">
            <w:pPr>
              <w:rPr>
                <w:sz w:val="23"/>
                <w:szCs w:val="23"/>
              </w:rPr>
            </w:pPr>
          </w:p>
        </w:tc>
        <w:tc>
          <w:tcPr>
            <w:tcW w:w="140" w:type="dxa"/>
            <w:tcBorders>
              <w:right w:val="single" w:sz="8" w:space="0" w:color="auto"/>
            </w:tcBorders>
            <w:vAlign w:val="bottom"/>
          </w:tcPr>
          <w:p w14:paraId="1B75B4AC" w14:textId="77777777" w:rsidR="00992061" w:rsidRDefault="00992061">
            <w:pPr>
              <w:rPr>
                <w:sz w:val="23"/>
                <w:szCs w:val="23"/>
              </w:rPr>
            </w:pPr>
          </w:p>
        </w:tc>
        <w:tc>
          <w:tcPr>
            <w:tcW w:w="620" w:type="dxa"/>
            <w:tcBorders>
              <w:right w:val="single" w:sz="8" w:space="0" w:color="auto"/>
            </w:tcBorders>
            <w:vAlign w:val="bottom"/>
          </w:tcPr>
          <w:p w14:paraId="0DA0FAF6" w14:textId="77777777" w:rsidR="00992061" w:rsidRDefault="00992061">
            <w:pPr>
              <w:rPr>
                <w:sz w:val="23"/>
                <w:szCs w:val="23"/>
              </w:rPr>
            </w:pPr>
          </w:p>
        </w:tc>
        <w:tc>
          <w:tcPr>
            <w:tcW w:w="860" w:type="dxa"/>
            <w:tcBorders>
              <w:right w:val="single" w:sz="8" w:space="0" w:color="auto"/>
            </w:tcBorders>
            <w:vAlign w:val="bottom"/>
          </w:tcPr>
          <w:p w14:paraId="73C865FD" w14:textId="77777777" w:rsidR="00992061" w:rsidRDefault="00992061">
            <w:pPr>
              <w:rPr>
                <w:sz w:val="23"/>
                <w:szCs w:val="23"/>
              </w:rPr>
            </w:pPr>
          </w:p>
        </w:tc>
        <w:tc>
          <w:tcPr>
            <w:tcW w:w="900" w:type="dxa"/>
            <w:vAlign w:val="bottom"/>
          </w:tcPr>
          <w:p w14:paraId="69FD84B5" w14:textId="77777777" w:rsidR="00992061" w:rsidRDefault="00992061">
            <w:pPr>
              <w:rPr>
                <w:sz w:val="23"/>
                <w:szCs w:val="23"/>
              </w:rPr>
            </w:pPr>
          </w:p>
        </w:tc>
        <w:tc>
          <w:tcPr>
            <w:tcW w:w="140" w:type="dxa"/>
            <w:tcBorders>
              <w:right w:val="single" w:sz="8" w:space="0" w:color="auto"/>
            </w:tcBorders>
            <w:vAlign w:val="bottom"/>
          </w:tcPr>
          <w:p w14:paraId="3DD8FFE0" w14:textId="77777777" w:rsidR="00992061" w:rsidRDefault="00992061">
            <w:pPr>
              <w:rPr>
                <w:sz w:val="23"/>
                <w:szCs w:val="23"/>
              </w:rPr>
            </w:pPr>
          </w:p>
        </w:tc>
        <w:tc>
          <w:tcPr>
            <w:tcW w:w="700" w:type="dxa"/>
            <w:tcBorders>
              <w:right w:val="single" w:sz="8" w:space="0" w:color="auto"/>
            </w:tcBorders>
            <w:vAlign w:val="bottom"/>
          </w:tcPr>
          <w:p w14:paraId="48DD1256" w14:textId="77777777" w:rsidR="00992061" w:rsidRDefault="00992061">
            <w:pPr>
              <w:rPr>
                <w:sz w:val="23"/>
                <w:szCs w:val="23"/>
              </w:rPr>
            </w:pPr>
          </w:p>
        </w:tc>
        <w:tc>
          <w:tcPr>
            <w:tcW w:w="260" w:type="dxa"/>
            <w:vAlign w:val="bottom"/>
          </w:tcPr>
          <w:p w14:paraId="64153E8A" w14:textId="77777777" w:rsidR="00992061" w:rsidRDefault="00992061">
            <w:pPr>
              <w:rPr>
                <w:sz w:val="23"/>
                <w:szCs w:val="23"/>
              </w:rPr>
            </w:pPr>
          </w:p>
        </w:tc>
        <w:tc>
          <w:tcPr>
            <w:tcW w:w="600" w:type="dxa"/>
            <w:tcBorders>
              <w:right w:val="single" w:sz="8" w:space="0" w:color="auto"/>
            </w:tcBorders>
            <w:vAlign w:val="bottom"/>
          </w:tcPr>
          <w:p w14:paraId="1E0D110C" w14:textId="77777777" w:rsidR="00992061" w:rsidRDefault="00992061">
            <w:pPr>
              <w:rPr>
                <w:sz w:val="23"/>
                <w:szCs w:val="23"/>
              </w:rPr>
            </w:pPr>
          </w:p>
        </w:tc>
        <w:tc>
          <w:tcPr>
            <w:tcW w:w="1580" w:type="dxa"/>
            <w:tcBorders>
              <w:right w:val="single" w:sz="8" w:space="0" w:color="auto"/>
            </w:tcBorders>
            <w:vAlign w:val="bottom"/>
          </w:tcPr>
          <w:p w14:paraId="7653B5D3" w14:textId="77777777" w:rsidR="00992061" w:rsidRDefault="00992061">
            <w:pPr>
              <w:rPr>
                <w:sz w:val="23"/>
                <w:szCs w:val="23"/>
              </w:rPr>
            </w:pPr>
          </w:p>
        </w:tc>
        <w:tc>
          <w:tcPr>
            <w:tcW w:w="30" w:type="dxa"/>
            <w:vAlign w:val="bottom"/>
          </w:tcPr>
          <w:p w14:paraId="04734FE6" w14:textId="77777777" w:rsidR="00992061" w:rsidRDefault="00992061">
            <w:pPr>
              <w:rPr>
                <w:sz w:val="1"/>
                <w:szCs w:val="1"/>
              </w:rPr>
            </w:pPr>
          </w:p>
        </w:tc>
      </w:tr>
      <w:tr w:rsidR="00992061" w14:paraId="4FC2EB28" w14:textId="77777777" w:rsidTr="00BB0FDD">
        <w:trPr>
          <w:trHeight w:val="293"/>
        </w:trPr>
        <w:tc>
          <w:tcPr>
            <w:tcW w:w="3040" w:type="dxa"/>
            <w:tcBorders>
              <w:left w:val="single" w:sz="8" w:space="0" w:color="auto"/>
              <w:right w:val="single" w:sz="8" w:space="0" w:color="auto"/>
            </w:tcBorders>
            <w:vAlign w:val="bottom"/>
          </w:tcPr>
          <w:p w14:paraId="0D0423DB" w14:textId="77777777" w:rsidR="00992061" w:rsidRDefault="00D1402E">
            <w:pPr>
              <w:ind w:left="440"/>
              <w:rPr>
                <w:sz w:val="20"/>
                <w:szCs w:val="20"/>
              </w:rPr>
            </w:pPr>
            <w:r>
              <w:rPr>
                <w:rFonts w:eastAsia="Times New Roman"/>
                <w:sz w:val="20"/>
                <w:szCs w:val="20"/>
              </w:rPr>
              <w:t>Невропатия</w:t>
            </w:r>
          </w:p>
        </w:tc>
        <w:tc>
          <w:tcPr>
            <w:tcW w:w="840" w:type="dxa"/>
            <w:vAlign w:val="bottom"/>
          </w:tcPr>
          <w:p w14:paraId="72E04B77"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21BC1C4D" w14:textId="77777777" w:rsidR="00992061" w:rsidRDefault="00992061">
            <w:pPr>
              <w:rPr>
                <w:sz w:val="24"/>
                <w:szCs w:val="24"/>
              </w:rPr>
            </w:pPr>
          </w:p>
        </w:tc>
        <w:tc>
          <w:tcPr>
            <w:tcW w:w="620" w:type="dxa"/>
            <w:tcBorders>
              <w:right w:val="single" w:sz="8" w:space="0" w:color="auto"/>
            </w:tcBorders>
            <w:vAlign w:val="bottom"/>
          </w:tcPr>
          <w:p w14:paraId="48968A6B" w14:textId="77777777" w:rsidR="00992061" w:rsidRDefault="00D1402E">
            <w:pPr>
              <w:jc w:val="center"/>
              <w:rPr>
                <w:sz w:val="20"/>
                <w:szCs w:val="20"/>
              </w:rPr>
            </w:pPr>
            <w:r>
              <w:rPr>
                <w:rFonts w:eastAsia="Times New Roman"/>
                <w:w w:val="89"/>
                <w:sz w:val="20"/>
                <w:szCs w:val="20"/>
              </w:rPr>
              <w:t>-</w:t>
            </w:r>
          </w:p>
        </w:tc>
        <w:tc>
          <w:tcPr>
            <w:tcW w:w="860" w:type="dxa"/>
            <w:tcBorders>
              <w:right w:val="single" w:sz="8" w:space="0" w:color="auto"/>
            </w:tcBorders>
            <w:vAlign w:val="bottom"/>
          </w:tcPr>
          <w:p w14:paraId="5248F98C" w14:textId="77777777" w:rsidR="00992061" w:rsidRDefault="00D1402E">
            <w:pPr>
              <w:jc w:val="center"/>
              <w:rPr>
                <w:sz w:val="20"/>
                <w:szCs w:val="20"/>
              </w:rPr>
            </w:pPr>
            <w:r>
              <w:rPr>
                <w:rFonts w:eastAsia="Times New Roman"/>
                <w:sz w:val="20"/>
                <w:szCs w:val="20"/>
              </w:rPr>
              <w:t>-</w:t>
            </w:r>
          </w:p>
        </w:tc>
        <w:tc>
          <w:tcPr>
            <w:tcW w:w="900" w:type="dxa"/>
            <w:vAlign w:val="bottom"/>
          </w:tcPr>
          <w:p w14:paraId="549A3F0F" w14:textId="77777777" w:rsidR="00992061" w:rsidRDefault="00D1402E">
            <w:pPr>
              <w:jc w:val="center"/>
              <w:rPr>
                <w:sz w:val="20"/>
                <w:szCs w:val="20"/>
              </w:rPr>
            </w:pPr>
            <w:r>
              <w:rPr>
                <w:rFonts w:eastAsia="Times New Roman"/>
                <w:w w:val="99"/>
                <w:sz w:val="20"/>
                <w:szCs w:val="20"/>
              </w:rPr>
              <w:t>13</w:t>
            </w:r>
          </w:p>
        </w:tc>
        <w:tc>
          <w:tcPr>
            <w:tcW w:w="140" w:type="dxa"/>
            <w:tcBorders>
              <w:right w:val="single" w:sz="8" w:space="0" w:color="auto"/>
            </w:tcBorders>
            <w:vAlign w:val="bottom"/>
          </w:tcPr>
          <w:p w14:paraId="3C71FC10" w14:textId="77777777" w:rsidR="00992061" w:rsidRDefault="00992061">
            <w:pPr>
              <w:rPr>
                <w:sz w:val="24"/>
                <w:szCs w:val="24"/>
              </w:rPr>
            </w:pPr>
          </w:p>
        </w:tc>
        <w:tc>
          <w:tcPr>
            <w:tcW w:w="700" w:type="dxa"/>
            <w:tcBorders>
              <w:right w:val="single" w:sz="8" w:space="0" w:color="auto"/>
            </w:tcBorders>
            <w:vAlign w:val="bottom"/>
          </w:tcPr>
          <w:p w14:paraId="7BDFD4F0" w14:textId="77777777" w:rsidR="00992061" w:rsidRDefault="00D1402E">
            <w:pPr>
              <w:jc w:val="center"/>
              <w:rPr>
                <w:sz w:val="20"/>
                <w:szCs w:val="20"/>
              </w:rPr>
            </w:pPr>
            <w:r>
              <w:rPr>
                <w:rFonts w:eastAsia="Times New Roman"/>
                <w:w w:val="99"/>
                <w:sz w:val="20"/>
                <w:szCs w:val="20"/>
              </w:rPr>
              <w:t>1</w:t>
            </w:r>
          </w:p>
        </w:tc>
        <w:tc>
          <w:tcPr>
            <w:tcW w:w="260" w:type="dxa"/>
            <w:vAlign w:val="bottom"/>
          </w:tcPr>
          <w:p w14:paraId="54F9074D" w14:textId="77777777" w:rsidR="00992061" w:rsidRDefault="00992061">
            <w:pPr>
              <w:rPr>
                <w:sz w:val="24"/>
                <w:szCs w:val="24"/>
              </w:rPr>
            </w:pPr>
          </w:p>
        </w:tc>
        <w:tc>
          <w:tcPr>
            <w:tcW w:w="600" w:type="dxa"/>
            <w:tcBorders>
              <w:right w:val="single" w:sz="8" w:space="0" w:color="auto"/>
            </w:tcBorders>
            <w:vAlign w:val="bottom"/>
          </w:tcPr>
          <w:p w14:paraId="709A0896" w14:textId="77777777" w:rsidR="00992061" w:rsidRDefault="00D1402E">
            <w:pPr>
              <w:ind w:right="179"/>
              <w:jc w:val="center"/>
              <w:rPr>
                <w:sz w:val="20"/>
                <w:szCs w:val="20"/>
              </w:rPr>
            </w:pPr>
            <w:r>
              <w:rPr>
                <w:rFonts w:eastAsia="Times New Roman"/>
                <w:w w:val="93"/>
                <w:sz w:val="20"/>
                <w:szCs w:val="20"/>
              </w:rPr>
              <w:t>&lt;1</w:t>
            </w:r>
          </w:p>
        </w:tc>
        <w:tc>
          <w:tcPr>
            <w:tcW w:w="1580" w:type="dxa"/>
            <w:tcBorders>
              <w:right w:val="single" w:sz="8" w:space="0" w:color="auto"/>
            </w:tcBorders>
            <w:vAlign w:val="bottom"/>
          </w:tcPr>
          <w:p w14:paraId="604846BF"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4FCEE8B9" w14:textId="77777777" w:rsidR="00992061" w:rsidRDefault="00992061">
            <w:pPr>
              <w:rPr>
                <w:sz w:val="1"/>
                <w:szCs w:val="1"/>
              </w:rPr>
            </w:pPr>
          </w:p>
        </w:tc>
      </w:tr>
      <w:tr w:rsidR="00992061" w14:paraId="55AD4AC9" w14:textId="77777777" w:rsidTr="00BB0FDD">
        <w:trPr>
          <w:trHeight w:val="288"/>
        </w:trPr>
        <w:tc>
          <w:tcPr>
            <w:tcW w:w="3040" w:type="dxa"/>
            <w:tcBorders>
              <w:left w:val="single" w:sz="8" w:space="0" w:color="auto"/>
              <w:right w:val="single" w:sz="8" w:space="0" w:color="auto"/>
            </w:tcBorders>
            <w:vAlign w:val="bottom"/>
          </w:tcPr>
          <w:p w14:paraId="03C4313B" w14:textId="77777777" w:rsidR="00992061" w:rsidRDefault="00D1402E">
            <w:pPr>
              <w:ind w:left="440"/>
              <w:rPr>
                <w:sz w:val="20"/>
                <w:szCs w:val="20"/>
              </w:rPr>
            </w:pPr>
            <w:r>
              <w:rPr>
                <w:rFonts w:eastAsia="Times New Roman"/>
                <w:sz w:val="20"/>
                <w:szCs w:val="20"/>
              </w:rPr>
              <w:t>Главоболие</w:t>
            </w:r>
          </w:p>
        </w:tc>
        <w:tc>
          <w:tcPr>
            <w:tcW w:w="840" w:type="dxa"/>
            <w:vAlign w:val="bottom"/>
          </w:tcPr>
          <w:p w14:paraId="18A153CA"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00183E6F" w14:textId="77777777" w:rsidR="00992061" w:rsidRDefault="00992061">
            <w:pPr>
              <w:rPr>
                <w:sz w:val="24"/>
                <w:szCs w:val="24"/>
              </w:rPr>
            </w:pPr>
          </w:p>
        </w:tc>
        <w:tc>
          <w:tcPr>
            <w:tcW w:w="620" w:type="dxa"/>
            <w:tcBorders>
              <w:right w:val="single" w:sz="8" w:space="0" w:color="auto"/>
            </w:tcBorders>
            <w:vAlign w:val="bottom"/>
          </w:tcPr>
          <w:p w14:paraId="3D1FD7D4" w14:textId="77777777" w:rsidR="00992061" w:rsidRDefault="00D1402E">
            <w:pPr>
              <w:jc w:val="center"/>
              <w:rPr>
                <w:sz w:val="20"/>
                <w:szCs w:val="20"/>
              </w:rPr>
            </w:pPr>
            <w:r>
              <w:rPr>
                <w:rFonts w:eastAsia="Times New Roman"/>
                <w:w w:val="89"/>
                <w:sz w:val="20"/>
                <w:szCs w:val="20"/>
              </w:rPr>
              <w:t>-</w:t>
            </w:r>
          </w:p>
        </w:tc>
        <w:tc>
          <w:tcPr>
            <w:tcW w:w="860" w:type="dxa"/>
            <w:tcBorders>
              <w:right w:val="single" w:sz="8" w:space="0" w:color="auto"/>
            </w:tcBorders>
            <w:vAlign w:val="bottom"/>
          </w:tcPr>
          <w:p w14:paraId="09A7C001" w14:textId="77777777" w:rsidR="00992061" w:rsidRDefault="00D1402E">
            <w:pPr>
              <w:jc w:val="center"/>
              <w:rPr>
                <w:sz w:val="20"/>
                <w:szCs w:val="20"/>
              </w:rPr>
            </w:pPr>
            <w:r>
              <w:rPr>
                <w:rFonts w:eastAsia="Times New Roman"/>
                <w:sz w:val="20"/>
                <w:szCs w:val="20"/>
              </w:rPr>
              <w:t>-</w:t>
            </w:r>
          </w:p>
        </w:tc>
        <w:tc>
          <w:tcPr>
            <w:tcW w:w="900" w:type="dxa"/>
            <w:vAlign w:val="bottom"/>
          </w:tcPr>
          <w:p w14:paraId="037D9B44" w14:textId="77777777" w:rsidR="00992061" w:rsidRDefault="00D1402E">
            <w:pPr>
              <w:jc w:val="center"/>
              <w:rPr>
                <w:sz w:val="20"/>
                <w:szCs w:val="20"/>
              </w:rPr>
            </w:pPr>
            <w:r>
              <w:rPr>
                <w:rFonts w:eastAsia="Times New Roman"/>
                <w:w w:val="99"/>
                <w:sz w:val="20"/>
                <w:szCs w:val="20"/>
              </w:rPr>
              <w:t>15</w:t>
            </w:r>
          </w:p>
        </w:tc>
        <w:tc>
          <w:tcPr>
            <w:tcW w:w="140" w:type="dxa"/>
            <w:tcBorders>
              <w:right w:val="single" w:sz="8" w:space="0" w:color="auto"/>
            </w:tcBorders>
            <w:vAlign w:val="bottom"/>
          </w:tcPr>
          <w:p w14:paraId="04BA3C53" w14:textId="77777777" w:rsidR="00992061" w:rsidRDefault="00992061">
            <w:pPr>
              <w:rPr>
                <w:sz w:val="24"/>
                <w:szCs w:val="24"/>
              </w:rPr>
            </w:pPr>
          </w:p>
        </w:tc>
        <w:tc>
          <w:tcPr>
            <w:tcW w:w="700" w:type="dxa"/>
            <w:tcBorders>
              <w:right w:val="single" w:sz="8" w:space="0" w:color="auto"/>
            </w:tcBorders>
            <w:vAlign w:val="bottom"/>
          </w:tcPr>
          <w:p w14:paraId="77A8ED9A" w14:textId="77777777" w:rsidR="00992061" w:rsidRDefault="00D1402E">
            <w:pPr>
              <w:jc w:val="center"/>
              <w:rPr>
                <w:sz w:val="20"/>
                <w:szCs w:val="20"/>
              </w:rPr>
            </w:pPr>
            <w:r>
              <w:rPr>
                <w:rFonts w:eastAsia="Times New Roman"/>
                <w:sz w:val="20"/>
                <w:szCs w:val="20"/>
              </w:rPr>
              <w:t>&lt;1</w:t>
            </w:r>
          </w:p>
        </w:tc>
        <w:tc>
          <w:tcPr>
            <w:tcW w:w="260" w:type="dxa"/>
            <w:vAlign w:val="bottom"/>
          </w:tcPr>
          <w:p w14:paraId="26B028A7" w14:textId="77777777" w:rsidR="00992061" w:rsidRDefault="00992061">
            <w:pPr>
              <w:rPr>
                <w:sz w:val="24"/>
                <w:szCs w:val="24"/>
              </w:rPr>
            </w:pPr>
          </w:p>
        </w:tc>
        <w:tc>
          <w:tcPr>
            <w:tcW w:w="600" w:type="dxa"/>
            <w:tcBorders>
              <w:right w:val="single" w:sz="8" w:space="0" w:color="auto"/>
            </w:tcBorders>
            <w:vAlign w:val="bottom"/>
          </w:tcPr>
          <w:p w14:paraId="4F14644F"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5C591C24"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61996B11" w14:textId="77777777" w:rsidR="00992061" w:rsidRDefault="00992061">
            <w:pPr>
              <w:rPr>
                <w:sz w:val="1"/>
                <w:szCs w:val="1"/>
              </w:rPr>
            </w:pPr>
          </w:p>
        </w:tc>
      </w:tr>
      <w:tr w:rsidR="00992061" w14:paraId="24FA2D0F" w14:textId="77777777" w:rsidTr="00BB0FDD">
        <w:trPr>
          <w:trHeight w:val="50"/>
        </w:trPr>
        <w:tc>
          <w:tcPr>
            <w:tcW w:w="3040" w:type="dxa"/>
            <w:tcBorders>
              <w:left w:val="single" w:sz="8" w:space="0" w:color="auto"/>
              <w:bottom w:val="single" w:sz="8" w:space="0" w:color="auto"/>
              <w:right w:val="single" w:sz="8" w:space="0" w:color="auto"/>
            </w:tcBorders>
            <w:vAlign w:val="bottom"/>
          </w:tcPr>
          <w:p w14:paraId="741AD22A" w14:textId="77777777" w:rsidR="00992061" w:rsidRDefault="00992061">
            <w:pPr>
              <w:rPr>
                <w:sz w:val="4"/>
                <w:szCs w:val="4"/>
              </w:rPr>
            </w:pPr>
          </w:p>
        </w:tc>
        <w:tc>
          <w:tcPr>
            <w:tcW w:w="840" w:type="dxa"/>
            <w:tcBorders>
              <w:bottom w:val="single" w:sz="8" w:space="0" w:color="auto"/>
            </w:tcBorders>
            <w:vAlign w:val="bottom"/>
          </w:tcPr>
          <w:p w14:paraId="43FD8A98" w14:textId="77777777" w:rsidR="00992061" w:rsidRDefault="00992061">
            <w:pPr>
              <w:rPr>
                <w:sz w:val="4"/>
                <w:szCs w:val="4"/>
              </w:rPr>
            </w:pPr>
          </w:p>
        </w:tc>
        <w:tc>
          <w:tcPr>
            <w:tcW w:w="140" w:type="dxa"/>
            <w:tcBorders>
              <w:bottom w:val="single" w:sz="8" w:space="0" w:color="auto"/>
              <w:right w:val="single" w:sz="8" w:space="0" w:color="auto"/>
            </w:tcBorders>
            <w:vAlign w:val="bottom"/>
          </w:tcPr>
          <w:p w14:paraId="70BAD470" w14:textId="77777777" w:rsidR="00992061" w:rsidRDefault="00992061">
            <w:pPr>
              <w:rPr>
                <w:sz w:val="4"/>
                <w:szCs w:val="4"/>
              </w:rPr>
            </w:pPr>
          </w:p>
        </w:tc>
        <w:tc>
          <w:tcPr>
            <w:tcW w:w="620" w:type="dxa"/>
            <w:tcBorders>
              <w:bottom w:val="single" w:sz="8" w:space="0" w:color="auto"/>
              <w:right w:val="single" w:sz="8" w:space="0" w:color="auto"/>
            </w:tcBorders>
            <w:vAlign w:val="bottom"/>
          </w:tcPr>
          <w:p w14:paraId="4A74CA1E" w14:textId="77777777" w:rsidR="00992061" w:rsidRDefault="00992061">
            <w:pPr>
              <w:rPr>
                <w:sz w:val="4"/>
                <w:szCs w:val="4"/>
              </w:rPr>
            </w:pPr>
          </w:p>
        </w:tc>
        <w:tc>
          <w:tcPr>
            <w:tcW w:w="860" w:type="dxa"/>
            <w:tcBorders>
              <w:bottom w:val="single" w:sz="8" w:space="0" w:color="auto"/>
              <w:right w:val="single" w:sz="8" w:space="0" w:color="auto"/>
            </w:tcBorders>
            <w:vAlign w:val="bottom"/>
          </w:tcPr>
          <w:p w14:paraId="7D7ABD6E" w14:textId="77777777" w:rsidR="00992061" w:rsidRDefault="00992061">
            <w:pPr>
              <w:rPr>
                <w:sz w:val="4"/>
                <w:szCs w:val="4"/>
              </w:rPr>
            </w:pPr>
          </w:p>
        </w:tc>
        <w:tc>
          <w:tcPr>
            <w:tcW w:w="900" w:type="dxa"/>
            <w:tcBorders>
              <w:bottom w:val="single" w:sz="8" w:space="0" w:color="auto"/>
            </w:tcBorders>
            <w:vAlign w:val="bottom"/>
          </w:tcPr>
          <w:p w14:paraId="68C231AD" w14:textId="77777777" w:rsidR="00992061" w:rsidRDefault="00992061">
            <w:pPr>
              <w:rPr>
                <w:sz w:val="4"/>
                <w:szCs w:val="4"/>
              </w:rPr>
            </w:pPr>
          </w:p>
        </w:tc>
        <w:tc>
          <w:tcPr>
            <w:tcW w:w="140" w:type="dxa"/>
            <w:tcBorders>
              <w:bottom w:val="single" w:sz="8" w:space="0" w:color="auto"/>
              <w:right w:val="single" w:sz="8" w:space="0" w:color="auto"/>
            </w:tcBorders>
            <w:vAlign w:val="bottom"/>
          </w:tcPr>
          <w:p w14:paraId="7CF8987B" w14:textId="77777777" w:rsidR="00992061" w:rsidRDefault="00992061">
            <w:pPr>
              <w:rPr>
                <w:sz w:val="4"/>
                <w:szCs w:val="4"/>
              </w:rPr>
            </w:pPr>
          </w:p>
        </w:tc>
        <w:tc>
          <w:tcPr>
            <w:tcW w:w="700" w:type="dxa"/>
            <w:tcBorders>
              <w:bottom w:val="single" w:sz="8" w:space="0" w:color="auto"/>
              <w:right w:val="single" w:sz="8" w:space="0" w:color="auto"/>
            </w:tcBorders>
            <w:vAlign w:val="bottom"/>
          </w:tcPr>
          <w:p w14:paraId="67FE9055" w14:textId="77777777" w:rsidR="00992061" w:rsidRDefault="00992061">
            <w:pPr>
              <w:rPr>
                <w:sz w:val="4"/>
                <w:szCs w:val="4"/>
              </w:rPr>
            </w:pPr>
          </w:p>
        </w:tc>
        <w:tc>
          <w:tcPr>
            <w:tcW w:w="260" w:type="dxa"/>
            <w:tcBorders>
              <w:bottom w:val="single" w:sz="8" w:space="0" w:color="auto"/>
            </w:tcBorders>
            <w:vAlign w:val="bottom"/>
          </w:tcPr>
          <w:p w14:paraId="2BF3EB37" w14:textId="77777777" w:rsidR="00992061" w:rsidRDefault="00992061">
            <w:pPr>
              <w:rPr>
                <w:sz w:val="4"/>
                <w:szCs w:val="4"/>
              </w:rPr>
            </w:pPr>
          </w:p>
        </w:tc>
        <w:tc>
          <w:tcPr>
            <w:tcW w:w="600" w:type="dxa"/>
            <w:tcBorders>
              <w:bottom w:val="single" w:sz="8" w:space="0" w:color="auto"/>
              <w:right w:val="single" w:sz="8" w:space="0" w:color="auto"/>
            </w:tcBorders>
            <w:vAlign w:val="bottom"/>
          </w:tcPr>
          <w:p w14:paraId="47936AC2" w14:textId="77777777" w:rsidR="00992061" w:rsidRDefault="00992061">
            <w:pPr>
              <w:rPr>
                <w:sz w:val="4"/>
                <w:szCs w:val="4"/>
              </w:rPr>
            </w:pPr>
          </w:p>
        </w:tc>
        <w:tc>
          <w:tcPr>
            <w:tcW w:w="1580" w:type="dxa"/>
            <w:tcBorders>
              <w:bottom w:val="single" w:sz="8" w:space="0" w:color="auto"/>
              <w:right w:val="single" w:sz="8" w:space="0" w:color="auto"/>
            </w:tcBorders>
            <w:vAlign w:val="bottom"/>
          </w:tcPr>
          <w:p w14:paraId="7D735CC7" w14:textId="77777777" w:rsidR="00992061" w:rsidRDefault="00992061">
            <w:pPr>
              <w:rPr>
                <w:sz w:val="4"/>
                <w:szCs w:val="4"/>
              </w:rPr>
            </w:pPr>
          </w:p>
        </w:tc>
        <w:tc>
          <w:tcPr>
            <w:tcW w:w="30" w:type="dxa"/>
            <w:vAlign w:val="bottom"/>
          </w:tcPr>
          <w:p w14:paraId="4DBB495C" w14:textId="77777777" w:rsidR="00992061" w:rsidRDefault="00992061">
            <w:pPr>
              <w:rPr>
                <w:sz w:val="1"/>
                <w:szCs w:val="1"/>
              </w:rPr>
            </w:pPr>
          </w:p>
        </w:tc>
      </w:tr>
      <w:tr w:rsidR="00992061" w14:paraId="4E89D737" w14:textId="77777777" w:rsidTr="00BB0FDD">
        <w:trPr>
          <w:trHeight w:val="311"/>
        </w:trPr>
        <w:tc>
          <w:tcPr>
            <w:tcW w:w="3040" w:type="dxa"/>
            <w:tcBorders>
              <w:left w:val="single" w:sz="8" w:space="0" w:color="auto"/>
              <w:right w:val="single" w:sz="8" w:space="0" w:color="auto"/>
            </w:tcBorders>
            <w:vAlign w:val="bottom"/>
          </w:tcPr>
          <w:p w14:paraId="2C9F5BBD" w14:textId="77777777" w:rsidR="00992061" w:rsidRDefault="00D1402E">
            <w:pPr>
              <w:ind w:left="80"/>
              <w:rPr>
                <w:sz w:val="20"/>
                <w:szCs w:val="20"/>
              </w:rPr>
            </w:pPr>
            <w:r>
              <w:rPr>
                <w:rFonts w:eastAsia="Times New Roman"/>
                <w:i/>
                <w:iCs/>
                <w:sz w:val="20"/>
                <w:szCs w:val="20"/>
              </w:rPr>
              <w:t>Респираторни, гръдни и</w:t>
            </w:r>
          </w:p>
        </w:tc>
        <w:tc>
          <w:tcPr>
            <w:tcW w:w="840" w:type="dxa"/>
            <w:vAlign w:val="bottom"/>
          </w:tcPr>
          <w:p w14:paraId="788F197B" w14:textId="77777777" w:rsidR="00992061" w:rsidRDefault="00992061">
            <w:pPr>
              <w:rPr>
                <w:sz w:val="24"/>
                <w:szCs w:val="24"/>
              </w:rPr>
            </w:pPr>
          </w:p>
        </w:tc>
        <w:tc>
          <w:tcPr>
            <w:tcW w:w="140" w:type="dxa"/>
            <w:tcBorders>
              <w:right w:val="single" w:sz="8" w:space="0" w:color="auto"/>
            </w:tcBorders>
            <w:vAlign w:val="bottom"/>
          </w:tcPr>
          <w:p w14:paraId="24D169E3" w14:textId="77777777" w:rsidR="00992061" w:rsidRDefault="00992061">
            <w:pPr>
              <w:rPr>
                <w:sz w:val="24"/>
                <w:szCs w:val="24"/>
              </w:rPr>
            </w:pPr>
          </w:p>
        </w:tc>
        <w:tc>
          <w:tcPr>
            <w:tcW w:w="620" w:type="dxa"/>
            <w:tcBorders>
              <w:right w:val="single" w:sz="8" w:space="0" w:color="auto"/>
            </w:tcBorders>
            <w:vAlign w:val="bottom"/>
          </w:tcPr>
          <w:p w14:paraId="10D7FA04" w14:textId="77777777" w:rsidR="00992061" w:rsidRDefault="00992061">
            <w:pPr>
              <w:rPr>
                <w:sz w:val="24"/>
                <w:szCs w:val="24"/>
              </w:rPr>
            </w:pPr>
          </w:p>
        </w:tc>
        <w:tc>
          <w:tcPr>
            <w:tcW w:w="860" w:type="dxa"/>
            <w:tcBorders>
              <w:right w:val="single" w:sz="8" w:space="0" w:color="auto"/>
            </w:tcBorders>
            <w:vAlign w:val="bottom"/>
          </w:tcPr>
          <w:p w14:paraId="489F290B" w14:textId="77777777" w:rsidR="00992061" w:rsidRDefault="00992061">
            <w:pPr>
              <w:rPr>
                <w:sz w:val="24"/>
                <w:szCs w:val="24"/>
              </w:rPr>
            </w:pPr>
          </w:p>
        </w:tc>
        <w:tc>
          <w:tcPr>
            <w:tcW w:w="900" w:type="dxa"/>
            <w:vAlign w:val="bottom"/>
          </w:tcPr>
          <w:p w14:paraId="1CF670AD" w14:textId="77777777" w:rsidR="00992061" w:rsidRDefault="00992061">
            <w:pPr>
              <w:rPr>
                <w:sz w:val="24"/>
                <w:szCs w:val="24"/>
              </w:rPr>
            </w:pPr>
          </w:p>
        </w:tc>
        <w:tc>
          <w:tcPr>
            <w:tcW w:w="140" w:type="dxa"/>
            <w:tcBorders>
              <w:right w:val="single" w:sz="8" w:space="0" w:color="auto"/>
            </w:tcBorders>
            <w:vAlign w:val="bottom"/>
          </w:tcPr>
          <w:p w14:paraId="354D62FB" w14:textId="77777777" w:rsidR="00992061" w:rsidRDefault="00992061">
            <w:pPr>
              <w:rPr>
                <w:sz w:val="24"/>
                <w:szCs w:val="24"/>
              </w:rPr>
            </w:pPr>
          </w:p>
        </w:tc>
        <w:tc>
          <w:tcPr>
            <w:tcW w:w="700" w:type="dxa"/>
            <w:tcBorders>
              <w:right w:val="single" w:sz="8" w:space="0" w:color="auto"/>
            </w:tcBorders>
            <w:vAlign w:val="bottom"/>
          </w:tcPr>
          <w:p w14:paraId="74DB119F" w14:textId="77777777" w:rsidR="00992061" w:rsidRDefault="00992061">
            <w:pPr>
              <w:rPr>
                <w:sz w:val="24"/>
                <w:szCs w:val="24"/>
              </w:rPr>
            </w:pPr>
          </w:p>
        </w:tc>
        <w:tc>
          <w:tcPr>
            <w:tcW w:w="260" w:type="dxa"/>
            <w:vAlign w:val="bottom"/>
          </w:tcPr>
          <w:p w14:paraId="133FE3D2" w14:textId="77777777" w:rsidR="00992061" w:rsidRDefault="00992061">
            <w:pPr>
              <w:rPr>
                <w:sz w:val="24"/>
                <w:szCs w:val="24"/>
              </w:rPr>
            </w:pPr>
          </w:p>
        </w:tc>
        <w:tc>
          <w:tcPr>
            <w:tcW w:w="600" w:type="dxa"/>
            <w:tcBorders>
              <w:right w:val="single" w:sz="8" w:space="0" w:color="auto"/>
            </w:tcBorders>
            <w:vAlign w:val="bottom"/>
          </w:tcPr>
          <w:p w14:paraId="1513A7DD" w14:textId="77777777" w:rsidR="00992061" w:rsidRDefault="00992061">
            <w:pPr>
              <w:rPr>
                <w:sz w:val="24"/>
                <w:szCs w:val="24"/>
              </w:rPr>
            </w:pPr>
          </w:p>
        </w:tc>
        <w:tc>
          <w:tcPr>
            <w:tcW w:w="1580" w:type="dxa"/>
            <w:tcBorders>
              <w:right w:val="single" w:sz="8" w:space="0" w:color="auto"/>
            </w:tcBorders>
            <w:vAlign w:val="bottom"/>
          </w:tcPr>
          <w:p w14:paraId="2E1B8215" w14:textId="77777777" w:rsidR="00992061" w:rsidRDefault="00992061">
            <w:pPr>
              <w:rPr>
                <w:sz w:val="24"/>
                <w:szCs w:val="24"/>
              </w:rPr>
            </w:pPr>
          </w:p>
        </w:tc>
        <w:tc>
          <w:tcPr>
            <w:tcW w:w="30" w:type="dxa"/>
            <w:vAlign w:val="bottom"/>
          </w:tcPr>
          <w:p w14:paraId="705A2D54" w14:textId="77777777" w:rsidR="00992061" w:rsidRDefault="00992061">
            <w:pPr>
              <w:rPr>
                <w:sz w:val="1"/>
                <w:szCs w:val="1"/>
              </w:rPr>
            </w:pPr>
          </w:p>
        </w:tc>
      </w:tr>
      <w:tr w:rsidR="00992061" w14:paraId="7FA3F070" w14:textId="77777777" w:rsidTr="00BB0FDD">
        <w:trPr>
          <w:trHeight w:val="266"/>
        </w:trPr>
        <w:tc>
          <w:tcPr>
            <w:tcW w:w="3040" w:type="dxa"/>
            <w:tcBorders>
              <w:left w:val="single" w:sz="8" w:space="0" w:color="auto"/>
              <w:right w:val="single" w:sz="8" w:space="0" w:color="auto"/>
            </w:tcBorders>
            <w:vAlign w:val="bottom"/>
          </w:tcPr>
          <w:p w14:paraId="191241CF" w14:textId="77777777" w:rsidR="00992061" w:rsidRDefault="00D1402E">
            <w:pPr>
              <w:ind w:left="80"/>
              <w:rPr>
                <w:sz w:val="20"/>
                <w:szCs w:val="20"/>
              </w:rPr>
            </w:pPr>
            <w:r>
              <w:rPr>
                <w:rFonts w:eastAsia="Times New Roman"/>
                <w:i/>
                <w:iCs/>
                <w:sz w:val="20"/>
                <w:szCs w:val="20"/>
              </w:rPr>
              <w:t>медиастинални нарушения</w:t>
            </w:r>
          </w:p>
        </w:tc>
        <w:tc>
          <w:tcPr>
            <w:tcW w:w="840" w:type="dxa"/>
            <w:vAlign w:val="bottom"/>
          </w:tcPr>
          <w:p w14:paraId="6C735A18" w14:textId="77777777" w:rsidR="00992061" w:rsidRDefault="00992061">
            <w:pPr>
              <w:rPr>
                <w:sz w:val="23"/>
                <w:szCs w:val="23"/>
              </w:rPr>
            </w:pPr>
          </w:p>
        </w:tc>
        <w:tc>
          <w:tcPr>
            <w:tcW w:w="140" w:type="dxa"/>
            <w:tcBorders>
              <w:right w:val="single" w:sz="8" w:space="0" w:color="auto"/>
            </w:tcBorders>
            <w:vAlign w:val="bottom"/>
          </w:tcPr>
          <w:p w14:paraId="205437E4" w14:textId="77777777" w:rsidR="00992061" w:rsidRDefault="00992061">
            <w:pPr>
              <w:rPr>
                <w:sz w:val="23"/>
                <w:szCs w:val="23"/>
              </w:rPr>
            </w:pPr>
          </w:p>
        </w:tc>
        <w:tc>
          <w:tcPr>
            <w:tcW w:w="620" w:type="dxa"/>
            <w:tcBorders>
              <w:right w:val="single" w:sz="8" w:space="0" w:color="auto"/>
            </w:tcBorders>
            <w:vAlign w:val="bottom"/>
          </w:tcPr>
          <w:p w14:paraId="59F0F254" w14:textId="77777777" w:rsidR="00992061" w:rsidRDefault="00992061">
            <w:pPr>
              <w:rPr>
                <w:sz w:val="23"/>
                <w:szCs w:val="23"/>
              </w:rPr>
            </w:pPr>
          </w:p>
        </w:tc>
        <w:tc>
          <w:tcPr>
            <w:tcW w:w="860" w:type="dxa"/>
            <w:tcBorders>
              <w:right w:val="single" w:sz="8" w:space="0" w:color="auto"/>
            </w:tcBorders>
            <w:vAlign w:val="bottom"/>
          </w:tcPr>
          <w:p w14:paraId="0B8D6BD1" w14:textId="77777777" w:rsidR="00992061" w:rsidRDefault="00992061">
            <w:pPr>
              <w:rPr>
                <w:sz w:val="23"/>
                <w:szCs w:val="23"/>
              </w:rPr>
            </w:pPr>
          </w:p>
        </w:tc>
        <w:tc>
          <w:tcPr>
            <w:tcW w:w="900" w:type="dxa"/>
            <w:vAlign w:val="bottom"/>
          </w:tcPr>
          <w:p w14:paraId="4B6DE899" w14:textId="77777777" w:rsidR="00992061" w:rsidRDefault="00992061">
            <w:pPr>
              <w:rPr>
                <w:sz w:val="23"/>
                <w:szCs w:val="23"/>
              </w:rPr>
            </w:pPr>
          </w:p>
        </w:tc>
        <w:tc>
          <w:tcPr>
            <w:tcW w:w="140" w:type="dxa"/>
            <w:tcBorders>
              <w:right w:val="single" w:sz="8" w:space="0" w:color="auto"/>
            </w:tcBorders>
            <w:vAlign w:val="bottom"/>
          </w:tcPr>
          <w:p w14:paraId="52810DD9" w14:textId="77777777" w:rsidR="00992061" w:rsidRDefault="00992061">
            <w:pPr>
              <w:rPr>
                <w:sz w:val="23"/>
                <w:szCs w:val="23"/>
              </w:rPr>
            </w:pPr>
          </w:p>
        </w:tc>
        <w:tc>
          <w:tcPr>
            <w:tcW w:w="700" w:type="dxa"/>
            <w:tcBorders>
              <w:right w:val="single" w:sz="8" w:space="0" w:color="auto"/>
            </w:tcBorders>
            <w:vAlign w:val="bottom"/>
          </w:tcPr>
          <w:p w14:paraId="3BFD169F" w14:textId="77777777" w:rsidR="00992061" w:rsidRDefault="00992061">
            <w:pPr>
              <w:rPr>
                <w:sz w:val="23"/>
                <w:szCs w:val="23"/>
              </w:rPr>
            </w:pPr>
          </w:p>
        </w:tc>
        <w:tc>
          <w:tcPr>
            <w:tcW w:w="260" w:type="dxa"/>
            <w:vAlign w:val="bottom"/>
          </w:tcPr>
          <w:p w14:paraId="7759B4F7" w14:textId="77777777" w:rsidR="00992061" w:rsidRDefault="00992061">
            <w:pPr>
              <w:rPr>
                <w:sz w:val="23"/>
                <w:szCs w:val="23"/>
              </w:rPr>
            </w:pPr>
          </w:p>
        </w:tc>
        <w:tc>
          <w:tcPr>
            <w:tcW w:w="600" w:type="dxa"/>
            <w:tcBorders>
              <w:right w:val="single" w:sz="8" w:space="0" w:color="auto"/>
            </w:tcBorders>
            <w:vAlign w:val="bottom"/>
          </w:tcPr>
          <w:p w14:paraId="47805474" w14:textId="77777777" w:rsidR="00992061" w:rsidRDefault="00992061">
            <w:pPr>
              <w:rPr>
                <w:sz w:val="23"/>
                <w:szCs w:val="23"/>
              </w:rPr>
            </w:pPr>
          </w:p>
        </w:tc>
        <w:tc>
          <w:tcPr>
            <w:tcW w:w="1580" w:type="dxa"/>
            <w:tcBorders>
              <w:right w:val="single" w:sz="8" w:space="0" w:color="auto"/>
            </w:tcBorders>
            <w:vAlign w:val="bottom"/>
          </w:tcPr>
          <w:p w14:paraId="2134AF33" w14:textId="77777777" w:rsidR="00992061" w:rsidRDefault="00992061">
            <w:pPr>
              <w:rPr>
                <w:sz w:val="23"/>
                <w:szCs w:val="23"/>
              </w:rPr>
            </w:pPr>
          </w:p>
        </w:tc>
        <w:tc>
          <w:tcPr>
            <w:tcW w:w="30" w:type="dxa"/>
            <w:vAlign w:val="bottom"/>
          </w:tcPr>
          <w:p w14:paraId="7D31EED2" w14:textId="77777777" w:rsidR="00992061" w:rsidRDefault="00992061">
            <w:pPr>
              <w:rPr>
                <w:sz w:val="1"/>
                <w:szCs w:val="1"/>
              </w:rPr>
            </w:pPr>
          </w:p>
        </w:tc>
      </w:tr>
      <w:tr w:rsidR="00992061" w14:paraId="68587C09" w14:textId="77777777" w:rsidTr="00BB0FDD">
        <w:trPr>
          <w:trHeight w:val="293"/>
        </w:trPr>
        <w:tc>
          <w:tcPr>
            <w:tcW w:w="3040" w:type="dxa"/>
            <w:tcBorders>
              <w:left w:val="single" w:sz="8" w:space="0" w:color="auto"/>
              <w:right w:val="single" w:sz="8" w:space="0" w:color="auto"/>
            </w:tcBorders>
            <w:vAlign w:val="bottom"/>
          </w:tcPr>
          <w:p w14:paraId="4F4BE628" w14:textId="77777777" w:rsidR="00992061" w:rsidRDefault="00D1402E">
            <w:pPr>
              <w:ind w:left="280"/>
              <w:rPr>
                <w:sz w:val="20"/>
                <w:szCs w:val="20"/>
              </w:rPr>
            </w:pPr>
            <w:r>
              <w:rPr>
                <w:rFonts w:eastAsia="Times New Roman"/>
                <w:sz w:val="20"/>
                <w:szCs w:val="20"/>
              </w:rPr>
              <w:t>Диспнея</w:t>
            </w:r>
          </w:p>
        </w:tc>
        <w:tc>
          <w:tcPr>
            <w:tcW w:w="840" w:type="dxa"/>
            <w:vAlign w:val="bottom"/>
          </w:tcPr>
          <w:p w14:paraId="2DC974E8" w14:textId="77777777" w:rsidR="00992061" w:rsidRDefault="00D1402E">
            <w:pPr>
              <w:jc w:val="center"/>
              <w:rPr>
                <w:sz w:val="20"/>
                <w:szCs w:val="20"/>
              </w:rPr>
            </w:pPr>
            <w:r>
              <w:rPr>
                <w:rFonts w:eastAsia="Times New Roman"/>
                <w:w w:val="99"/>
                <w:sz w:val="20"/>
                <w:szCs w:val="20"/>
              </w:rPr>
              <w:t>41</w:t>
            </w:r>
          </w:p>
        </w:tc>
        <w:tc>
          <w:tcPr>
            <w:tcW w:w="140" w:type="dxa"/>
            <w:tcBorders>
              <w:right w:val="single" w:sz="8" w:space="0" w:color="auto"/>
            </w:tcBorders>
            <w:vAlign w:val="bottom"/>
          </w:tcPr>
          <w:p w14:paraId="2496C319" w14:textId="77777777" w:rsidR="00992061" w:rsidRDefault="00992061">
            <w:pPr>
              <w:rPr>
                <w:sz w:val="24"/>
                <w:szCs w:val="24"/>
              </w:rPr>
            </w:pPr>
          </w:p>
        </w:tc>
        <w:tc>
          <w:tcPr>
            <w:tcW w:w="620" w:type="dxa"/>
            <w:tcBorders>
              <w:right w:val="single" w:sz="8" w:space="0" w:color="auto"/>
            </w:tcBorders>
            <w:vAlign w:val="bottom"/>
          </w:tcPr>
          <w:p w14:paraId="46C74F41" w14:textId="77777777" w:rsidR="00992061" w:rsidRDefault="00D1402E">
            <w:pPr>
              <w:jc w:val="center"/>
              <w:rPr>
                <w:sz w:val="20"/>
                <w:szCs w:val="20"/>
              </w:rPr>
            </w:pPr>
            <w:r>
              <w:rPr>
                <w:rFonts w:eastAsia="Times New Roman"/>
                <w:w w:val="99"/>
                <w:sz w:val="20"/>
                <w:szCs w:val="20"/>
              </w:rPr>
              <w:t>17</w:t>
            </w:r>
          </w:p>
        </w:tc>
        <w:tc>
          <w:tcPr>
            <w:tcW w:w="860" w:type="dxa"/>
            <w:tcBorders>
              <w:right w:val="single" w:sz="8" w:space="0" w:color="auto"/>
            </w:tcBorders>
            <w:vAlign w:val="bottom"/>
          </w:tcPr>
          <w:p w14:paraId="67383ACA" w14:textId="77777777" w:rsidR="00992061" w:rsidRDefault="00D1402E">
            <w:pPr>
              <w:jc w:val="center"/>
              <w:rPr>
                <w:sz w:val="20"/>
                <w:szCs w:val="20"/>
              </w:rPr>
            </w:pPr>
            <w:r>
              <w:rPr>
                <w:rFonts w:eastAsia="Times New Roman"/>
                <w:w w:val="99"/>
                <w:sz w:val="20"/>
                <w:szCs w:val="20"/>
              </w:rPr>
              <w:t>11</w:t>
            </w:r>
          </w:p>
        </w:tc>
        <w:tc>
          <w:tcPr>
            <w:tcW w:w="900" w:type="dxa"/>
            <w:vAlign w:val="bottom"/>
          </w:tcPr>
          <w:p w14:paraId="733450D7"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390E32CE" w14:textId="77777777" w:rsidR="00992061" w:rsidRDefault="00992061">
            <w:pPr>
              <w:rPr>
                <w:sz w:val="24"/>
                <w:szCs w:val="24"/>
              </w:rPr>
            </w:pPr>
          </w:p>
        </w:tc>
        <w:tc>
          <w:tcPr>
            <w:tcW w:w="700" w:type="dxa"/>
            <w:tcBorders>
              <w:right w:val="single" w:sz="8" w:space="0" w:color="auto"/>
            </w:tcBorders>
            <w:vAlign w:val="bottom"/>
          </w:tcPr>
          <w:p w14:paraId="70BFD57C" w14:textId="77777777" w:rsidR="00992061" w:rsidRDefault="00D1402E">
            <w:pPr>
              <w:jc w:val="center"/>
              <w:rPr>
                <w:sz w:val="20"/>
                <w:szCs w:val="20"/>
              </w:rPr>
            </w:pPr>
            <w:r>
              <w:rPr>
                <w:rFonts w:eastAsia="Times New Roman"/>
                <w:sz w:val="20"/>
                <w:szCs w:val="20"/>
              </w:rPr>
              <w:t>-</w:t>
            </w:r>
          </w:p>
        </w:tc>
        <w:tc>
          <w:tcPr>
            <w:tcW w:w="260" w:type="dxa"/>
            <w:vAlign w:val="bottom"/>
          </w:tcPr>
          <w:p w14:paraId="0A6DEF49" w14:textId="77777777" w:rsidR="00992061" w:rsidRDefault="00992061">
            <w:pPr>
              <w:rPr>
                <w:sz w:val="24"/>
                <w:szCs w:val="24"/>
              </w:rPr>
            </w:pPr>
          </w:p>
        </w:tc>
        <w:tc>
          <w:tcPr>
            <w:tcW w:w="600" w:type="dxa"/>
            <w:tcBorders>
              <w:right w:val="single" w:sz="8" w:space="0" w:color="auto"/>
            </w:tcBorders>
            <w:vAlign w:val="bottom"/>
          </w:tcPr>
          <w:p w14:paraId="3681731A"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1F296D09"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1348BBC7" w14:textId="77777777" w:rsidR="00992061" w:rsidRDefault="00992061">
            <w:pPr>
              <w:rPr>
                <w:sz w:val="1"/>
                <w:szCs w:val="1"/>
              </w:rPr>
            </w:pPr>
          </w:p>
        </w:tc>
      </w:tr>
      <w:tr w:rsidR="00992061" w14:paraId="6019C1E1" w14:textId="77777777" w:rsidTr="00BB0FDD">
        <w:trPr>
          <w:trHeight w:val="288"/>
        </w:trPr>
        <w:tc>
          <w:tcPr>
            <w:tcW w:w="3040" w:type="dxa"/>
            <w:tcBorders>
              <w:left w:val="single" w:sz="8" w:space="0" w:color="auto"/>
              <w:right w:val="single" w:sz="8" w:space="0" w:color="auto"/>
            </w:tcBorders>
            <w:vAlign w:val="bottom"/>
          </w:tcPr>
          <w:p w14:paraId="259B4EB2" w14:textId="77777777" w:rsidR="00992061" w:rsidRDefault="00D1402E">
            <w:pPr>
              <w:ind w:left="280"/>
              <w:rPr>
                <w:sz w:val="20"/>
                <w:szCs w:val="20"/>
              </w:rPr>
            </w:pPr>
            <w:r>
              <w:rPr>
                <w:rFonts w:eastAsia="Times New Roman"/>
                <w:sz w:val="20"/>
                <w:szCs w:val="20"/>
              </w:rPr>
              <w:t>Кашлица</w:t>
            </w:r>
          </w:p>
        </w:tc>
        <w:tc>
          <w:tcPr>
            <w:tcW w:w="840" w:type="dxa"/>
            <w:vAlign w:val="bottom"/>
          </w:tcPr>
          <w:p w14:paraId="5226CBF1" w14:textId="77777777" w:rsidR="00992061" w:rsidRDefault="00D1402E">
            <w:pPr>
              <w:jc w:val="center"/>
              <w:rPr>
                <w:sz w:val="20"/>
                <w:szCs w:val="20"/>
              </w:rPr>
            </w:pPr>
            <w:r>
              <w:rPr>
                <w:rFonts w:eastAsia="Times New Roman"/>
                <w:w w:val="99"/>
                <w:sz w:val="20"/>
                <w:szCs w:val="20"/>
              </w:rPr>
              <w:t>33</w:t>
            </w:r>
          </w:p>
        </w:tc>
        <w:tc>
          <w:tcPr>
            <w:tcW w:w="140" w:type="dxa"/>
            <w:tcBorders>
              <w:right w:val="single" w:sz="8" w:space="0" w:color="auto"/>
            </w:tcBorders>
            <w:vAlign w:val="bottom"/>
          </w:tcPr>
          <w:p w14:paraId="356ACF1E" w14:textId="77777777" w:rsidR="00992061" w:rsidRDefault="00992061">
            <w:pPr>
              <w:rPr>
                <w:sz w:val="24"/>
                <w:szCs w:val="24"/>
              </w:rPr>
            </w:pPr>
          </w:p>
        </w:tc>
        <w:tc>
          <w:tcPr>
            <w:tcW w:w="620" w:type="dxa"/>
            <w:tcBorders>
              <w:right w:val="single" w:sz="8" w:space="0" w:color="auto"/>
            </w:tcBorders>
            <w:vAlign w:val="bottom"/>
          </w:tcPr>
          <w:p w14:paraId="5D988152" w14:textId="77777777" w:rsidR="00992061" w:rsidRDefault="00D1402E">
            <w:pPr>
              <w:jc w:val="center"/>
              <w:rPr>
                <w:sz w:val="20"/>
                <w:szCs w:val="20"/>
              </w:rPr>
            </w:pPr>
            <w:r>
              <w:rPr>
                <w:rFonts w:eastAsia="Times New Roman"/>
                <w:w w:val="99"/>
                <w:sz w:val="20"/>
                <w:szCs w:val="20"/>
              </w:rPr>
              <w:t>4</w:t>
            </w:r>
          </w:p>
        </w:tc>
        <w:tc>
          <w:tcPr>
            <w:tcW w:w="860" w:type="dxa"/>
            <w:tcBorders>
              <w:right w:val="single" w:sz="8" w:space="0" w:color="auto"/>
            </w:tcBorders>
            <w:vAlign w:val="bottom"/>
          </w:tcPr>
          <w:p w14:paraId="3EA6154F" w14:textId="77777777" w:rsidR="00992061" w:rsidRDefault="00D1402E">
            <w:pPr>
              <w:jc w:val="center"/>
              <w:rPr>
                <w:sz w:val="20"/>
                <w:szCs w:val="20"/>
              </w:rPr>
            </w:pPr>
            <w:r>
              <w:rPr>
                <w:rFonts w:eastAsia="Times New Roman"/>
                <w:w w:val="99"/>
                <w:sz w:val="20"/>
                <w:szCs w:val="20"/>
              </w:rPr>
              <w:t>0</w:t>
            </w:r>
          </w:p>
        </w:tc>
        <w:tc>
          <w:tcPr>
            <w:tcW w:w="900" w:type="dxa"/>
            <w:vAlign w:val="bottom"/>
          </w:tcPr>
          <w:p w14:paraId="048C4E78" w14:textId="77777777" w:rsidR="00992061" w:rsidRDefault="00D1402E">
            <w:pPr>
              <w:jc w:val="center"/>
              <w:rPr>
                <w:sz w:val="20"/>
                <w:szCs w:val="20"/>
              </w:rPr>
            </w:pPr>
            <w:r>
              <w:rPr>
                <w:rFonts w:eastAsia="Times New Roman"/>
                <w:w w:val="99"/>
                <w:sz w:val="20"/>
                <w:szCs w:val="20"/>
              </w:rPr>
              <w:t>16</w:t>
            </w:r>
          </w:p>
        </w:tc>
        <w:tc>
          <w:tcPr>
            <w:tcW w:w="140" w:type="dxa"/>
            <w:tcBorders>
              <w:right w:val="single" w:sz="8" w:space="0" w:color="auto"/>
            </w:tcBorders>
            <w:vAlign w:val="bottom"/>
          </w:tcPr>
          <w:p w14:paraId="15AB121C" w14:textId="77777777" w:rsidR="00992061" w:rsidRDefault="00992061">
            <w:pPr>
              <w:rPr>
                <w:sz w:val="24"/>
                <w:szCs w:val="24"/>
              </w:rPr>
            </w:pPr>
          </w:p>
        </w:tc>
        <w:tc>
          <w:tcPr>
            <w:tcW w:w="700" w:type="dxa"/>
            <w:tcBorders>
              <w:right w:val="single" w:sz="8" w:space="0" w:color="auto"/>
            </w:tcBorders>
            <w:vAlign w:val="bottom"/>
          </w:tcPr>
          <w:p w14:paraId="5EE27EB5" w14:textId="77777777" w:rsidR="00992061" w:rsidRDefault="00D1402E">
            <w:pPr>
              <w:jc w:val="center"/>
              <w:rPr>
                <w:sz w:val="20"/>
                <w:szCs w:val="20"/>
              </w:rPr>
            </w:pPr>
            <w:r>
              <w:rPr>
                <w:rFonts w:eastAsia="Times New Roman"/>
                <w:w w:val="99"/>
                <w:sz w:val="20"/>
                <w:szCs w:val="20"/>
              </w:rPr>
              <w:t>0</w:t>
            </w:r>
          </w:p>
        </w:tc>
        <w:tc>
          <w:tcPr>
            <w:tcW w:w="260" w:type="dxa"/>
            <w:vAlign w:val="bottom"/>
          </w:tcPr>
          <w:p w14:paraId="3223CAFC" w14:textId="77777777" w:rsidR="00992061" w:rsidRDefault="00992061">
            <w:pPr>
              <w:rPr>
                <w:sz w:val="24"/>
                <w:szCs w:val="24"/>
              </w:rPr>
            </w:pPr>
          </w:p>
        </w:tc>
        <w:tc>
          <w:tcPr>
            <w:tcW w:w="600" w:type="dxa"/>
            <w:tcBorders>
              <w:right w:val="single" w:sz="8" w:space="0" w:color="auto"/>
            </w:tcBorders>
            <w:vAlign w:val="bottom"/>
          </w:tcPr>
          <w:p w14:paraId="222EE83C"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7C901298"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3E265864" w14:textId="77777777" w:rsidR="00992061" w:rsidRDefault="00992061">
            <w:pPr>
              <w:rPr>
                <w:sz w:val="1"/>
                <w:szCs w:val="1"/>
              </w:rPr>
            </w:pPr>
          </w:p>
        </w:tc>
      </w:tr>
      <w:tr w:rsidR="00992061" w14:paraId="51CA6737" w14:textId="77777777" w:rsidTr="00BB0FDD">
        <w:trPr>
          <w:trHeight w:val="55"/>
        </w:trPr>
        <w:tc>
          <w:tcPr>
            <w:tcW w:w="3040" w:type="dxa"/>
            <w:tcBorders>
              <w:left w:val="single" w:sz="8" w:space="0" w:color="auto"/>
              <w:bottom w:val="single" w:sz="8" w:space="0" w:color="auto"/>
              <w:right w:val="single" w:sz="8" w:space="0" w:color="auto"/>
            </w:tcBorders>
            <w:vAlign w:val="bottom"/>
          </w:tcPr>
          <w:p w14:paraId="572FAE80" w14:textId="77777777" w:rsidR="00992061" w:rsidRDefault="00992061">
            <w:pPr>
              <w:rPr>
                <w:sz w:val="4"/>
                <w:szCs w:val="4"/>
              </w:rPr>
            </w:pPr>
          </w:p>
        </w:tc>
        <w:tc>
          <w:tcPr>
            <w:tcW w:w="840" w:type="dxa"/>
            <w:tcBorders>
              <w:bottom w:val="single" w:sz="8" w:space="0" w:color="auto"/>
            </w:tcBorders>
            <w:vAlign w:val="bottom"/>
          </w:tcPr>
          <w:p w14:paraId="5B465591" w14:textId="77777777" w:rsidR="00992061" w:rsidRDefault="00992061">
            <w:pPr>
              <w:rPr>
                <w:sz w:val="4"/>
                <w:szCs w:val="4"/>
              </w:rPr>
            </w:pPr>
          </w:p>
        </w:tc>
        <w:tc>
          <w:tcPr>
            <w:tcW w:w="140" w:type="dxa"/>
            <w:tcBorders>
              <w:bottom w:val="single" w:sz="8" w:space="0" w:color="auto"/>
              <w:right w:val="single" w:sz="8" w:space="0" w:color="auto"/>
            </w:tcBorders>
            <w:vAlign w:val="bottom"/>
          </w:tcPr>
          <w:p w14:paraId="344D7930" w14:textId="77777777" w:rsidR="00992061" w:rsidRDefault="00992061">
            <w:pPr>
              <w:rPr>
                <w:sz w:val="4"/>
                <w:szCs w:val="4"/>
              </w:rPr>
            </w:pPr>
          </w:p>
        </w:tc>
        <w:tc>
          <w:tcPr>
            <w:tcW w:w="620" w:type="dxa"/>
            <w:tcBorders>
              <w:bottom w:val="single" w:sz="8" w:space="0" w:color="auto"/>
              <w:right w:val="single" w:sz="8" w:space="0" w:color="auto"/>
            </w:tcBorders>
            <w:vAlign w:val="bottom"/>
          </w:tcPr>
          <w:p w14:paraId="1B2EF44A" w14:textId="77777777" w:rsidR="00992061" w:rsidRDefault="00992061">
            <w:pPr>
              <w:rPr>
                <w:sz w:val="4"/>
                <w:szCs w:val="4"/>
              </w:rPr>
            </w:pPr>
          </w:p>
        </w:tc>
        <w:tc>
          <w:tcPr>
            <w:tcW w:w="860" w:type="dxa"/>
            <w:tcBorders>
              <w:bottom w:val="single" w:sz="8" w:space="0" w:color="auto"/>
              <w:right w:val="single" w:sz="8" w:space="0" w:color="auto"/>
            </w:tcBorders>
            <w:vAlign w:val="bottom"/>
          </w:tcPr>
          <w:p w14:paraId="735E8A27" w14:textId="77777777" w:rsidR="00992061" w:rsidRDefault="00992061">
            <w:pPr>
              <w:rPr>
                <w:sz w:val="4"/>
                <w:szCs w:val="4"/>
              </w:rPr>
            </w:pPr>
          </w:p>
        </w:tc>
        <w:tc>
          <w:tcPr>
            <w:tcW w:w="900" w:type="dxa"/>
            <w:tcBorders>
              <w:bottom w:val="single" w:sz="8" w:space="0" w:color="auto"/>
            </w:tcBorders>
            <w:vAlign w:val="bottom"/>
          </w:tcPr>
          <w:p w14:paraId="0CE7011E" w14:textId="77777777" w:rsidR="00992061" w:rsidRDefault="00992061">
            <w:pPr>
              <w:rPr>
                <w:sz w:val="4"/>
                <w:szCs w:val="4"/>
              </w:rPr>
            </w:pPr>
          </w:p>
        </w:tc>
        <w:tc>
          <w:tcPr>
            <w:tcW w:w="140" w:type="dxa"/>
            <w:tcBorders>
              <w:bottom w:val="single" w:sz="8" w:space="0" w:color="auto"/>
              <w:right w:val="single" w:sz="8" w:space="0" w:color="auto"/>
            </w:tcBorders>
            <w:vAlign w:val="bottom"/>
          </w:tcPr>
          <w:p w14:paraId="1522949F" w14:textId="77777777" w:rsidR="00992061" w:rsidRDefault="00992061">
            <w:pPr>
              <w:rPr>
                <w:sz w:val="4"/>
                <w:szCs w:val="4"/>
              </w:rPr>
            </w:pPr>
          </w:p>
        </w:tc>
        <w:tc>
          <w:tcPr>
            <w:tcW w:w="700" w:type="dxa"/>
            <w:tcBorders>
              <w:bottom w:val="single" w:sz="8" w:space="0" w:color="auto"/>
              <w:right w:val="single" w:sz="8" w:space="0" w:color="auto"/>
            </w:tcBorders>
            <w:vAlign w:val="bottom"/>
          </w:tcPr>
          <w:p w14:paraId="6AAC5E7E" w14:textId="77777777" w:rsidR="00992061" w:rsidRDefault="00992061">
            <w:pPr>
              <w:rPr>
                <w:sz w:val="4"/>
                <w:szCs w:val="4"/>
              </w:rPr>
            </w:pPr>
          </w:p>
        </w:tc>
        <w:tc>
          <w:tcPr>
            <w:tcW w:w="260" w:type="dxa"/>
            <w:tcBorders>
              <w:bottom w:val="single" w:sz="8" w:space="0" w:color="auto"/>
            </w:tcBorders>
            <w:vAlign w:val="bottom"/>
          </w:tcPr>
          <w:p w14:paraId="71B1F398" w14:textId="77777777" w:rsidR="00992061" w:rsidRDefault="00992061">
            <w:pPr>
              <w:rPr>
                <w:sz w:val="4"/>
                <w:szCs w:val="4"/>
              </w:rPr>
            </w:pPr>
          </w:p>
        </w:tc>
        <w:tc>
          <w:tcPr>
            <w:tcW w:w="600" w:type="dxa"/>
            <w:tcBorders>
              <w:bottom w:val="single" w:sz="8" w:space="0" w:color="auto"/>
              <w:right w:val="single" w:sz="8" w:space="0" w:color="auto"/>
            </w:tcBorders>
            <w:vAlign w:val="bottom"/>
          </w:tcPr>
          <w:p w14:paraId="52DAF6AB" w14:textId="77777777" w:rsidR="00992061" w:rsidRDefault="00992061">
            <w:pPr>
              <w:rPr>
                <w:sz w:val="4"/>
                <w:szCs w:val="4"/>
              </w:rPr>
            </w:pPr>
          </w:p>
        </w:tc>
        <w:tc>
          <w:tcPr>
            <w:tcW w:w="1580" w:type="dxa"/>
            <w:tcBorders>
              <w:bottom w:val="single" w:sz="8" w:space="0" w:color="auto"/>
              <w:right w:val="single" w:sz="8" w:space="0" w:color="auto"/>
            </w:tcBorders>
            <w:vAlign w:val="bottom"/>
          </w:tcPr>
          <w:p w14:paraId="3535E00E" w14:textId="77777777" w:rsidR="00992061" w:rsidRDefault="00992061">
            <w:pPr>
              <w:rPr>
                <w:sz w:val="4"/>
                <w:szCs w:val="4"/>
              </w:rPr>
            </w:pPr>
          </w:p>
        </w:tc>
        <w:tc>
          <w:tcPr>
            <w:tcW w:w="30" w:type="dxa"/>
            <w:vAlign w:val="bottom"/>
          </w:tcPr>
          <w:p w14:paraId="6EE13C12" w14:textId="77777777" w:rsidR="00992061" w:rsidRDefault="00992061">
            <w:pPr>
              <w:rPr>
                <w:sz w:val="1"/>
                <w:szCs w:val="1"/>
              </w:rPr>
            </w:pPr>
          </w:p>
        </w:tc>
      </w:tr>
      <w:tr w:rsidR="00992061" w14:paraId="04AAD711" w14:textId="77777777" w:rsidTr="00BB0FDD">
        <w:trPr>
          <w:trHeight w:val="285"/>
        </w:trPr>
        <w:tc>
          <w:tcPr>
            <w:tcW w:w="3040" w:type="dxa"/>
            <w:tcBorders>
              <w:left w:val="single" w:sz="8" w:space="0" w:color="auto"/>
              <w:right w:val="single" w:sz="8" w:space="0" w:color="auto"/>
            </w:tcBorders>
            <w:vAlign w:val="bottom"/>
          </w:tcPr>
          <w:p w14:paraId="5CE67961" w14:textId="77777777" w:rsidR="00992061" w:rsidRDefault="00D1402E">
            <w:pPr>
              <w:ind w:left="80"/>
              <w:rPr>
                <w:sz w:val="20"/>
                <w:szCs w:val="20"/>
              </w:rPr>
            </w:pPr>
            <w:r>
              <w:rPr>
                <w:rFonts w:eastAsia="Times New Roman"/>
                <w:i/>
                <w:iCs/>
                <w:sz w:val="20"/>
                <w:szCs w:val="20"/>
              </w:rPr>
              <w:t>Стомашно-чревни нарушения</w:t>
            </w:r>
          </w:p>
        </w:tc>
        <w:tc>
          <w:tcPr>
            <w:tcW w:w="840" w:type="dxa"/>
            <w:vAlign w:val="bottom"/>
          </w:tcPr>
          <w:p w14:paraId="10CB5442" w14:textId="77777777" w:rsidR="00992061" w:rsidRDefault="00992061">
            <w:pPr>
              <w:rPr>
                <w:sz w:val="24"/>
                <w:szCs w:val="24"/>
              </w:rPr>
            </w:pPr>
          </w:p>
        </w:tc>
        <w:tc>
          <w:tcPr>
            <w:tcW w:w="140" w:type="dxa"/>
            <w:tcBorders>
              <w:right w:val="single" w:sz="8" w:space="0" w:color="auto"/>
            </w:tcBorders>
            <w:vAlign w:val="bottom"/>
          </w:tcPr>
          <w:p w14:paraId="636C2F88" w14:textId="77777777" w:rsidR="00992061" w:rsidRDefault="00992061">
            <w:pPr>
              <w:rPr>
                <w:sz w:val="24"/>
                <w:szCs w:val="24"/>
              </w:rPr>
            </w:pPr>
          </w:p>
        </w:tc>
        <w:tc>
          <w:tcPr>
            <w:tcW w:w="620" w:type="dxa"/>
            <w:tcBorders>
              <w:right w:val="single" w:sz="8" w:space="0" w:color="auto"/>
            </w:tcBorders>
            <w:vAlign w:val="bottom"/>
          </w:tcPr>
          <w:p w14:paraId="48686027" w14:textId="77777777" w:rsidR="00992061" w:rsidRDefault="00992061">
            <w:pPr>
              <w:rPr>
                <w:sz w:val="24"/>
                <w:szCs w:val="24"/>
              </w:rPr>
            </w:pPr>
          </w:p>
        </w:tc>
        <w:tc>
          <w:tcPr>
            <w:tcW w:w="860" w:type="dxa"/>
            <w:tcBorders>
              <w:right w:val="single" w:sz="8" w:space="0" w:color="auto"/>
            </w:tcBorders>
            <w:vAlign w:val="bottom"/>
          </w:tcPr>
          <w:p w14:paraId="673D99A6" w14:textId="77777777" w:rsidR="00992061" w:rsidRDefault="00992061">
            <w:pPr>
              <w:rPr>
                <w:sz w:val="24"/>
                <w:szCs w:val="24"/>
              </w:rPr>
            </w:pPr>
          </w:p>
        </w:tc>
        <w:tc>
          <w:tcPr>
            <w:tcW w:w="900" w:type="dxa"/>
            <w:vAlign w:val="bottom"/>
          </w:tcPr>
          <w:p w14:paraId="413C5B35" w14:textId="77777777" w:rsidR="00992061" w:rsidRDefault="00992061">
            <w:pPr>
              <w:rPr>
                <w:sz w:val="24"/>
                <w:szCs w:val="24"/>
              </w:rPr>
            </w:pPr>
          </w:p>
        </w:tc>
        <w:tc>
          <w:tcPr>
            <w:tcW w:w="140" w:type="dxa"/>
            <w:tcBorders>
              <w:right w:val="single" w:sz="8" w:space="0" w:color="auto"/>
            </w:tcBorders>
            <w:vAlign w:val="bottom"/>
          </w:tcPr>
          <w:p w14:paraId="4383DB4B" w14:textId="77777777" w:rsidR="00992061" w:rsidRDefault="00992061">
            <w:pPr>
              <w:rPr>
                <w:sz w:val="24"/>
                <w:szCs w:val="24"/>
              </w:rPr>
            </w:pPr>
          </w:p>
        </w:tc>
        <w:tc>
          <w:tcPr>
            <w:tcW w:w="700" w:type="dxa"/>
            <w:tcBorders>
              <w:right w:val="single" w:sz="8" w:space="0" w:color="auto"/>
            </w:tcBorders>
            <w:vAlign w:val="bottom"/>
          </w:tcPr>
          <w:p w14:paraId="34809A53" w14:textId="77777777" w:rsidR="00992061" w:rsidRDefault="00992061">
            <w:pPr>
              <w:rPr>
                <w:sz w:val="24"/>
                <w:szCs w:val="24"/>
              </w:rPr>
            </w:pPr>
          </w:p>
        </w:tc>
        <w:tc>
          <w:tcPr>
            <w:tcW w:w="260" w:type="dxa"/>
            <w:vAlign w:val="bottom"/>
          </w:tcPr>
          <w:p w14:paraId="44AD1FF8" w14:textId="77777777" w:rsidR="00992061" w:rsidRDefault="00992061">
            <w:pPr>
              <w:rPr>
                <w:sz w:val="24"/>
                <w:szCs w:val="24"/>
              </w:rPr>
            </w:pPr>
          </w:p>
        </w:tc>
        <w:tc>
          <w:tcPr>
            <w:tcW w:w="600" w:type="dxa"/>
            <w:tcBorders>
              <w:right w:val="single" w:sz="8" w:space="0" w:color="auto"/>
            </w:tcBorders>
            <w:vAlign w:val="bottom"/>
          </w:tcPr>
          <w:p w14:paraId="40B04150" w14:textId="77777777" w:rsidR="00992061" w:rsidRDefault="00992061">
            <w:pPr>
              <w:rPr>
                <w:sz w:val="24"/>
                <w:szCs w:val="24"/>
              </w:rPr>
            </w:pPr>
          </w:p>
        </w:tc>
        <w:tc>
          <w:tcPr>
            <w:tcW w:w="1580" w:type="dxa"/>
            <w:tcBorders>
              <w:right w:val="single" w:sz="8" w:space="0" w:color="auto"/>
            </w:tcBorders>
            <w:vAlign w:val="bottom"/>
          </w:tcPr>
          <w:p w14:paraId="44C67A32" w14:textId="77777777" w:rsidR="00992061" w:rsidRDefault="00992061">
            <w:pPr>
              <w:rPr>
                <w:sz w:val="24"/>
                <w:szCs w:val="24"/>
              </w:rPr>
            </w:pPr>
          </w:p>
        </w:tc>
        <w:tc>
          <w:tcPr>
            <w:tcW w:w="30" w:type="dxa"/>
            <w:vAlign w:val="bottom"/>
          </w:tcPr>
          <w:p w14:paraId="0D4AABBB" w14:textId="77777777" w:rsidR="00992061" w:rsidRDefault="00992061">
            <w:pPr>
              <w:rPr>
                <w:sz w:val="1"/>
                <w:szCs w:val="1"/>
              </w:rPr>
            </w:pPr>
          </w:p>
        </w:tc>
      </w:tr>
      <w:tr w:rsidR="00992061" w14:paraId="5ECA4803" w14:textId="77777777" w:rsidTr="00BB0FDD">
        <w:trPr>
          <w:trHeight w:val="288"/>
        </w:trPr>
        <w:tc>
          <w:tcPr>
            <w:tcW w:w="3040" w:type="dxa"/>
            <w:tcBorders>
              <w:left w:val="single" w:sz="8" w:space="0" w:color="auto"/>
              <w:right w:val="single" w:sz="8" w:space="0" w:color="auto"/>
            </w:tcBorders>
            <w:vAlign w:val="bottom"/>
          </w:tcPr>
          <w:p w14:paraId="29094825" w14:textId="77777777" w:rsidR="00992061" w:rsidRDefault="00D1402E">
            <w:pPr>
              <w:ind w:left="280"/>
              <w:rPr>
                <w:sz w:val="20"/>
                <w:szCs w:val="20"/>
              </w:rPr>
            </w:pPr>
            <w:r>
              <w:rPr>
                <w:rFonts w:eastAsia="Times New Roman"/>
                <w:sz w:val="20"/>
                <w:szCs w:val="20"/>
              </w:rPr>
              <w:t>Диария**</w:t>
            </w:r>
          </w:p>
        </w:tc>
        <w:tc>
          <w:tcPr>
            <w:tcW w:w="840" w:type="dxa"/>
            <w:vAlign w:val="bottom"/>
          </w:tcPr>
          <w:p w14:paraId="64218A48" w14:textId="77777777" w:rsidR="00992061" w:rsidRDefault="00D1402E">
            <w:pPr>
              <w:jc w:val="center"/>
              <w:rPr>
                <w:sz w:val="20"/>
                <w:szCs w:val="20"/>
              </w:rPr>
            </w:pPr>
            <w:r>
              <w:rPr>
                <w:rFonts w:eastAsia="Times New Roman"/>
                <w:w w:val="99"/>
                <w:sz w:val="20"/>
                <w:szCs w:val="20"/>
              </w:rPr>
              <w:t>54</w:t>
            </w:r>
          </w:p>
        </w:tc>
        <w:tc>
          <w:tcPr>
            <w:tcW w:w="140" w:type="dxa"/>
            <w:tcBorders>
              <w:right w:val="single" w:sz="8" w:space="0" w:color="auto"/>
            </w:tcBorders>
            <w:vAlign w:val="bottom"/>
          </w:tcPr>
          <w:p w14:paraId="75C2DA00" w14:textId="77777777" w:rsidR="00992061" w:rsidRDefault="00992061">
            <w:pPr>
              <w:rPr>
                <w:sz w:val="24"/>
                <w:szCs w:val="24"/>
              </w:rPr>
            </w:pPr>
          </w:p>
        </w:tc>
        <w:tc>
          <w:tcPr>
            <w:tcW w:w="620" w:type="dxa"/>
            <w:tcBorders>
              <w:right w:val="single" w:sz="8" w:space="0" w:color="auto"/>
            </w:tcBorders>
            <w:vAlign w:val="bottom"/>
          </w:tcPr>
          <w:p w14:paraId="4F3216C7" w14:textId="77777777" w:rsidR="00992061" w:rsidRDefault="00D1402E">
            <w:pPr>
              <w:jc w:val="center"/>
              <w:rPr>
                <w:sz w:val="20"/>
                <w:szCs w:val="20"/>
              </w:rPr>
            </w:pPr>
            <w:r>
              <w:rPr>
                <w:rFonts w:eastAsia="Times New Roman"/>
                <w:w w:val="99"/>
                <w:sz w:val="20"/>
                <w:szCs w:val="20"/>
              </w:rPr>
              <w:t>6</w:t>
            </w:r>
          </w:p>
        </w:tc>
        <w:tc>
          <w:tcPr>
            <w:tcW w:w="860" w:type="dxa"/>
            <w:tcBorders>
              <w:right w:val="single" w:sz="8" w:space="0" w:color="auto"/>
            </w:tcBorders>
            <w:vAlign w:val="bottom"/>
          </w:tcPr>
          <w:p w14:paraId="4FA0B5F8" w14:textId="77777777" w:rsidR="00992061" w:rsidRDefault="00D1402E">
            <w:pPr>
              <w:jc w:val="center"/>
              <w:rPr>
                <w:sz w:val="20"/>
                <w:szCs w:val="20"/>
              </w:rPr>
            </w:pPr>
            <w:r>
              <w:rPr>
                <w:rFonts w:eastAsia="Times New Roman"/>
                <w:sz w:val="20"/>
                <w:szCs w:val="20"/>
              </w:rPr>
              <w:t>&lt;1</w:t>
            </w:r>
          </w:p>
        </w:tc>
        <w:tc>
          <w:tcPr>
            <w:tcW w:w="900" w:type="dxa"/>
            <w:vAlign w:val="bottom"/>
          </w:tcPr>
          <w:p w14:paraId="6371D797" w14:textId="77777777" w:rsidR="00992061" w:rsidRDefault="00D1402E">
            <w:pPr>
              <w:jc w:val="center"/>
              <w:rPr>
                <w:sz w:val="20"/>
                <w:szCs w:val="20"/>
              </w:rPr>
            </w:pPr>
            <w:r>
              <w:rPr>
                <w:rFonts w:eastAsia="Times New Roman"/>
                <w:w w:val="99"/>
                <w:sz w:val="20"/>
                <w:szCs w:val="20"/>
              </w:rPr>
              <w:t>48</w:t>
            </w:r>
          </w:p>
        </w:tc>
        <w:tc>
          <w:tcPr>
            <w:tcW w:w="140" w:type="dxa"/>
            <w:tcBorders>
              <w:right w:val="single" w:sz="8" w:space="0" w:color="auto"/>
            </w:tcBorders>
            <w:vAlign w:val="bottom"/>
          </w:tcPr>
          <w:p w14:paraId="2168964C" w14:textId="77777777" w:rsidR="00992061" w:rsidRDefault="00992061">
            <w:pPr>
              <w:rPr>
                <w:sz w:val="24"/>
                <w:szCs w:val="24"/>
              </w:rPr>
            </w:pPr>
          </w:p>
        </w:tc>
        <w:tc>
          <w:tcPr>
            <w:tcW w:w="700" w:type="dxa"/>
            <w:tcBorders>
              <w:right w:val="single" w:sz="8" w:space="0" w:color="auto"/>
            </w:tcBorders>
            <w:vAlign w:val="bottom"/>
          </w:tcPr>
          <w:p w14:paraId="445A9E4D" w14:textId="77777777" w:rsidR="00992061" w:rsidRDefault="00D1402E">
            <w:pPr>
              <w:jc w:val="center"/>
              <w:rPr>
                <w:sz w:val="20"/>
                <w:szCs w:val="20"/>
              </w:rPr>
            </w:pPr>
            <w:r>
              <w:rPr>
                <w:rFonts w:eastAsia="Times New Roman"/>
                <w:w w:val="99"/>
                <w:sz w:val="20"/>
                <w:szCs w:val="20"/>
              </w:rPr>
              <w:t>5</w:t>
            </w:r>
          </w:p>
        </w:tc>
        <w:tc>
          <w:tcPr>
            <w:tcW w:w="260" w:type="dxa"/>
            <w:vAlign w:val="bottom"/>
          </w:tcPr>
          <w:p w14:paraId="6377CEC1" w14:textId="77777777" w:rsidR="00992061" w:rsidRDefault="00992061">
            <w:pPr>
              <w:rPr>
                <w:sz w:val="24"/>
                <w:szCs w:val="24"/>
              </w:rPr>
            </w:pPr>
          </w:p>
        </w:tc>
        <w:tc>
          <w:tcPr>
            <w:tcW w:w="600" w:type="dxa"/>
            <w:tcBorders>
              <w:right w:val="single" w:sz="8" w:space="0" w:color="auto"/>
            </w:tcBorders>
            <w:vAlign w:val="bottom"/>
          </w:tcPr>
          <w:p w14:paraId="0643B9B4" w14:textId="77777777" w:rsidR="00992061" w:rsidRDefault="00D1402E">
            <w:pPr>
              <w:ind w:right="179"/>
              <w:jc w:val="center"/>
              <w:rPr>
                <w:sz w:val="20"/>
                <w:szCs w:val="20"/>
              </w:rPr>
            </w:pPr>
            <w:r>
              <w:rPr>
                <w:rFonts w:eastAsia="Times New Roman"/>
                <w:w w:val="93"/>
                <w:sz w:val="20"/>
                <w:szCs w:val="20"/>
              </w:rPr>
              <w:t>&lt;1</w:t>
            </w:r>
          </w:p>
        </w:tc>
        <w:tc>
          <w:tcPr>
            <w:tcW w:w="1580" w:type="dxa"/>
            <w:tcBorders>
              <w:right w:val="single" w:sz="8" w:space="0" w:color="auto"/>
            </w:tcBorders>
            <w:vAlign w:val="bottom"/>
          </w:tcPr>
          <w:p w14:paraId="6F37DDF8" w14:textId="77777777" w:rsidR="00992061" w:rsidRDefault="00D1402E">
            <w:pPr>
              <w:jc w:val="center"/>
              <w:rPr>
                <w:sz w:val="20"/>
                <w:szCs w:val="20"/>
              </w:rPr>
            </w:pPr>
            <w:r>
              <w:rPr>
                <w:rFonts w:eastAsia="Times New Roman"/>
                <w:w w:val="99"/>
                <w:sz w:val="20"/>
                <w:szCs w:val="20"/>
              </w:rPr>
              <w:t>Много чести</w:t>
            </w:r>
          </w:p>
        </w:tc>
        <w:tc>
          <w:tcPr>
            <w:tcW w:w="30" w:type="dxa"/>
            <w:vAlign w:val="bottom"/>
          </w:tcPr>
          <w:p w14:paraId="4D4B5A0B" w14:textId="77777777" w:rsidR="00992061" w:rsidRDefault="00992061">
            <w:pPr>
              <w:rPr>
                <w:sz w:val="1"/>
                <w:szCs w:val="1"/>
              </w:rPr>
            </w:pPr>
          </w:p>
        </w:tc>
      </w:tr>
      <w:tr w:rsidR="00992061" w14:paraId="29C909B0" w14:textId="77777777" w:rsidTr="00BB0FDD">
        <w:trPr>
          <w:trHeight w:val="288"/>
        </w:trPr>
        <w:tc>
          <w:tcPr>
            <w:tcW w:w="3040" w:type="dxa"/>
            <w:tcBorders>
              <w:left w:val="single" w:sz="8" w:space="0" w:color="auto"/>
              <w:right w:val="single" w:sz="8" w:space="0" w:color="auto"/>
            </w:tcBorders>
            <w:vAlign w:val="bottom"/>
          </w:tcPr>
          <w:p w14:paraId="11398A23" w14:textId="77777777" w:rsidR="00992061" w:rsidRDefault="00D1402E">
            <w:pPr>
              <w:ind w:left="280"/>
              <w:rPr>
                <w:sz w:val="20"/>
                <w:szCs w:val="20"/>
              </w:rPr>
            </w:pPr>
            <w:r>
              <w:rPr>
                <w:rFonts w:eastAsia="Times New Roman"/>
                <w:sz w:val="20"/>
                <w:szCs w:val="20"/>
              </w:rPr>
              <w:t>Гадене</w:t>
            </w:r>
          </w:p>
        </w:tc>
        <w:tc>
          <w:tcPr>
            <w:tcW w:w="840" w:type="dxa"/>
            <w:vAlign w:val="bottom"/>
          </w:tcPr>
          <w:p w14:paraId="67751B88" w14:textId="77777777" w:rsidR="00992061" w:rsidRDefault="00D1402E">
            <w:pPr>
              <w:jc w:val="center"/>
              <w:rPr>
                <w:sz w:val="20"/>
                <w:szCs w:val="20"/>
              </w:rPr>
            </w:pPr>
            <w:r>
              <w:rPr>
                <w:rFonts w:eastAsia="Times New Roman"/>
                <w:w w:val="99"/>
                <w:sz w:val="20"/>
                <w:szCs w:val="20"/>
              </w:rPr>
              <w:t>33</w:t>
            </w:r>
          </w:p>
        </w:tc>
        <w:tc>
          <w:tcPr>
            <w:tcW w:w="140" w:type="dxa"/>
            <w:tcBorders>
              <w:right w:val="single" w:sz="8" w:space="0" w:color="auto"/>
            </w:tcBorders>
            <w:vAlign w:val="bottom"/>
          </w:tcPr>
          <w:p w14:paraId="12AE20CD" w14:textId="77777777" w:rsidR="00992061" w:rsidRDefault="00992061">
            <w:pPr>
              <w:rPr>
                <w:sz w:val="24"/>
                <w:szCs w:val="24"/>
              </w:rPr>
            </w:pPr>
          </w:p>
        </w:tc>
        <w:tc>
          <w:tcPr>
            <w:tcW w:w="620" w:type="dxa"/>
            <w:tcBorders>
              <w:right w:val="single" w:sz="8" w:space="0" w:color="auto"/>
            </w:tcBorders>
            <w:vAlign w:val="bottom"/>
          </w:tcPr>
          <w:p w14:paraId="3D2D1DA2" w14:textId="77777777" w:rsidR="00992061" w:rsidRDefault="00D1402E">
            <w:pPr>
              <w:jc w:val="center"/>
              <w:rPr>
                <w:sz w:val="20"/>
                <w:szCs w:val="20"/>
              </w:rPr>
            </w:pPr>
            <w:r>
              <w:rPr>
                <w:rFonts w:eastAsia="Times New Roman"/>
                <w:w w:val="99"/>
                <w:sz w:val="20"/>
                <w:szCs w:val="20"/>
              </w:rPr>
              <w:t>3</w:t>
            </w:r>
          </w:p>
        </w:tc>
        <w:tc>
          <w:tcPr>
            <w:tcW w:w="860" w:type="dxa"/>
            <w:tcBorders>
              <w:right w:val="single" w:sz="8" w:space="0" w:color="auto"/>
            </w:tcBorders>
            <w:vAlign w:val="bottom"/>
          </w:tcPr>
          <w:p w14:paraId="06D69C6F" w14:textId="77777777" w:rsidR="00992061" w:rsidRDefault="00D1402E">
            <w:pPr>
              <w:jc w:val="center"/>
              <w:rPr>
                <w:sz w:val="20"/>
                <w:szCs w:val="20"/>
              </w:rPr>
            </w:pPr>
            <w:r>
              <w:rPr>
                <w:rFonts w:eastAsia="Times New Roman"/>
                <w:w w:val="99"/>
                <w:sz w:val="20"/>
                <w:szCs w:val="20"/>
              </w:rPr>
              <w:t>0</w:t>
            </w:r>
          </w:p>
        </w:tc>
        <w:tc>
          <w:tcPr>
            <w:tcW w:w="900" w:type="dxa"/>
            <w:vAlign w:val="bottom"/>
          </w:tcPr>
          <w:p w14:paraId="723BF3DC"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01073F34" w14:textId="77777777" w:rsidR="00992061" w:rsidRDefault="00992061">
            <w:pPr>
              <w:rPr>
                <w:sz w:val="24"/>
                <w:szCs w:val="24"/>
              </w:rPr>
            </w:pPr>
          </w:p>
        </w:tc>
        <w:tc>
          <w:tcPr>
            <w:tcW w:w="700" w:type="dxa"/>
            <w:tcBorders>
              <w:right w:val="single" w:sz="8" w:space="0" w:color="auto"/>
            </w:tcBorders>
            <w:vAlign w:val="bottom"/>
          </w:tcPr>
          <w:p w14:paraId="0E10602C" w14:textId="77777777" w:rsidR="00992061" w:rsidRDefault="00D1402E">
            <w:pPr>
              <w:jc w:val="center"/>
              <w:rPr>
                <w:sz w:val="20"/>
                <w:szCs w:val="20"/>
              </w:rPr>
            </w:pPr>
            <w:r>
              <w:rPr>
                <w:rFonts w:eastAsia="Times New Roman"/>
                <w:sz w:val="20"/>
                <w:szCs w:val="20"/>
              </w:rPr>
              <w:t>-</w:t>
            </w:r>
          </w:p>
        </w:tc>
        <w:tc>
          <w:tcPr>
            <w:tcW w:w="260" w:type="dxa"/>
            <w:vAlign w:val="bottom"/>
          </w:tcPr>
          <w:p w14:paraId="254626E5" w14:textId="77777777" w:rsidR="00992061" w:rsidRDefault="00992061">
            <w:pPr>
              <w:rPr>
                <w:sz w:val="24"/>
                <w:szCs w:val="24"/>
              </w:rPr>
            </w:pPr>
          </w:p>
        </w:tc>
        <w:tc>
          <w:tcPr>
            <w:tcW w:w="600" w:type="dxa"/>
            <w:tcBorders>
              <w:right w:val="single" w:sz="8" w:space="0" w:color="auto"/>
            </w:tcBorders>
            <w:vAlign w:val="bottom"/>
          </w:tcPr>
          <w:p w14:paraId="0F4ED2EF"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5DFECB57"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12CBA6C2" w14:textId="77777777" w:rsidR="00992061" w:rsidRDefault="00992061">
            <w:pPr>
              <w:rPr>
                <w:sz w:val="1"/>
                <w:szCs w:val="1"/>
              </w:rPr>
            </w:pPr>
          </w:p>
        </w:tc>
      </w:tr>
      <w:tr w:rsidR="00992061" w14:paraId="31ABE921" w14:textId="77777777" w:rsidTr="00BB0FDD">
        <w:trPr>
          <w:trHeight w:val="288"/>
        </w:trPr>
        <w:tc>
          <w:tcPr>
            <w:tcW w:w="3040" w:type="dxa"/>
            <w:tcBorders>
              <w:left w:val="single" w:sz="8" w:space="0" w:color="auto"/>
              <w:right w:val="single" w:sz="8" w:space="0" w:color="auto"/>
            </w:tcBorders>
            <w:vAlign w:val="bottom"/>
          </w:tcPr>
          <w:p w14:paraId="20857B08" w14:textId="77777777" w:rsidR="00992061" w:rsidRDefault="00D1402E">
            <w:pPr>
              <w:ind w:left="280"/>
              <w:rPr>
                <w:sz w:val="20"/>
                <w:szCs w:val="20"/>
              </w:rPr>
            </w:pPr>
            <w:r>
              <w:rPr>
                <w:rFonts w:eastAsia="Times New Roman"/>
                <w:sz w:val="20"/>
                <w:szCs w:val="20"/>
              </w:rPr>
              <w:t>Повръщане</w:t>
            </w:r>
          </w:p>
        </w:tc>
        <w:tc>
          <w:tcPr>
            <w:tcW w:w="840" w:type="dxa"/>
            <w:vAlign w:val="bottom"/>
          </w:tcPr>
          <w:p w14:paraId="3BCDB06F" w14:textId="77777777" w:rsidR="00992061" w:rsidRDefault="00D1402E">
            <w:pPr>
              <w:jc w:val="center"/>
              <w:rPr>
                <w:sz w:val="20"/>
                <w:szCs w:val="20"/>
              </w:rPr>
            </w:pPr>
            <w:r>
              <w:rPr>
                <w:rFonts w:eastAsia="Times New Roman"/>
                <w:w w:val="99"/>
                <w:sz w:val="20"/>
                <w:szCs w:val="20"/>
              </w:rPr>
              <w:t>23</w:t>
            </w:r>
          </w:p>
        </w:tc>
        <w:tc>
          <w:tcPr>
            <w:tcW w:w="140" w:type="dxa"/>
            <w:tcBorders>
              <w:right w:val="single" w:sz="8" w:space="0" w:color="auto"/>
            </w:tcBorders>
            <w:vAlign w:val="bottom"/>
          </w:tcPr>
          <w:p w14:paraId="5CF65396" w14:textId="77777777" w:rsidR="00992061" w:rsidRDefault="00992061">
            <w:pPr>
              <w:rPr>
                <w:sz w:val="24"/>
                <w:szCs w:val="24"/>
              </w:rPr>
            </w:pPr>
          </w:p>
        </w:tc>
        <w:tc>
          <w:tcPr>
            <w:tcW w:w="620" w:type="dxa"/>
            <w:tcBorders>
              <w:right w:val="single" w:sz="8" w:space="0" w:color="auto"/>
            </w:tcBorders>
            <w:vAlign w:val="bottom"/>
          </w:tcPr>
          <w:p w14:paraId="70F18359" w14:textId="77777777" w:rsidR="00992061" w:rsidRDefault="00D1402E">
            <w:pPr>
              <w:jc w:val="center"/>
              <w:rPr>
                <w:sz w:val="20"/>
                <w:szCs w:val="20"/>
              </w:rPr>
            </w:pPr>
            <w:r>
              <w:rPr>
                <w:rFonts w:eastAsia="Times New Roman"/>
                <w:w w:val="99"/>
                <w:sz w:val="20"/>
                <w:szCs w:val="20"/>
              </w:rPr>
              <w:t>2</w:t>
            </w:r>
          </w:p>
        </w:tc>
        <w:tc>
          <w:tcPr>
            <w:tcW w:w="860" w:type="dxa"/>
            <w:tcBorders>
              <w:right w:val="single" w:sz="8" w:space="0" w:color="auto"/>
            </w:tcBorders>
            <w:vAlign w:val="bottom"/>
          </w:tcPr>
          <w:p w14:paraId="7C48CFB6" w14:textId="77777777" w:rsidR="00992061" w:rsidRDefault="00D1402E">
            <w:pPr>
              <w:jc w:val="center"/>
              <w:rPr>
                <w:sz w:val="20"/>
                <w:szCs w:val="20"/>
              </w:rPr>
            </w:pPr>
            <w:r>
              <w:rPr>
                <w:rFonts w:eastAsia="Times New Roman"/>
                <w:sz w:val="20"/>
                <w:szCs w:val="20"/>
              </w:rPr>
              <w:t>&lt;1</w:t>
            </w:r>
          </w:p>
        </w:tc>
        <w:tc>
          <w:tcPr>
            <w:tcW w:w="900" w:type="dxa"/>
            <w:vAlign w:val="bottom"/>
          </w:tcPr>
          <w:p w14:paraId="105565FE"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373671E7" w14:textId="77777777" w:rsidR="00992061" w:rsidRDefault="00992061">
            <w:pPr>
              <w:rPr>
                <w:sz w:val="24"/>
                <w:szCs w:val="24"/>
              </w:rPr>
            </w:pPr>
          </w:p>
        </w:tc>
        <w:tc>
          <w:tcPr>
            <w:tcW w:w="700" w:type="dxa"/>
            <w:tcBorders>
              <w:right w:val="single" w:sz="8" w:space="0" w:color="auto"/>
            </w:tcBorders>
            <w:vAlign w:val="bottom"/>
          </w:tcPr>
          <w:p w14:paraId="3EBC8056" w14:textId="77777777" w:rsidR="00992061" w:rsidRDefault="00D1402E">
            <w:pPr>
              <w:jc w:val="center"/>
              <w:rPr>
                <w:sz w:val="20"/>
                <w:szCs w:val="20"/>
              </w:rPr>
            </w:pPr>
            <w:r>
              <w:rPr>
                <w:rFonts w:eastAsia="Times New Roman"/>
                <w:sz w:val="20"/>
                <w:szCs w:val="20"/>
              </w:rPr>
              <w:t>-</w:t>
            </w:r>
          </w:p>
        </w:tc>
        <w:tc>
          <w:tcPr>
            <w:tcW w:w="260" w:type="dxa"/>
            <w:vAlign w:val="bottom"/>
          </w:tcPr>
          <w:p w14:paraId="60943FC7" w14:textId="77777777" w:rsidR="00992061" w:rsidRDefault="00992061">
            <w:pPr>
              <w:rPr>
                <w:sz w:val="24"/>
                <w:szCs w:val="24"/>
              </w:rPr>
            </w:pPr>
          </w:p>
        </w:tc>
        <w:tc>
          <w:tcPr>
            <w:tcW w:w="600" w:type="dxa"/>
            <w:tcBorders>
              <w:right w:val="single" w:sz="8" w:space="0" w:color="auto"/>
            </w:tcBorders>
            <w:vAlign w:val="bottom"/>
          </w:tcPr>
          <w:p w14:paraId="325F9BA5"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18E2E76E" w14:textId="77777777" w:rsidR="00992061" w:rsidRDefault="00D1402E">
            <w:pPr>
              <w:jc w:val="center"/>
              <w:rPr>
                <w:sz w:val="20"/>
                <w:szCs w:val="20"/>
              </w:rPr>
            </w:pPr>
            <w:r>
              <w:rPr>
                <w:rFonts w:eastAsia="Times New Roman"/>
                <w:w w:val="99"/>
                <w:sz w:val="20"/>
                <w:szCs w:val="20"/>
              </w:rPr>
              <w:t>Много чести</w:t>
            </w:r>
          </w:p>
        </w:tc>
        <w:tc>
          <w:tcPr>
            <w:tcW w:w="30" w:type="dxa"/>
            <w:vAlign w:val="bottom"/>
          </w:tcPr>
          <w:p w14:paraId="53D51C4F" w14:textId="77777777" w:rsidR="00992061" w:rsidRDefault="00992061">
            <w:pPr>
              <w:rPr>
                <w:sz w:val="1"/>
                <w:szCs w:val="1"/>
              </w:rPr>
            </w:pPr>
          </w:p>
        </w:tc>
      </w:tr>
      <w:tr w:rsidR="00992061" w14:paraId="2B1185A4" w14:textId="77777777" w:rsidTr="00BB0FDD">
        <w:trPr>
          <w:trHeight w:val="293"/>
        </w:trPr>
        <w:tc>
          <w:tcPr>
            <w:tcW w:w="3040" w:type="dxa"/>
            <w:tcBorders>
              <w:left w:val="single" w:sz="8" w:space="0" w:color="auto"/>
              <w:right w:val="single" w:sz="8" w:space="0" w:color="auto"/>
            </w:tcBorders>
            <w:vAlign w:val="bottom"/>
          </w:tcPr>
          <w:p w14:paraId="2B1B5614" w14:textId="77777777" w:rsidR="00992061" w:rsidRDefault="00D1402E">
            <w:pPr>
              <w:ind w:left="280"/>
              <w:rPr>
                <w:sz w:val="20"/>
                <w:szCs w:val="20"/>
              </w:rPr>
            </w:pPr>
            <w:r>
              <w:rPr>
                <w:rFonts w:eastAsia="Times New Roman"/>
                <w:sz w:val="20"/>
                <w:szCs w:val="20"/>
              </w:rPr>
              <w:t>Стоматит</w:t>
            </w:r>
          </w:p>
        </w:tc>
        <w:tc>
          <w:tcPr>
            <w:tcW w:w="840" w:type="dxa"/>
            <w:vAlign w:val="bottom"/>
          </w:tcPr>
          <w:p w14:paraId="52C214DB" w14:textId="77777777" w:rsidR="00992061" w:rsidRDefault="00D1402E">
            <w:pPr>
              <w:jc w:val="center"/>
              <w:rPr>
                <w:sz w:val="20"/>
                <w:szCs w:val="20"/>
              </w:rPr>
            </w:pPr>
            <w:r>
              <w:rPr>
                <w:rFonts w:eastAsia="Times New Roman"/>
                <w:w w:val="99"/>
                <w:sz w:val="20"/>
                <w:szCs w:val="20"/>
              </w:rPr>
              <w:t>17</w:t>
            </w:r>
          </w:p>
        </w:tc>
        <w:tc>
          <w:tcPr>
            <w:tcW w:w="140" w:type="dxa"/>
            <w:tcBorders>
              <w:right w:val="single" w:sz="8" w:space="0" w:color="auto"/>
            </w:tcBorders>
            <w:vAlign w:val="bottom"/>
          </w:tcPr>
          <w:p w14:paraId="7AA6FC5B" w14:textId="77777777" w:rsidR="00992061" w:rsidRDefault="00992061">
            <w:pPr>
              <w:rPr>
                <w:sz w:val="24"/>
                <w:szCs w:val="24"/>
              </w:rPr>
            </w:pPr>
          </w:p>
        </w:tc>
        <w:tc>
          <w:tcPr>
            <w:tcW w:w="620" w:type="dxa"/>
            <w:tcBorders>
              <w:right w:val="single" w:sz="8" w:space="0" w:color="auto"/>
            </w:tcBorders>
            <w:vAlign w:val="bottom"/>
          </w:tcPr>
          <w:p w14:paraId="732C375A" w14:textId="77777777" w:rsidR="00992061" w:rsidRDefault="00D1402E">
            <w:pPr>
              <w:jc w:val="center"/>
              <w:rPr>
                <w:sz w:val="20"/>
                <w:szCs w:val="20"/>
              </w:rPr>
            </w:pPr>
            <w:r>
              <w:rPr>
                <w:rFonts w:eastAsia="Times New Roman"/>
                <w:sz w:val="20"/>
                <w:szCs w:val="20"/>
              </w:rPr>
              <w:t>&lt;1</w:t>
            </w:r>
          </w:p>
        </w:tc>
        <w:tc>
          <w:tcPr>
            <w:tcW w:w="860" w:type="dxa"/>
            <w:tcBorders>
              <w:right w:val="single" w:sz="8" w:space="0" w:color="auto"/>
            </w:tcBorders>
            <w:vAlign w:val="bottom"/>
          </w:tcPr>
          <w:p w14:paraId="02546120" w14:textId="77777777" w:rsidR="00992061" w:rsidRDefault="00D1402E">
            <w:pPr>
              <w:jc w:val="center"/>
              <w:rPr>
                <w:sz w:val="20"/>
                <w:szCs w:val="20"/>
              </w:rPr>
            </w:pPr>
            <w:r>
              <w:rPr>
                <w:rFonts w:eastAsia="Times New Roman"/>
                <w:w w:val="99"/>
                <w:sz w:val="20"/>
                <w:szCs w:val="20"/>
              </w:rPr>
              <w:t>0</w:t>
            </w:r>
          </w:p>
        </w:tc>
        <w:tc>
          <w:tcPr>
            <w:tcW w:w="900" w:type="dxa"/>
            <w:vAlign w:val="bottom"/>
          </w:tcPr>
          <w:p w14:paraId="7A1EAB9D" w14:textId="77777777" w:rsidR="00992061" w:rsidRDefault="00D1402E">
            <w:pPr>
              <w:jc w:val="center"/>
              <w:rPr>
                <w:sz w:val="20"/>
                <w:szCs w:val="20"/>
              </w:rPr>
            </w:pPr>
            <w:r>
              <w:rPr>
                <w:rFonts w:eastAsia="Times New Roman"/>
                <w:w w:val="99"/>
                <w:sz w:val="20"/>
                <w:szCs w:val="20"/>
              </w:rPr>
              <w:t>22</w:t>
            </w:r>
          </w:p>
        </w:tc>
        <w:tc>
          <w:tcPr>
            <w:tcW w:w="140" w:type="dxa"/>
            <w:tcBorders>
              <w:right w:val="single" w:sz="8" w:space="0" w:color="auto"/>
            </w:tcBorders>
            <w:vAlign w:val="bottom"/>
          </w:tcPr>
          <w:p w14:paraId="05AA9F93" w14:textId="77777777" w:rsidR="00992061" w:rsidRDefault="00992061">
            <w:pPr>
              <w:rPr>
                <w:sz w:val="24"/>
                <w:szCs w:val="24"/>
              </w:rPr>
            </w:pPr>
          </w:p>
        </w:tc>
        <w:tc>
          <w:tcPr>
            <w:tcW w:w="700" w:type="dxa"/>
            <w:tcBorders>
              <w:right w:val="single" w:sz="8" w:space="0" w:color="auto"/>
            </w:tcBorders>
            <w:vAlign w:val="bottom"/>
          </w:tcPr>
          <w:p w14:paraId="7DB8866B" w14:textId="77777777" w:rsidR="00992061" w:rsidRDefault="00D1402E">
            <w:pPr>
              <w:jc w:val="center"/>
              <w:rPr>
                <w:sz w:val="20"/>
                <w:szCs w:val="20"/>
              </w:rPr>
            </w:pPr>
            <w:r>
              <w:rPr>
                <w:rFonts w:eastAsia="Times New Roman"/>
                <w:sz w:val="20"/>
                <w:szCs w:val="20"/>
              </w:rPr>
              <w:t>&lt;1</w:t>
            </w:r>
          </w:p>
        </w:tc>
        <w:tc>
          <w:tcPr>
            <w:tcW w:w="260" w:type="dxa"/>
            <w:vAlign w:val="bottom"/>
          </w:tcPr>
          <w:p w14:paraId="2B09A3AB" w14:textId="77777777" w:rsidR="00992061" w:rsidRDefault="00992061">
            <w:pPr>
              <w:rPr>
                <w:sz w:val="24"/>
                <w:szCs w:val="24"/>
              </w:rPr>
            </w:pPr>
          </w:p>
        </w:tc>
        <w:tc>
          <w:tcPr>
            <w:tcW w:w="600" w:type="dxa"/>
            <w:tcBorders>
              <w:right w:val="single" w:sz="8" w:space="0" w:color="auto"/>
            </w:tcBorders>
            <w:vAlign w:val="bottom"/>
          </w:tcPr>
          <w:p w14:paraId="2BD8A712"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318E301C"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36D88275" w14:textId="77777777" w:rsidR="00992061" w:rsidRDefault="00992061">
            <w:pPr>
              <w:rPr>
                <w:sz w:val="1"/>
                <w:szCs w:val="1"/>
              </w:rPr>
            </w:pPr>
          </w:p>
        </w:tc>
      </w:tr>
      <w:tr w:rsidR="00992061" w14:paraId="0444124A" w14:textId="77777777" w:rsidTr="00BB0FDD">
        <w:trPr>
          <w:trHeight w:val="288"/>
        </w:trPr>
        <w:tc>
          <w:tcPr>
            <w:tcW w:w="3040" w:type="dxa"/>
            <w:tcBorders>
              <w:left w:val="single" w:sz="8" w:space="0" w:color="auto"/>
              <w:right w:val="single" w:sz="8" w:space="0" w:color="auto"/>
            </w:tcBorders>
            <w:vAlign w:val="bottom"/>
          </w:tcPr>
          <w:p w14:paraId="5A40B4D3" w14:textId="77777777" w:rsidR="00992061" w:rsidRDefault="00D1402E">
            <w:pPr>
              <w:ind w:left="280"/>
              <w:rPr>
                <w:sz w:val="20"/>
                <w:szCs w:val="20"/>
              </w:rPr>
            </w:pPr>
            <w:r>
              <w:rPr>
                <w:rFonts w:eastAsia="Times New Roman"/>
                <w:sz w:val="20"/>
                <w:szCs w:val="20"/>
              </w:rPr>
              <w:t>Коремна болка</w:t>
            </w:r>
          </w:p>
        </w:tc>
        <w:tc>
          <w:tcPr>
            <w:tcW w:w="840" w:type="dxa"/>
            <w:vAlign w:val="bottom"/>
          </w:tcPr>
          <w:p w14:paraId="7F65F118" w14:textId="77777777" w:rsidR="00992061" w:rsidRDefault="00D1402E">
            <w:pPr>
              <w:jc w:val="center"/>
              <w:rPr>
                <w:sz w:val="20"/>
                <w:szCs w:val="20"/>
              </w:rPr>
            </w:pPr>
            <w:r>
              <w:rPr>
                <w:rFonts w:eastAsia="Times New Roman"/>
                <w:w w:val="99"/>
                <w:sz w:val="20"/>
                <w:szCs w:val="20"/>
              </w:rPr>
              <w:t>11</w:t>
            </w:r>
          </w:p>
        </w:tc>
        <w:tc>
          <w:tcPr>
            <w:tcW w:w="140" w:type="dxa"/>
            <w:tcBorders>
              <w:right w:val="single" w:sz="8" w:space="0" w:color="auto"/>
            </w:tcBorders>
            <w:vAlign w:val="bottom"/>
          </w:tcPr>
          <w:p w14:paraId="04DF1BE2" w14:textId="77777777" w:rsidR="00992061" w:rsidRDefault="00992061">
            <w:pPr>
              <w:rPr>
                <w:sz w:val="24"/>
                <w:szCs w:val="24"/>
              </w:rPr>
            </w:pPr>
          </w:p>
        </w:tc>
        <w:tc>
          <w:tcPr>
            <w:tcW w:w="620" w:type="dxa"/>
            <w:tcBorders>
              <w:right w:val="single" w:sz="8" w:space="0" w:color="auto"/>
            </w:tcBorders>
            <w:vAlign w:val="bottom"/>
          </w:tcPr>
          <w:p w14:paraId="7E3D71CF" w14:textId="77777777" w:rsidR="00992061" w:rsidRDefault="00D1402E">
            <w:pPr>
              <w:jc w:val="center"/>
              <w:rPr>
                <w:sz w:val="20"/>
                <w:szCs w:val="20"/>
              </w:rPr>
            </w:pPr>
            <w:r>
              <w:rPr>
                <w:rFonts w:eastAsia="Times New Roman"/>
                <w:w w:val="99"/>
                <w:sz w:val="20"/>
                <w:szCs w:val="20"/>
              </w:rPr>
              <w:t>2</w:t>
            </w:r>
          </w:p>
        </w:tc>
        <w:tc>
          <w:tcPr>
            <w:tcW w:w="860" w:type="dxa"/>
            <w:tcBorders>
              <w:right w:val="single" w:sz="8" w:space="0" w:color="auto"/>
            </w:tcBorders>
            <w:vAlign w:val="bottom"/>
          </w:tcPr>
          <w:p w14:paraId="164401B2" w14:textId="77777777" w:rsidR="00992061" w:rsidRDefault="00D1402E">
            <w:pPr>
              <w:jc w:val="center"/>
              <w:rPr>
                <w:sz w:val="20"/>
                <w:szCs w:val="20"/>
              </w:rPr>
            </w:pPr>
            <w:r>
              <w:rPr>
                <w:rFonts w:eastAsia="Times New Roman"/>
                <w:sz w:val="20"/>
                <w:szCs w:val="20"/>
              </w:rPr>
              <w:t>&lt;1</w:t>
            </w:r>
          </w:p>
        </w:tc>
        <w:tc>
          <w:tcPr>
            <w:tcW w:w="900" w:type="dxa"/>
            <w:vAlign w:val="bottom"/>
          </w:tcPr>
          <w:p w14:paraId="4A01C7EE"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415FCD21" w14:textId="77777777" w:rsidR="00992061" w:rsidRDefault="00992061">
            <w:pPr>
              <w:rPr>
                <w:sz w:val="24"/>
                <w:szCs w:val="24"/>
              </w:rPr>
            </w:pPr>
          </w:p>
        </w:tc>
        <w:tc>
          <w:tcPr>
            <w:tcW w:w="700" w:type="dxa"/>
            <w:tcBorders>
              <w:right w:val="single" w:sz="8" w:space="0" w:color="auto"/>
            </w:tcBorders>
            <w:vAlign w:val="bottom"/>
          </w:tcPr>
          <w:p w14:paraId="134D3266" w14:textId="77777777" w:rsidR="00992061" w:rsidRDefault="00D1402E">
            <w:pPr>
              <w:jc w:val="center"/>
              <w:rPr>
                <w:sz w:val="20"/>
                <w:szCs w:val="20"/>
              </w:rPr>
            </w:pPr>
            <w:r>
              <w:rPr>
                <w:rFonts w:eastAsia="Times New Roman"/>
                <w:sz w:val="20"/>
                <w:szCs w:val="20"/>
              </w:rPr>
              <w:t>-</w:t>
            </w:r>
          </w:p>
        </w:tc>
        <w:tc>
          <w:tcPr>
            <w:tcW w:w="260" w:type="dxa"/>
            <w:vAlign w:val="bottom"/>
          </w:tcPr>
          <w:p w14:paraId="13932A81" w14:textId="77777777" w:rsidR="00992061" w:rsidRDefault="00992061">
            <w:pPr>
              <w:rPr>
                <w:sz w:val="24"/>
                <w:szCs w:val="24"/>
              </w:rPr>
            </w:pPr>
          </w:p>
        </w:tc>
        <w:tc>
          <w:tcPr>
            <w:tcW w:w="600" w:type="dxa"/>
            <w:tcBorders>
              <w:right w:val="single" w:sz="8" w:space="0" w:color="auto"/>
            </w:tcBorders>
            <w:vAlign w:val="bottom"/>
          </w:tcPr>
          <w:p w14:paraId="0FD25A3A"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13DC21DD" w14:textId="77777777" w:rsidR="00992061" w:rsidRDefault="00D1402E">
            <w:pPr>
              <w:jc w:val="center"/>
              <w:rPr>
                <w:sz w:val="20"/>
                <w:szCs w:val="20"/>
              </w:rPr>
            </w:pPr>
            <w:r>
              <w:rPr>
                <w:rFonts w:eastAsia="Times New Roman"/>
                <w:w w:val="99"/>
                <w:sz w:val="20"/>
                <w:szCs w:val="20"/>
              </w:rPr>
              <w:t>Много чести</w:t>
            </w:r>
          </w:p>
        </w:tc>
        <w:tc>
          <w:tcPr>
            <w:tcW w:w="30" w:type="dxa"/>
            <w:vAlign w:val="bottom"/>
          </w:tcPr>
          <w:p w14:paraId="7F0BD700" w14:textId="77777777" w:rsidR="00992061" w:rsidRDefault="00992061">
            <w:pPr>
              <w:rPr>
                <w:sz w:val="1"/>
                <w:szCs w:val="1"/>
              </w:rPr>
            </w:pPr>
          </w:p>
        </w:tc>
      </w:tr>
      <w:tr w:rsidR="00992061" w14:paraId="1D4BF472" w14:textId="77777777" w:rsidTr="00BB0FDD">
        <w:trPr>
          <w:trHeight w:val="293"/>
        </w:trPr>
        <w:tc>
          <w:tcPr>
            <w:tcW w:w="3040" w:type="dxa"/>
            <w:tcBorders>
              <w:left w:val="single" w:sz="8" w:space="0" w:color="auto"/>
              <w:right w:val="single" w:sz="8" w:space="0" w:color="auto"/>
            </w:tcBorders>
            <w:vAlign w:val="bottom"/>
          </w:tcPr>
          <w:p w14:paraId="427E5AF4" w14:textId="77777777" w:rsidR="00992061" w:rsidRDefault="00D1402E">
            <w:pPr>
              <w:ind w:left="280"/>
              <w:rPr>
                <w:sz w:val="20"/>
                <w:szCs w:val="20"/>
              </w:rPr>
            </w:pPr>
            <w:r>
              <w:rPr>
                <w:rFonts w:eastAsia="Times New Roman"/>
                <w:sz w:val="20"/>
                <w:szCs w:val="20"/>
              </w:rPr>
              <w:t>Диспепсия</w:t>
            </w:r>
          </w:p>
        </w:tc>
        <w:tc>
          <w:tcPr>
            <w:tcW w:w="840" w:type="dxa"/>
            <w:vAlign w:val="bottom"/>
          </w:tcPr>
          <w:p w14:paraId="047413B8"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74251B7C" w14:textId="77777777" w:rsidR="00992061" w:rsidRDefault="00992061">
            <w:pPr>
              <w:rPr>
                <w:sz w:val="24"/>
                <w:szCs w:val="24"/>
              </w:rPr>
            </w:pPr>
          </w:p>
        </w:tc>
        <w:tc>
          <w:tcPr>
            <w:tcW w:w="620" w:type="dxa"/>
            <w:tcBorders>
              <w:right w:val="single" w:sz="8" w:space="0" w:color="auto"/>
            </w:tcBorders>
            <w:vAlign w:val="bottom"/>
          </w:tcPr>
          <w:p w14:paraId="4E9C533D" w14:textId="77777777" w:rsidR="00992061" w:rsidRDefault="00D1402E">
            <w:pPr>
              <w:jc w:val="center"/>
              <w:rPr>
                <w:sz w:val="20"/>
                <w:szCs w:val="20"/>
              </w:rPr>
            </w:pPr>
            <w:r>
              <w:rPr>
                <w:rFonts w:eastAsia="Times New Roman"/>
                <w:w w:val="89"/>
                <w:sz w:val="20"/>
                <w:szCs w:val="20"/>
              </w:rPr>
              <w:t>-</w:t>
            </w:r>
          </w:p>
        </w:tc>
        <w:tc>
          <w:tcPr>
            <w:tcW w:w="860" w:type="dxa"/>
            <w:tcBorders>
              <w:right w:val="single" w:sz="8" w:space="0" w:color="auto"/>
            </w:tcBorders>
            <w:vAlign w:val="bottom"/>
          </w:tcPr>
          <w:p w14:paraId="5E323A47" w14:textId="77777777" w:rsidR="00992061" w:rsidRDefault="00D1402E">
            <w:pPr>
              <w:jc w:val="center"/>
              <w:rPr>
                <w:sz w:val="20"/>
                <w:szCs w:val="20"/>
              </w:rPr>
            </w:pPr>
            <w:r>
              <w:rPr>
                <w:rFonts w:eastAsia="Times New Roman"/>
                <w:sz w:val="20"/>
                <w:szCs w:val="20"/>
              </w:rPr>
              <w:t>-</w:t>
            </w:r>
          </w:p>
        </w:tc>
        <w:tc>
          <w:tcPr>
            <w:tcW w:w="900" w:type="dxa"/>
            <w:vAlign w:val="bottom"/>
          </w:tcPr>
          <w:p w14:paraId="47F29DF1" w14:textId="77777777" w:rsidR="00992061" w:rsidRDefault="00D1402E">
            <w:pPr>
              <w:jc w:val="center"/>
              <w:rPr>
                <w:sz w:val="20"/>
                <w:szCs w:val="20"/>
              </w:rPr>
            </w:pPr>
            <w:r>
              <w:rPr>
                <w:rFonts w:eastAsia="Times New Roman"/>
                <w:w w:val="99"/>
                <w:sz w:val="20"/>
                <w:szCs w:val="20"/>
              </w:rPr>
              <w:t>17</w:t>
            </w:r>
          </w:p>
        </w:tc>
        <w:tc>
          <w:tcPr>
            <w:tcW w:w="140" w:type="dxa"/>
            <w:tcBorders>
              <w:right w:val="single" w:sz="8" w:space="0" w:color="auto"/>
            </w:tcBorders>
            <w:vAlign w:val="bottom"/>
          </w:tcPr>
          <w:p w14:paraId="41A212D3" w14:textId="77777777" w:rsidR="00992061" w:rsidRDefault="00992061">
            <w:pPr>
              <w:rPr>
                <w:sz w:val="24"/>
                <w:szCs w:val="24"/>
              </w:rPr>
            </w:pPr>
          </w:p>
        </w:tc>
        <w:tc>
          <w:tcPr>
            <w:tcW w:w="700" w:type="dxa"/>
            <w:tcBorders>
              <w:right w:val="single" w:sz="8" w:space="0" w:color="auto"/>
            </w:tcBorders>
            <w:vAlign w:val="bottom"/>
          </w:tcPr>
          <w:p w14:paraId="01B8EE31" w14:textId="77777777" w:rsidR="00992061" w:rsidRDefault="00D1402E">
            <w:pPr>
              <w:jc w:val="center"/>
              <w:rPr>
                <w:sz w:val="20"/>
                <w:szCs w:val="20"/>
              </w:rPr>
            </w:pPr>
            <w:r>
              <w:rPr>
                <w:rFonts w:eastAsia="Times New Roman"/>
                <w:sz w:val="20"/>
                <w:szCs w:val="20"/>
              </w:rPr>
              <w:t>&lt;1</w:t>
            </w:r>
          </w:p>
        </w:tc>
        <w:tc>
          <w:tcPr>
            <w:tcW w:w="260" w:type="dxa"/>
            <w:vAlign w:val="bottom"/>
          </w:tcPr>
          <w:p w14:paraId="2E96707E" w14:textId="77777777" w:rsidR="00992061" w:rsidRDefault="00992061">
            <w:pPr>
              <w:rPr>
                <w:sz w:val="24"/>
                <w:szCs w:val="24"/>
              </w:rPr>
            </w:pPr>
          </w:p>
        </w:tc>
        <w:tc>
          <w:tcPr>
            <w:tcW w:w="600" w:type="dxa"/>
            <w:tcBorders>
              <w:right w:val="single" w:sz="8" w:space="0" w:color="auto"/>
            </w:tcBorders>
            <w:vAlign w:val="bottom"/>
          </w:tcPr>
          <w:p w14:paraId="5C666F6F"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60CDE81D"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564E84DD" w14:textId="77777777" w:rsidR="00992061" w:rsidRDefault="00992061">
            <w:pPr>
              <w:rPr>
                <w:sz w:val="1"/>
                <w:szCs w:val="1"/>
              </w:rPr>
            </w:pPr>
          </w:p>
        </w:tc>
      </w:tr>
      <w:tr w:rsidR="00992061" w14:paraId="09189F76" w14:textId="77777777" w:rsidTr="00BB0FDD">
        <w:trPr>
          <w:trHeight w:val="288"/>
        </w:trPr>
        <w:tc>
          <w:tcPr>
            <w:tcW w:w="3040" w:type="dxa"/>
            <w:tcBorders>
              <w:left w:val="single" w:sz="8" w:space="0" w:color="auto"/>
              <w:right w:val="single" w:sz="8" w:space="0" w:color="auto"/>
            </w:tcBorders>
            <w:vAlign w:val="bottom"/>
          </w:tcPr>
          <w:p w14:paraId="05ED6AF2" w14:textId="77777777" w:rsidR="00992061" w:rsidRDefault="00D1402E">
            <w:pPr>
              <w:ind w:left="280"/>
              <w:rPr>
                <w:sz w:val="20"/>
                <w:szCs w:val="20"/>
              </w:rPr>
            </w:pPr>
            <w:r>
              <w:rPr>
                <w:rFonts w:eastAsia="Times New Roman"/>
                <w:sz w:val="20"/>
                <w:szCs w:val="20"/>
              </w:rPr>
              <w:t>Метеоризъм</w:t>
            </w:r>
          </w:p>
        </w:tc>
        <w:tc>
          <w:tcPr>
            <w:tcW w:w="840" w:type="dxa"/>
            <w:vAlign w:val="bottom"/>
          </w:tcPr>
          <w:p w14:paraId="002C7BDE"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45989EBB" w14:textId="77777777" w:rsidR="00992061" w:rsidRDefault="00992061">
            <w:pPr>
              <w:rPr>
                <w:sz w:val="24"/>
                <w:szCs w:val="24"/>
              </w:rPr>
            </w:pPr>
          </w:p>
        </w:tc>
        <w:tc>
          <w:tcPr>
            <w:tcW w:w="620" w:type="dxa"/>
            <w:tcBorders>
              <w:right w:val="single" w:sz="8" w:space="0" w:color="auto"/>
            </w:tcBorders>
            <w:vAlign w:val="bottom"/>
          </w:tcPr>
          <w:p w14:paraId="0B0E56C9" w14:textId="77777777" w:rsidR="00992061" w:rsidRDefault="00D1402E">
            <w:pPr>
              <w:jc w:val="center"/>
              <w:rPr>
                <w:sz w:val="20"/>
                <w:szCs w:val="20"/>
              </w:rPr>
            </w:pPr>
            <w:r>
              <w:rPr>
                <w:rFonts w:eastAsia="Times New Roman"/>
                <w:w w:val="89"/>
                <w:sz w:val="20"/>
                <w:szCs w:val="20"/>
              </w:rPr>
              <w:t>-</w:t>
            </w:r>
          </w:p>
        </w:tc>
        <w:tc>
          <w:tcPr>
            <w:tcW w:w="860" w:type="dxa"/>
            <w:tcBorders>
              <w:right w:val="single" w:sz="8" w:space="0" w:color="auto"/>
            </w:tcBorders>
            <w:vAlign w:val="bottom"/>
          </w:tcPr>
          <w:p w14:paraId="40241FA2" w14:textId="77777777" w:rsidR="00992061" w:rsidRDefault="00D1402E">
            <w:pPr>
              <w:jc w:val="center"/>
              <w:rPr>
                <w:sz w:val="20"/>
                <w:szCs w:val="20"/>
              </w:rPr>
            </w:pPr>
            <w:r>
              <w:rPr>
                <w:rFonts w:eastAsia="Times New Roman"/>
                <w:sz w:val="20"/>
                <w:szCs w:val="20"/>
              </w:rPr>
              <w:t>-</w:t>
            </w:r>
          </w:p>
        </w:tc>
        <w:tc>
          <w:tcPr>
            <w:tcW w:w="900" w:type="dxa"/>
            <w:vAlign w:val="bottom"/>
          </w:tcPr>
          <w:p w14:paraId="44DE4FAF" w14:textId="77777777" w:rsidR="00992061" w:rsidRDefault="00D1402E">
            <w:pPr>
              <w:jc w:val="center"/>
              <w:rPr>
                <w:sz w:val="20"/>
                <w:szCs w:val="20"/>
              </w:rPr>
            </w:pPr>
            <w:r>
              <w:rPr>
                <w:rFonts w:eastAsia="Times New Roman"/>
                <w:w w:val="99"/>
                <w:sz w:val="20"/>
                <w:szCs w:val="20"/>
              </w:rPr>
              <w:t>13</w:t>
            </w:r>
          </w:p>
        </w:tc>
        <w:tc>
          <w:tcPr>
            <w:tcW w:w="140" w:type="dxa"/>
            <w:tcBorders>
              <w:right w:val="single" w:sz="8" w:space="0" w:color="auto"/>
            </w:tcBorders>
            <w:vAlign w:val="bottom"/>
          </w:tcPr>
          <w:p w14:paraId="1FA3D181" w14:textId="77777777" w:rsidR="00992061" w:rsidRDefault="00992061">
            <w:pPr>
              <w:rPr>
                <w:sz w:val="24"/>
                <w:szCs w:val="24"/>
              </w:rPr>
            </w:pPr>
          </w:p>
        </w:tc>
        <w:tc>
          <w:tcPr>
            <w:tcW w:w="700" w:type="dxa"/>
            <w:tcBorders>
              <w:right w:val="single" w:sz="8" w:space="0" w:color="auto"/>
            </w:tcBorders>
            <w:vAlign w:val="bottom"/>
          </w:tcPr>
          <w:p w14:paraId="6AA90F0A" w14:textId="77777777" w:rsidR="00992061" w:rsidRDefault="00D1402E">
            <w:pPr>
              <w:jc w:val="center"/>
              <w:rPr>
                <w:sz w:val="20"/>
                <w:szCs w:val="20"/>
              </w:rPr>
            </w:pPr>
            <w:r>
              <w:rPr>
                <w:rFonts w:eastAsia="Times New Roman"/>
                <w:w w:val="99"/>
                <w:sz w:val="20"/>
                <w:szCs w:val="20"/>
              </w:rPr>
              <w:t>0</w:t>
            </w:r>
          </w:p>
        </w:tc>
        <w:tc>
          <w:tcPr>
            <w:tcW w:w="260" w:type="dxa"/>
            <w:vAlign w:val="bottom"/>
          </w:tcPr>
          <w:p w14:paraId="72B2CFEA" w14:textId="77777777" w:rsidR="00992061" w:rsidRDefault="00992061">
            <w:pPr>
              <w:rPr>
                <w:sz w:val="24"/>
                <w:szCs w:val="24"/>
              </w:rPr>
            </w:pPr>
          </w:p>
        </w:tc>
        <w:tc>
          <w:tcPr>
            <w:tcW w:w="600" w:type="dxa"/>
            <w:tcBorders>
              <w:right w:val="single" w:sz="8" w:space="0" w:color="auto"/>
            </w:tcBorders>
            <w:vAlign w:val="bottom"/>
          </w:tcPr>
          <w:p w14:paraId="50DF49AE"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211A73DA"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0EDB2B4B" w14:textId="77777777" w:rsidR="00992061" w:rsidRDefault="00992061">
            <w:pPr>
              <w:rPr>
                <w:sz w:val="1"/>
                <w:szCs w:val="1"/>
              </w:rPr>
            </w:pPr>
          </w:p>
        </w:tc>
      </w:tr>
      <w:tr w:rsidR="00992061" w14:paraId="084C7985" w14:textId="77777777" w:rsidTr="00BB0FDD">
        <w:trPr>
          <w:trHeight w:val="50"/>
        </w:trPr>
        <w:tc>
          <w:tcPr>
            <w:tcW w:w="3040" w:type="dxa"/>
            <w:tcBorders>
              <w:left w:val="single" w:sz="8" w:space="0" w:color="auto"/>
              <w:bottom w:val="single" w:sz="8" w:space="0" w:color="auto"/>
              <w:right w:val="single" w:sz="8" w:space="0" w:color="auto"/>
            </w:tcBorders>
            <w:vAlign w:val="bottom"/>
          </w:tcPr>
          <w:p w14:paraId="10AA22B9" w14:textId="77777777" w:rsidR="00992061" w:rsidRDefault="00992061">
            <w:pPr>
              <w:rPr>
                <w:sz w:val="4"/>
                <w:szCs w:val="4"/>
              </w:rPr>
            </w:pPr>
          </w:p>
        </w:tc>
        <w:tc>
          <w:tcPr>
            <w:tcW w:w="840" w:type="dxa"/>
            <w:tcBorders>
              <w:bottom w:val="single" w:sz="8" w:space="0" w:color="auto"/>
            </w:tcBorders>
            <w:vAlign w:val="bottom"/>
          </w:tcPr>
          <w:p w14:paraId="6A02D72A" w14:textId="77777777" w:rsidR="00992061" w:rsidRDefault="00992061">
            <w:pPr>
              <w:rPr>
                <w:sz w:val="4"/>
                <w:szCs w:val="4"/>
              </w:rPr>
            </w:pPr>
          </w:p>
        </w:tc>
        <w:tc>
          <w:tcPr>
            <w:tcW w:w="140" w:type="dxa"/>
            <w:tcBorders>
              <w:bottom w:val="single" w:sz="8" w:space="0" w:color="auto"/>
              <w:right w:val="single" w:sz="8" w:space="0" w:color="auto"/>
            </w:tcBorders>
            <w:vAlign w:val="bottom"/>
          </w:tcPr>
          <w:p w14:paraId="0A055CCC" w14:textId="77777777" w:rsidR="00992061" w:rsidRDefault="00992061">
            <w:pPr>
              <w:rPr>
                <w:sz w:val="4"/>
                <w:szCs w:val="4"/>
              </w:rPr>
            </w:pPr>
          </w:p>
        </w:tc>
        <w:tc>
          <w:tcPr>
            <w:tcW w:w="620" w:type="dxa"/>
            <w:tcBorders>
              <w:bottom w:val="single" w:sz="8" w:space="0" w:color="auto"/>
              <w:right w:val="single" w:sz="8" w:space="0" w:color="auto"/>
            </w:tcBorders>
            <w:vAlign w:val="bottom"/>
          </w:tcPr>
          <w:p w14:paraId="0AC5BF3A" w14:textId="77777777" w:rsidR="00992061" w:rsidRDefault="00992061">
            <w:pPr>
              <w:rPr>
                <w:sz w:val="4"/>
                <w:szCs w:val="4"/>
              </w:rPr>
            </w:pPr>
          </w:p>
        </w:tc>
        <w:tc>
          <w:tcPr>
            <w:tcW w:w="860" w:type="dxa"/>
            <w:tcBorders>
              <w:bottom w:val="single" w:sz="8" w:space="0" w:color="auto"/>
              <w:right w:val="single" w:sz="8" w:space="0" w:color="auto"/>
            </w:tcBorders>
            <w:vAlign w:val="bottom"/>
          </w:tcPr>
          <w:p w14:paraId="5F45C1A0" w14:textId="77777777" w:rsidR="00992061" w:rsidRDefault="00992061">
            <w:pPr>
              <w:rPr>
                <w:sz w:val="4"/>
                <w:szCs w:val="4"/>
              </w:rPr>
            </w:pPr>
          </w:p>
        </w:tc>
        <w:tc>
          <w:tcPr>
            <w:tcW w:w="900" w:type="dxa"/>
            <w:tcBorders>
              <w:bottom w:val="single" w:sz="8" w:space="0" w:color="auto"/>
            </w:tcBorders>
            <w:vAlign w:val="bottom"/>
          </w:tcPr>
          <w:p w14:paraId="122201C0" w14:textId="77777777" w:rsidR="00992061" w:rsidRDefault="00992061">
            <w:pPr>
              <w:rPr>
                <w:sz w:val="4"/>
                <w:szCs w:val="4"/>
              </w:rPr>
            </w:pPr>
          </w:p>
        </w:tc>
        <w:tc>
          <w:tcPr>
            <w:tcW w:w="140" w:type="dxa"/>
            <w:tcBorders>
              <w:bottom w:val="single" w:sz="8" w:space="0" w:color="auto"/>
              <w:right w:val="single" w:sz="8" w:space="0" w:color="auto"/>
            </w:tcBorders>
            <w:vAlign w:val="bottom"/>
          </w:tcPr>
          <w:p w14:paraId="3DA9E86F" w14:textId="77777777" w:rsidR="00992061" w:rsidRDefault="00992061">
            <w:pPr>
              <w:rPr>
                <w:sz w:val="4"/>
                <w:szCs w:val="4"/>
              </w:rPr>
            </w:pPr>
          </w:p>
        </w:tc>
        <w:tc>
          <w:tcPr>
            <w:tcW w:w="700" w:type="dxa"/>
            <w:tcBorders>
              <w:bottom w:val="single" w:sz="8" w:space="0" w:color="auto"/>
              <w:right w:val="single" w:sz="8" w:space="0" w:color="auto"/>
            </w:tcBorders>
            <w:vAlign w:val="bottom"/>
          </w:tcPr>
          <w:p w14:paraId="3A46C151" w14:textId="77777777" w:rsidR="00992061" w:rsidRDefault="00992061">
            <w:pPr>
              <w:rPr>
                <w:sz w:val="4"/>
                <w:szCs w:val="4"/>
              </w:rPr>
            </w:pPr>
          </w:p>
        </w:tc>
        <w:tc>
          <w:tcPr>
            <w:tcW w:w="260" w:type="dxa"/>
            <w:tcBorders>
              <w:bottom w:val="single" w:sz="8" w:space="0" w:color="auto"/>
            </w:tcBorders>
            <w:vAlign w:val="bottom"/>
          </w:tcPr>
          <w:p w14:paraId="477315D8" w14:textId="77777777" w:rsidR="00992061" w:rsidRDefault="00992061">
            <w:pPr>
              <w:rPr>
                <w:sz w:val="4"/>
                <w:szCs w:val="4"/>
              </w:rPr>
            </w:pPr>
          </w:p>
        </w:tc>
        <w:tc>
          <w:tcPr>
            <w:tcW w:w="600" w:type="dxa"/>
            <w:tcBorders>
              <w:bottom w:val="single" w:sz="8" w:space="0" w:color="auto"/>
              <w:right w:val="single" w:sz="8" w:space="0" w:color="auto"/>
            </w:tcBorders>
            <w:vAlign w:val="bottom"/>
          </w:tcPr>
          <w:p w14:paraId="2519DC02" w14:textId="77777777" w:rsidR="00992061" w:rsidRDefault="00992061">
            <w:pPr>
              <w:rPr>
                <w:sz w:val="4"/>
                <w:szCs w:val="4"/>
              </w:rPr>
            </w:pPr>
          </w:p>
        </w:tc>
        <w:tc>
          <w:tcPr>
            <w:tcW w:w="1580" w:type="dxa"/>
            <w:tcBorders>
              <w:bottom w:val="single" w:sz="8" w:space="0" w:color="auto"/>
              <w:right w:val="single" w:sz="8" w:space="0" w:color="auto"/>
            </w:tcBorders>
            <w:vAlign w:val="bottom"/>
          </w:tcPr>
          <w:p w14:paraId="6C19F8B7" w14:textId="77777777" w:rsidR="00992061" w:rsidRDefault="00992061">
            <w:pPr>
              <w:rPr>
                <w:sz w:val="4"/>
                <w:szCs w:val="4"/>
              </w:rPr>
            </w:pPr>
          </w:p>
        </w:tc>
        <w:tc>
          <w:tcPr>
            <w:tcW w:w="30" w:type="dxa"/>
            <w:vAlign w:val="bottom"/>
          </w:tcPr>
          <w:p w14:paraId="3B6762F7" w14:textId="77777777" w:rsidR="00992061" w:rsidRDefault="00992061">
            <w:pPr>
              <w:rPr>
                <w:sz w:val="1"/>
                <w:szCs w:val="1"/>
              </w:rPr>
            </w:pPr>
          </w:p>
        </w:tc>
      </w:tr>
      <w:tr w:rsidR="00992061" w14:paraId="33C3400A" w14:textId="77777777" w:rsidTr="00BB0FDD">
        <w:trPr>
          <w:trHeight w:val="307"/>
        </w:trPr>
        <w:tc>
          <w:tcPr>
            <w:tcW w:w="3040" w:type="dxa"/>
            <w:tcBorders>
              <w:left w:val="single" w:sz="8" w:space="0" w:color="auto"/>
              <w:right w:val="single" w:sz="8" w:space="0" w:color="auto"/>
            </w:tcBorders>
            <w:vAlign w:val="bottom"/>
          </w:tcPr>
          <w:p w14:paraId="78DEAA58" w14:textId="77777777" w:rsidR="00992061" w:rsidRDefault="00D1402E">
            <w:pPr>
              <w:ind w:left="80"/>
              <w:rPr>
                <w:sz w:val="20"/>
                <w:szCs w:val="20"/>
              </w:rPr>
            </w:pPr>
            <w:r>
              <w:rPr>
                <w:rFonts w:eastAsia="Times New Roman"/>
                <w:i/>
                <w:iCs/>
                <w:sz w:val="20"/>
                <w:szCs w:val="20"/>
              </w:rPr>
              <w:t>Нарушения на кожата и</w:t>
            </w:r>
          </w:p>
        </w:tc>
        <w:tc>
          <w:tcPr>
            <w:tcW w:w="840" w:type="dxa"/>
            <w:vAlign w:val="bottom"/>
          </w:tcPr>
          <w:p w14:paraId="1139F9AB" w14:textId="77777777" w:rsidR="00992061" w:rsidRDefault="00992061">
            <w:pPr>
              <w:rPr>
                <w:sz w:val="24"/>
                <w:szCs w:val="24"/>
              </w:rPr>
            </w:pPr>
          </w:p>
        </w:tc>
        <w:tc>
          <w:tcPr>
            <w:tcW w:w="140" w:type="dxa"/>
            <w:tcBorders>
              <w:right w:val="single" w:sz="8" w:space="0" w:color="auto"/>
            </w:tcBorders>
            <w:vAlign w:val="bottom"/>
          </w:tcPr>
          <w:p w14:paraId="782BC6CC" w14:textId="77777777" w:rsidR="00992061" w:rsidRDefault="00992061">
            <w:pPr>
              <w:rPr>
                <w:sz w:val="24"/>
                <w:szCs w:val="24"/>
              </w:rPr>
            </w:pPr>
          </w:p>
        </w:tc>
        <w:tc>
          <w:tcPr>
            <w:tcW w:w="620" w:type="dxa"/>
            <w:tcBorders>
              <w:right w:val="single" w:sz="8" w:space="0" w:color="auto"/>
            </w:tcBorders>
            <w:vAlign w:val="bottom"/>
          </w:tcPr>
          <w:p w14:paraId="42766A5C" w14:textId="77777777" w:rsidR="00992061" w:rsidRDefault="00992061">
            <w:pPr>
              <w:rPr>
                <w:sz w:val="24"/>
                <w:szCs w:val="24"/>
              </w:rPr>
            </w:pPr>
          </w:p>
        </w:tc>
        <w:tc>
          <w:tcPr>
            <w:tcW w:w="860" w:type="dxa"/>
            <w:tcBorders>
              <w:right w:val="single" w:sz="8" w:space="0" w:color="auto"/>
            </w:tcBorders>
            <w:vAlign w:val="bottom"/>
          </w:tcPr>
          <w:p w14:paraId="53DB14C7" w14:textId="77777777" w:rsidR="00992061" w:rsidRDefault="00992061">
            <w:pPr>
              <w:rPr>
                <w:sz w:val="24"/>
                <w:szCs w:val="24"/>
              </w:rPr>
            </w:pPr>
          </w:p>
        </w:tc>
        <w:tc>
          <w:tcPr>
            <w:tcW w:w="900" w:type="dxa"/>
            <w:vAlign w:val="bottom"/>
          </w:tcPr>
          <w:p w14:paraId="16B8E977" w14:textId="77777777" w:rsidR="00992061" w:rsidRDefault="00992061">
            <w:pPr>
              <w:rPr>
                <w:sz w:val="24"/>
                <w:szCs w:val="24"/>
              </w:rPr>
            </w:pPr>
          </w:p>
        </w:tc>
        <w:tc>
          <w:tcPr>
            <w:tcW w:w="140" w:type="dxa"/>
            <w:tcBorders>
              <w:right w:val="single" w:sz="8" w:space="0" w:color="auto"/>
            </w:tcBorders>
            <w:vAlign w:val="bottom"/>
          </w:tcPr>
          <w:p w14:paraId="4EE14588" w14:textId="77777777" w:rsidR="00992061" w:rsidRDefault="00992061">
            <w:pPr>
              <w:rPr>
                <w:sz w:val="24"/>
                <w:szCs w:val="24"/>
              </w:rPr>
            </w:pPr>
          </w:p>
        </w:tc>
        <w:tc>
          <w:tcPr>
            <w:tcW w:w="700" w:type="dxa"/>
            <w:tcBorders>
              <w:right w:val="single" w:sz="8" w:space="0" w:color="auto"/>
            </w:tcBorders>
            <w:vAlign w:val="bottom"/>
          </w:tcPr>
          <w:p w14:paraId="3335614D" w14:textId="77777777" w:rsidR="00992061" w:rsidRDefault="00992061">
            <w:pPr>
              <w:rPr>
                <w:sz w:val="24"/>
                <w:szCs w:val="24"/>
              </w:rPr>
            </w:pPr>
          </w:p>
        </w:tc>
        <w:tc>
          <w:tcPr>
            <w:tcW w:w="260" w:type="dxa"/>
            <w:vAlign w:val="bottom"/>
          </w:tcPr>
          <w:p w14:paraId="21E29A38" w14:textId="77777777" w:rsidR="00992061" w:rsidRDefault="00992061">
            <w:pPr>
              <w:rPr>
                <w:sz w:val="24"/>
                <w:szCs w:val="24"/>
              </w:rPr>
            </w:pPr>
          </w:p>
        </w:tc>
        <w:tc>
          <w:tcPr>
            <w:tcW w:w="600" w:type="dxa"/>
            <w:tcBorders>
              <w:right w:val="single" w:sz="8" w:space="0" w:color="auto"/>
            </w:tcBorders>
            <w:vAlign w:val="bottom"/>
          </w:tcPr>
          <w:p w14:paraId="0D43289E" w14:textId="77777777" w:rsidR="00992061" w:rsidRDefault="00992061">
            <w:pPr>
              <w:rPr>
                <w:sz w:val="24"/>
                <w:szCs w:val="24"/>
              </w:rPr>
            </w:pPr>
          </w:p>
        </w:tc>
        <w:tc>
          <w:tcPr>
            <w:tcW w:w="1580" w:type="dxa"/>
            <w:tcBorders>
              <w:right w:val="single" w:sz="8" w:space="0" w:color="auto"/>
            </w:tcBorders>
            <w:vAlign w:val="bottom"/>
          </w:tcPr>
          <w:p w14:paraId="6479F9CE" w14:textId="77777777" w:rsidR="00992061" w:rsidRDefault="00992061">
            <w:pPr>
              <w:rPr>
                <w:sz w:val="24"/>
                <w:szCs w:val="24"/>
              </w:rPr>
            </w:pPr>
          </w:p>
        </w:tc>
        <w:tc>
          <w:tcPr>
            <w:tcW w:w="30" w:type="dxa"/>
            <w:vAlign w:val="bottom"/>
          </w:tcPr>
          <w:p w14:paraId="36714DD2" w14:textId="77777777" w:rsidR="00992061" w:rsidRDefault="00992061">
            <w:pPr>
              <w:rPr>
                <w:sz w:val="1"/>
                <w:szCs w:val="1"/>
              </w:rPr>
            </w:pPr>
          </w:p>
        </w:tc>
      </w:tr>
      <w:tr w:rsidR="00992061" w14:paraId="148FA750" w14:textId="77777777" w:rsidTr="00BB0FDD">
        <w:trPr>
          <w:trHeight w:val="266"/>
        </w:trPr>
        <w:tc>
          <w:tcPr>
            <w:tcW w:w="3040" w:type="dxa"/>
            <w:tcBorders>
              <w:left w:val="single" w:sz="8" w:space="0" w:color="auto"/>
              <w:right w:val="single" w:sz="8" w:space="0" w:color="auto"/>
            </w:tcBorders>
            <w:vAlign w:val="bottom"/>
          </w:tcPr>
          <w:p w14:paraId="647C95CC" w14:textId="77777777" w:rsidR="00992061" w:rsidRDefault="00D1402E">
            <w:pPr>
              <w:ind w:left="80"/>
              <w:rPr>
                <w:sz w:val="20"/>
                <w:szCs w:val="20"/>
              </w:rPr>
            </w:pPr>
            <w:r>
              <w:rPr>
                <w:rFonts w:eastAsia="Times New Roman"/>
                <w:i/>
                <w:iCs/>
                <w:sz w:val="20"/>
                <w:szCs w:val="20"/>
              </w:rPr>
              <w:lastRenderedPageBreak/>
              <w:t>подкожната тъкан</w:t>
            </w:r>
          </w:p>
        </w:tc>
        <w:tc>
          <w:tcPr>
            <w:tcW w:w="840" w:type="dxa"/>
            <w:vAlign w:val="bottom"/>
          </w:tcPr>
          <w:p w14:paraId="1A8BAEF8" w14:textId="77777777" w:rsidR="00992061" w:rsidRDefault="00992061">
            <w:pPr>
              <w:rPr>
                <w:sz w:val="23"/>
                <w:szCs w:val="23"/>
              </w:rPr>
            </w:pPr>
          </w:p>
        </w:tc>
        <w:tc>
          <w:tcPr>
            <w:tcW w:w="140" w:type="dxa"/>
            <w:tcBorders>
              <w:right w:val="single" w:sz="8" w:space="0" w:color="auto"/>
            </w:tcBorders>
            <w:vAlign w:val="bottom"/>
          </w:tcPr>
          <w:p w14:paraId="7BC41D3B" w14:textId="77777777" w:rsidR="00992061" w:rsidRDefault="00992061">
            <w:pPr>
              <w:rPr>
                <w:sz w:val="23"/>
                <w:szCs w:val="23"/>
              </w:rPr>
            </w:pPr>
          </w:p>
        </w:tc>
        <w:tc>
          <w:tcPr>
            <w:tcW w:w="620" w:type="dxa"/>
            <w:tcBorders>
              <w:right w:val="single" w:sz="8" w:space="0" w:color="auto"/>
            </w:tcBorders>
            <w:vAlign w:val="bottom"/>
          </w:tcPr>
          <w:p w14:paraId="2DA26908" w14:textId="77777777" w:rsidR="00992061" w:rsidRDefault="00992061">
            <w:pPr>
              <w:rPr>
                <w:sz w:val="23"/>
                <w:szCs w:val="23"/>
              </w:rPr>
            </w:pPr>
          </w:p>
        </w:tc>
        <w:tc>
          <w:tcPr>
            <w:tcW w:w="860" w:type="dxa"/>
            <w:tcBorders>
              <w:right w:val="single" w:sz="8" w:space="0" w:color="auto"/>
            </w:tcBorders>
            <w:vAlign w:val="bottom"/>
          </w:tcPr>
          <w:p w14:paraId="4AA4107A" w14:textId="77777777" w:rsidR="00992061" w:rsidRDefault="00992061">
            <w:pPr>
              <w:rPr>
                <w:sz w:val="23"/>
                <w:szCs w:val="23"/>
              </w:rPr>
            </w:pPr>
          </w:p>
        </w:tc>
        <w:tc>
          <w:tcPr>
            <w:tcW w:w="900" w:type="dxa"/>
            <w:vAlign w:val="bottom"/>
          </w:tcPr>
          <w:p w14:paraId="1318F77B" w14:textId="77777777" w:rsidR="00992061" w:rsidRDefault="00992061">
            <w:pPr>
              <w:rPr>
                <w:sz w:val="23"/>
                <w:szCs w:val="23"/>
              </w:rPr>
            </w:pPr>
          </w:p>
        </w:tc>
        <w:tc>
          <w:tcPr>
            <w:tcW w:w="140" w:type="dxa"/>
            <w:tcBorders>
              <w:right w:val="single" w:sz="8" w:space="0" w:color="auto"/>
            </w:tcBorders>
            <w:vAlign w:val="bottom"/>
          </w:tcPr>
          <w:p w14:paraId="3FDAF762" w14:textId="77777777" w:rsidR="00992061" w:rsidRDefault="00992061">
            <w:pPr>
              <w:rPr>
                <w:sz w:val="23"/>
                <w:szCs w:val="23"/>
              </w:rPr>
            </w:pPr>
          </w:p>
        </w:tc>
        <w:tc>
          <w:tcPr>
            <w:tcW w:w="700" w:type="dxa"/>
            <w:tcBorders>
              <w:right w:val="single" w:sz="8" w:space="0" w:color="auto"/>
            </w:tcBorders>
            <w:vAlign w:val="bottom"/>
          </w:tcPr>
          <w:p w14:paraId="4E51524D" w14:textId="77777777" w:rsidR="00992061" w:rsidRDefault="00992061">
            <w:pPr>
              <w:rPr>
                <w:sz w:val="23"/>
                <w:szCs w:val="23"/>
              </w:rPr>
            </w:pPr>
          </w:p>
        </w:tc>
        <w:tc>
          <w:tcPr>
            <w:tcW w:w="260" w:type="dxa"/>
            <w:vAlign w:val="bottom"/>
          </w:tcPr>
          <w:p w14:paraId="20CF3CCD" w14:textId="77777777" w:rsidR="00992061" w:rsidRDefault="00992061">
            <w:pPr>
              <w:rPr>
                <w:sz w:val="23"/>
                <w:szCs w:val="23"/>
              </w:rPr>
            </w:pPr>
          </w:p>
        </w:tc>
        <w:tc>
          <w:tcPr>
            <w:tcW w:w="600" w:type="dxa"/>
            <w:tcBorders>
              <w:right w:val="single" w:sz="8" w:space="0" w:color="auto"/>
            </w:tcBorders>
            <w:vAlign w:val="bottom"/>
          </w:tcPr>
          <w:p w14:paraId="495C3C5E" w14:textId="77777777" w:rsidR="00992061" w:rsidRDefault="00992061">
            <w:pPr>
              <w:rPr>
                <w:sz w:val="23"/>
                <w:szCs w:val="23"/>
              </w:rPr>
            </w:pPr>
          </w:p>
        </w:tc>
        <w:tc>
          <w:tcPr>
            <w:tcW w:w="1580" w:type="dxa"/>
            <w:tcBorders>
              <w:right w:val="single" w:sz="8" w:space="0" w:color="auto"/>
            </w:tcBorders>
            <w:vAlign w:val="bottom"/>
          </w:tcPr>
          <w:p w14:paraId="7284CF51" w14:textId="77777777" w:rsidR="00992061" w:rsidRDefault="00992061">
            <w:pPr>
              <w:rPr>
                <w:sz w:val="23"/>
                <w:szCs w:val="23"/>
              </w:rPr>
            </w:pPr>
          </w:p>
        </w:tc>
        <w:tc>
          <w:tcPr>
            <w:tcW w:w="30" w:type="dxa"/>
            <w:vAlign w:val="bottom"/>
          </w:tcPr>
          <w:p w14:paraId="6C124937" w14:textId="77777777" w:rsidR="00992061" w:rsidRDefault="00992061">
            <w:pPr>
              <w:rPr>
                <w:sz w:val="1"/>
                <w:szCs w:val="1"/>
              </w:rPr>
            </w:pPr>
          </w:p>
        </w:tc>
      </w:tr>
      <w:tr w:rsidR="00992061" w14:paraId="4F58749B" w14:textId="77777777" w:rsidTr="00BB0FDD">
        <w:trPr>
          <w:trHeight w:val="293"/>
        </w:trPr>
        <w:tc>
          <w:tcPr>
            <w:tcW w:w="3040" w:type="dxa"/>
            <w:tcBorders>
              <w:left w:val="single" w:sz="8" w:space="0" w:color="auto"/>
              <w:right w:val="single" w:sz="8" w:space="0" w:color="auto"/>
            </w:tcBorders>
            <w:vAlign w:val="bottom"/>
          </w:tcPr>
          <w:p w14:paraId="661263EE" w14:textId="77777777" w:rsidR="00992061" w:rsidRDefault="00D1402E">
            <w:pPr>
              <w:ind w:left="280"/>
              <w:rPr>
                <w:sz w:val="20"/>
                <w:szCs w:val="20"/>
              </w:rPr>
            </w:pPr>
            <w:r>
              <w:rPr>
                <w:rFonts w:eastAsia="Times New Roman"/>
                <w:sz w:val="20"/>
                <w:szCs w:val="20"/>
              </w:rPr>
              <w:t>Обрив***</w:t>
            </w:r>
          </w:p>
        </w:tc>
        <w:tc>
          <w:tcPr>
            <w:tcW w:w="840" w:type="dxa"/>
            <w:vAlign w:val="bottom"/>
          </w:tcPr>
          <w:p w14:paraId="6A908051" w14:textId="77777777" w:rsidR="00992061" w:rsidRDefault="00D1402E">
            <w:pPr>
              <w:jc w:val="center"/>
              <w:rPr>
                <w:sz w:val="20"/>
                <w:szCs w:val="20"/>
              </w:rPr>
            </w:pPr>
            <w:r>
              <w:rPr>
                <w:rFonts w:eastAsia="Times New Roman"/>
                <w:w w:val="99"/>
                <w:sz w:val="20"/>
                <w:szCs w:val="20"/>
              </w:rPr>
              <w:t>75</w:t>
            </w:r>
          </w:p>
        </w:tc>
        <w:tc>
          <w:tcPr>
            <w:tcW w:w="140" w:type="dxa"/>
            <w:tcBorders>
              <w:right w:val="single" w:sz="8" w:space="0" w:color="auto"/>
            </w:tcBorders>
            <w:vAlign w:val="bottom"/>
          </w:tcPr>
          <w:p w14:paraId="4497A1FB" w14:textId="77777777" w:rsidR="00992061" w:rsidRDefault="00992061">
            <w:pPr>
              <w:rPr>
                <w:sz w:val="24"/>
                <w:szCs w:val="24"/>
              </w:rPr>
            </w:pPr>
          </w:p>
        </w:tc>
        <w:tc>
          <w:tcPr>
            <w:tcW w:w="620" w:type="dxa"/>
            <w:tcBorders>
              <w:right w:val="single" w:sz="8" w:space="0" w:color="auto"/>
            </w:tcBorders>
            <w:vAlign w:val="bottom"/>
          </w:tcPr>
          <w:p w14:paraId="082DEC02" w14:textId="77777777" w:rsidR="00992061" w:rsidRDefault="00D1402E">
            <w:pPr>
              <w:jc w:val="center"/>
              <w:rPr>
                <w:sz w:val="20"/>
                <w:szCs w:val="20"/>
              </w:rPr>
            </w:pPr>
            <w:r>
              <w:rPr>
                <w:rFonts w:eastAsia="Times New Roman"/>
                <w:w w:val="99"/>
                <w:sz w:val="20"/>
                <w:szCs w:val="20"/>
              </w:rPr>
              <w:t>8</w:t>
            </w:r>
          </w:p>
        </w:tc>
        <w:tc>
          <w:tcPr>
            <w:tcW w:w="860" w:type="dxa"/>
            <w:tcBorders>
              <w:right w:val="single" w:sz="8" w:space="0" w:color="auto"/>
            </w:tcBorders>
            <w:vAlign w:val="bottom"/>
          </w:tcPr>
          <w:p w14:paraId="64C3C9B0" w14:textId="77777777" w:rsidR="00992061" w:rsidRDefault="00D1402E">
            <w:pPr>
              <w:jc w:val="center"/>
              <w:rPr>
                <w:sz w:val="20"/>
                <w:szCs w:val="20"/>
              </w:rPr>
            </w:pPr>
            <w:r>
              <w:rPr>
                <w:rFonts w:eastAsia="Times New Roman"/>
                <w:sz w:val="20"/>
                <w:szCs w:val="20"/>
              </w:rPr>
              <w:t>&lt;1</w:t>
            </w:r>
          </w:p>
        </w:tc>
        <w:tc>
          <w:tcPr>
            <w:tcW w:w="900" w:type="dxa"/>
            <w:vAlign w:val="bottom"/>
          </w:tcPr>
          <w:p w14:paraId="461D5149" w14:textId="77777777" w:rsidR="00992061" w:rsidRDefault="00D1402E">
            <w:pPr>
              <w:jc w:val="center"/>
              <w:rPr>
                <w:sz w:val="20"/>
                <w:szCs w:val="20"/>
              </w:rPr>
            </w:pPr>
            <w:r>
              <w:rPr>
                <w:rFonts w:eastAsia="Times New Roman"/>
                <w:w w:val="99"/>
                <w:sz w:val="20"/>
                <w:szCs w:val="20"/>
              </w:rPr>
              <w:t>69</w:t>
            </w:r>
          </w:p>
        </w:tc>
        <w:tc>
          <w:tcPr>
            <w:tcW w:w="140" w:type="dxa"/>
            <w:tcBorders>
              <w:right w:val="single" w:sz="8" w:space="0" w:color="auto"/>
            </w:tcBorders>
            <w:vAlign w:val="bottom"/>
          </w:tcPr>
          <w:p w14:paraId="6DC42A05" w14:textId="77777777" w:rsidR="00992061" w:rsidRDefault="00992061">
            <w:pPr>
              <w:rPr>
                <w:sz w:val="24"/>
                <w:szCs w:val="24"/>
              </w:rPr>
            </w:pPr>
          </w:p>
        </w:tc>
        <w:tc>
          <w:tcPr>
            <w:tcW w:w="700" w:type="dxa"/>
            <w:tcBorders>
              <w:right w:val="single" w:sz="8" w:space="0" w:color="auto"/>
            </w:tcBorders>
            <w:vAlign w:val="bottom"/>
          </w:tcPr>
          <w:p w14:paraId="198CED1E" w14:textId="77777777" w:rsidR="00992061" w:rsidRDefault="00D1402E">
            <w:pPr>
              <w:jc w:val="center"/>
              <w:rPr>
                <w:sz w:val="20"/>
                <w:szCs w:val="20"/>
              </w:rPr>
            </w:pPr>
            <w:r>
              <w:rPr>
                <w:rFonts w:eastAsia="Times New Roman"/>
                <w:w w:val="99"/>
                <w:sz w:val="20"/>
                <w:szCs w:val="20"/>
              </w:rPr>
              <w:t>5</w:t>
            </w:r>
          </w:p>
        </w:tc>
        <w:tc>
          <w:tcPr>
            <w:tcW w:w="260" w:type="dxa"/>
            <w:vAlign w:val="bottom"/>
          </w:tcPr>
          <w:p w14:paraId="4E714F92" w14:textId="77777777" w:rsidR="00992061" w:rsidRDefault="00992061">
            <w:pPr>
              <w:rPr>
                <w:sz w:val="24"/>
                <w:szCs w:val="24"/>
              </w:rPr>
            </w:pPr>
          </w:p>
        </w:tc>
        <w:tc>
          <w:tcPr>
            <w:tcW w:w="600" w:type="dxa"/>
            <w:tcBorders>
              <w:right w:val="single" w:sz="8" w:space="0" w:color="auto"/>
            </w:tcBorders>
            <w:vAlign w:val="bottom"/>
          </w:tcPr>
          <w:p w14:paraId="6C066C4D" w14:textId="77777777" w:rsidR="00992061" w:rsidRDefault="00D1402E">
            <w:pPr>
              <w:ind w:right="179"/>
              <w:jc w:val="center"/>
              <w:rPr>
                <w:sz w:val="20"/>
                <w:szCs w:val="20"/>
              </w:rPr>
            </w:pPr>
            <w:r>
              <w:rPr>
                <w:rFonts w:eastAsia="Times New Roman"/>
                <w:sz w:val="20"/>
                <w:szCs w:val="20"/>
              </w:rPr>
              <w:t>0</w:t>
            </w:r>
          </w:p>
        </w:tc>
        <w:tc>
          <w:tcPr>
            <w:tcW w:w="1580" w:type="dxa"/>
            <w:tcBorders>
              <w:right w:val="single" w:sz="8" w:space="0" w:color="auto"/>
            </w:tcBorders>
            <w:vAlign w:val="bottom"/>
          </w:tcPr>
          <w:p w14:paraId="4D75C520" w14:textId="77777777" w:rsidR="00992061" w:rsidRDefault="00D1402E">
            <w:pPr>
              <w:jc w:val="center"/>
              <w:rPr>
                <w:sz w:val="20"/>
                <w:szCs w:val="20"/>
              </w:rPr>
            </w:pPr>
            <w:r>
              <w:rPr>
                <w:rFonts w:eastAsia="Times New Roman"/>
                <w:w w:val="99"/>
                <w:sz w:val="20"/>
                <w:szCs w:val="20"/>
              </w:rPr>
              <w:t>Много чести</w:t>
            </w:r>
          </w:p>
        </w:tc>
        <w:tc>
          <w:tcPr>
            <w:tcW w:w="30" w:type="dxa"/>
            <w:vAlign w:val="bottom"/>
          </w:tcPr>
          <w:p w14:paraId="3A183FE8" w14:textId="77777777" w:rsidR="00992061" w:rsidRDefault="00992061">
            <w:pPr>
              <w:rPr>
                <w:sz w:val="1"/>
                <w:szCs w:val="1"/>
              </w:rPr>
            </w:pPr>
          </w:p>
        </w:tc>
      </w:tr>
      <w:tr w:rsidR="00992061" w14:paraId="458E2531" w14:textId="77777777" w:rsidTr="00BB0FDD">
        <w:trPr>
          <w:trHeight w:val="288"/>
        </w:trPr>
        <w:tc>
          <w:tcPr>
            <w:tcW w:w="3040" w:type="dxa"/>
            <w:tcBorders>
              <w:left w:val="single" w:sz="8" w:space="0" w:color="auto"/>
              <w:right w:val="single" w:sz="8" w:space="0" w:color="auto"/>
            </w:tcBorders>
            <w:vAlign w:val="bottom"/>
          </w:tcPr>
          <w:p w14:paraId="0F7E4989" w14:textId="77777777" w:rsidR="00992061" w:rsidRDefault="00D1402E">
            <w:pPr>
              <w:ind w:left="280"/>
              <w:rPr>
                <w:sz w:val="20"/>
                <w:szCs w:val="20"/>
              </w:rPr>
            </w:pPr>
            <w:r>
              <w:rPr>
                <w:rFonts w:eastAsia="Times New Roman"/>
                <w:sz w:val="20"/>
                <w:szCs w:val="20"/>
              </w:rPr>
              <w:t>Сърбеж</w:t>
            </w:r>
          </w:p>
        </w:tc>
        <w:tc>
          <w:tcPr>
            <w:tcW w:w="840" w:type="dxa"/>
            <w:vAlign w:val="bottom"/>
          </w:tcPr>
          <w:p w14:paraId="7AD7BD78" w14:textId="77777777" w:rsidR="00992061" w:rsidRDefault="00D1402E">
            <w:pPr>
              <w:jc w:val="center"/>
              <w:rPr>
                <w:sz w:val="20"/>
                <w:szCs w:val="20"/>
              </w:rPr>
            </w:pPr>
            <w:r>
              <w:rPr>
                <w:rFonts w:eastAsia="Times New Roman"/>
                <w:w w:val="99"/>
                <w:sz w:val="20"/>
                <w:szCs w:val="20"/>
              </w:rPr>
              <w:t>13</w:t>
            </w:r>
          </w:p>
        </w:tc>
        <w:tc>
          <w:tcPr>
            <w:tcW w:w="140" w:type="dxa"/>
            <w:tcBorders>
              <w:right w:val="single" w:sz="8" w:space="0" w:color="auto"/>
            </w:tcBorders>
            <w:vAlign w:val="bottom"/>
          </w:tcPr>
          <w:p w14:paraId="418CA758" w14:textId="77777777" w:rsidR="00992061" w:rsidRDefault="00992061">
            <w:pPr>
              <w:rPr>
                <w:sz w:val="24"/>
                <w:szCs w:val="24"/>
              </w:rPr>
            </w:pPr>
          </w:p>
        </w:tc>
        <w:tc>
          <w:tcPr>
            <w:tcW w:w="620" w:type="dxa"/>
            <w:tcBorders>
              <w:right w:val="single" w:sz="8" w:space="0" w:color="auto"/>
            </w:tcBorders>
            <w:vAlign w:val="bottom"/>
          </w:tcPr>
          <w:p w14:paraId="4BFCB375" w14:textId="77777777" w:rsidR="00992061" w:rsidRDefault="00D1402E">
            <w:pPr>
              <w:jc w:val="center"/>
              <w:rPr>
                <w:sz w:val="20"/>
                <w:szCs w:val="20"/>
              </w:rPr>
            </w:pPr>
            <w:r>
              <w:rPr>
                <w:rFonts w:eastAsia="Times New Roman"/>
                <w:sz w:val="20"/>
                <w:szCs w:val="20"/>
              </w:rPr>
              <w:t>&lt;1</w:t>
            </w:r>
          </w:p>
        </w:tc>
        <w:tc>
          <w:tcPr>
            <w:tcW w:w="860" w:type="dxa"/>
            <w:tcBorders>
              <w:right w:val="single" w:sz="8" w:space="0" w:color="auto"/>
            </w:tcBorders>
            <w:vAlign w:val="bottom"/>
          </w:tcPr>
          <w:p w14:paraId="387D7D33" w14:textId="77777777" w:rsidR="00992061" w:rsidRDefault="00D1402E">
            <w:pPr>
              <w:jc w:val="center"/>
              <w:rPr>
                <w:sz w:val="20"/>
                <w:szCs w:val="20"/>
              </w:rPr>
            </w:pPr>
            <w:r>
              <w:rPr>
                <w:rFonts w:eastAsia="Times New Roman"/>
                <w:w w:val="99"/>
                <w:sz w:val="20"/>
                <w:szCs w:val="20"/>
              </w:rPr>
              <w:t>0</w:t>
            </w:r>
          </w:p>
        </w:tc>
        <w:tc>
          <w:tcPr>
            <w:tcW w:w="900" w:type="dxa"/>
            <w:vAlign w:val="bottom"/>
          </w:tcPr>
          <w:p w14:paraId="4138E45F"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3E9DD7FE" w14:textId="77777777" w:rsidR="00992061" w:rsidRDefault="00992061">
            <w:pPr>
              <w:rPr>
                <w:sz w:val="24"/>
                <w:szCs w:val="24"/>
              </w:rPr>
            </w:pPr>
          </w:p>
        </w:tc>
        <w:tc>
          <w:tcPr>
            <w:tcW w:w="700" w:type="dxa"/>
            <w:tcBorders>
              <w:right w:val="single" w:sz="8" w:space="0" w:color="auto"/>
            </w:tcBorders>
            <w:vAlign w:val="bottom"/>
          </w:tcPr>
          <w:p w14:paraId="4874100D" w14:textId="77777777" w:rsidR="00992061" w:rsidRDefault="00D1402E">
            <w:pPr>
              <w:jc w:val="center"/>
              <w:rPr>
                <w:sz w:val="20"/>
                <w:szCs w:val="20"/>
              </w:rPr>
            </w:pPr>
            <w:r>
              <w:rPr>
                <w:rFonts w:eastAsia="Times New Roman"/>
                <w:sz w:val="20"/>
                <w:szCs w:val="20"/>
              </w:rPr>
              <w:t>-</w:t>
            </w:r>
          </w:p>
        </w:tc>
        <w:tc>
          <w:tcPr>
            <w:tcW w:w="260" w:type="dxa"/>
            <w:vAlign w:val="bottom"/>
          </w:tcPr>
          <w:p w14:paraId="2798A854" w14:textId="77777777" w:rsidR="00992061" w:rsidRDefault="00992061">
            <w:pPr>
              <w:rPr>
                <w:sz w:val="24"/>
                <w:szCs w:val="24"/>
              </w:rPr>
            </w:pPr>
          </w:p>
        </w:tc>
        <w:tc>
          <w:tcPr>
            <w:tcW w:w="600" w:type="dxa"/>
            <w:tcBorders>
              <w:right w:val="single" w:sz="8" w:space="0" w:color="auto"/>
            </w:tcBorders>
            <w:vAlign w:val="bottom"/>
          </w:tcPr>
          <w:p w14:paraId="267E5DAF"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58DCBAC5"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26F5FA40" w14:textId="77777777" w:rsidR="00992061" w:rsidRDefault="00992061">
            <w:pPr>
              <w:rPr>
                <w:sz w:val="1"/>
                <w:szCs w:val="1"/>
              </w:rPr>
            </w:pPr>
          </w:p>
        </w:tc>
      </w:tr>
      <w:tr w:rsidR="00992061" w14:paraId="1FD9473E" w14:textId="77777777" w:rsidTr="00BB0FDD">
        <w:trPr>
          <w:trHeight w:val="293"/>
        </w:trPr>
        <w:tc>
          <w:tcPr>
            <w:tcW w:w="3040" w:type="dxa"/>
            <w:tcBorders>
              <w:left w:val="single" w:sz="8" w:space="0" w:color="auto"/>
              <w:right w:val="single" w:sz="8" w:space="0" w:color="auto"/>
            </w:tcBorders>
            <w:vAlign w:val="bottom"/>
          </w:tcPr>
          <w:p w14:paraId="7935AEA0" w14:textId="77777777" w:rsidR="00992061" w:rsidRDefault="00D1402E">
            <w:pPr>
              <w:ind w:left="280"/>
              <w:rPr>
                <w:sz w:val="20"/>
                <w:szCs w:val="20"/>
              </w:rPr>
            </w:pPr>
            <w:r>
              <w:rPr>
                <w:rFonts w:eastAsia="Times New Roman"/>
                <w:sz w:val="20"/>
                <w:szCs w:val="20"/>
              </w:rPr>
              <w:t>Суха кожа</w:t>
            </w:r>
          </w:p>
        </w:tc>
        <w:tc>
          <w:tcPr>
            <w:tcW w:w="840" w:type="dxa"/>
            <w:vAlign w:val="bottom"/>
          </w:tcPr>
          <w:p w14:paraId="1B792A8F" w14:textId="77777777" w:rsidR="00992061" w:rsidRDefault="00D1402E">
            <w:pPr>
              <w:jc w:val="center"/>
              <w:rPr>
                <w:sz w:val="20"/>
                <w:szCs w:val="20"/>
              </w:rPr>
            </w:pPr>
            <w:r>
              <w:rPr>
                <w:rFonts w:eastAsia="Times New Roman"/>
                <w:w w:val="99"/>
                <w:sz w:val="20"/>
                <w:szCs w:val="20"/>
              </w:rPr>
              <w:t>12</w:t>
            </w:r>
          </w:p>
        </w:tc>
        <w:tc>
          <w:tcPr>
            <w:tcW w:w="140" w:type="dxa"/>
            <w:tcBorders>
              <w:right w:val="single" w:sz="8" w:space="0" w:color="auto"/>
            </w:tcBorders>
            <w:vAlign w:val="bottom"/>
          </w:tcPr>
          <w:p w14:paraId="1262824C" w14:textId="77777777" w:rsidR="00992061" w:rsidRDefault="00992061">
            <w:pPr>
              <w:rPr>
                <w:sz w:val="24"/>
                <w:szCs w:val="24"/>
              </w:rPr>
            </w:pPr>
          </w:p>
        </w:tc>
        <w:tc>
          <w:tcPr>
            <w:tcW w:w="620" w:type="dxa"/>
            <w:tcBorders>
              <w:right w:val="single" w:sz="8" w:space="0" w:color="auto"/>
            </w:tcBorders>
            <w:vAlign w:val="bottom"/>
          </w:tcPr>
          <w:p w14:paraId="682D68FC" w14:textId="77777777" w:rsidR="00992061" w:rsidRDefault="00D1402E">
            <w:pPr>
              <w:jc w:val="center"/>
              <w:rPr>
                <w:sz w:val="20"/>
                <w:szCs w:val="20"/>
              </w:rPr>
            </w:pPr>
            <w:r>
              <w:rPr>
                <w:rFonts w:eastAsia="Times New Roman"/>
                <w:w w:val="99"/>
                <w:sz w:val="20"/>
                <w:szCs w:val="20"/>
              </w:rPr>
              <w:t>0</w:t>
            </w:r>
          </w:p>
        </w:tc>
        <w:tc>
          <w:tcPr>
            <w:tcW w:w="860" w:type="dxa"/>
            <w:tcBorders>
              <w:right w:val="single" w:sz="8" w:space="0" w:color="auto"/>
            </w:tcBorders>
            <w:vAlign w:val="bottom"/>
          </w:tcPr>
          <w:p w14:paraId="31218169" w14:textId="77777777" w:rsidR="00992061" w:rsidRDefault="00D1402E">
            <w:pPr>
              <w:jc w:val="center"/>
              <w:rPr>
                <w:sz w:val="20"/>
                <w:szCs w:val="20"/>
              </w:rPr>
            </w:pPr>
            <w:r>
              <w:rPr>
                <w:rFonts w:eastAsia="Times New Roman"/>
                <w:w w:val="99"/>
                <w:sz w:val="20"/>
                <w:szCs w:val="20"/>
              </w:rPr>
              <w:t>0</w:t>
            </w:r>
          </w:p>
        </w:tc>
        <w:tc>
          <w:tcPr>
            <w:tcW w:w="900" w:type="dxa"/>
            <w:vAlign w:val="bottom"/>
          </w:tcPr>
          <w:p w14:paraId="6D6E6844" w14:textId="77777777" w:rsidR="00992061" w:rsidRDefault="00D1402E">
            <w:pPr>
              <w:jc w:val="center"/>
              <w:rPr>
                <w:sz w:val="20"/>
                <w:szCs w:val="20"/>
              </w:rPr>
            </w:pPr>
            <w:r>
              <w:rPr>
                <w:rFonts w:eastAsia="Times New Roman"/>
                <w:w w:val="89"/>
                <w:sz w:val="20"/>
                <w:szCs w:val="20"/>
              </w:rPr>
              <w:t>-</w:t>
            </w:r>
          </w:p>
        </w:tc>
        <w:tc>
          <w:tcPr>
            <w:tcW w:w="140" w:type="dxa"/>
            <w:tcBorders>
              <w:right w:val="single" w:sz="8" w:space="0" w:color="auto"/>
            </w:tcBorders>
            <w:vAlign w:val="bottom"/>
          </w:tcPr>
          <w:p w14:paraId="3FA2F1B6" w14:textId="77777777" w:rsidR="00992061" w:rsidRDefault="00992061">
            <w:pPr>
              <w:rPr>
                <w:sz w:val="24"/>
                <w:szCs w:val="24"/>
              </w:rPr>
            </w:pPr>
          </w:p>
        </w:tc>
        <w:tc>
          <w:tcPr>
            <w:tcW w:w="700" w:type="dxa"/>
            <w:tcBorders>
              <w:right w:val="single" w:sz="8" w:space="0" w:color="auto"/>
            </w:tcBorders>
            <w:vAlign w:val="bottom"/>
          </w:tcPr>
          <w:p w14:paraId="691FBA71" w14:textId="77777777" w:rsidR="00992061" w:rsidRDefault="00D1402E">
            <w:pPr>
              <w:jc w:val="center"/>
              <w:rPr>
                <w:sz w:val="20"/>
                <w:szCs w:val="20"/>
              </w:rPr>
            </w:pPr>
            <w:r>
              <w:rPr>
                <w:rFonts w:eastAsia="Times New Roman"/>
                <w:sz w:val="20"/>
                <w:szCs w:val="20"/>
              </w:rPr>
              <w:t>-</w:t>
            </w:r>
          </w:p>
        </w:tc>
        <w:tc>
          <w:tcPr>
            <w:tcW w:w="260" w:type="dxa"/>
            <w:vAlign w:val="bottom"/>
          </w:tcPr>
          <w:p w14:paraId="01406D67" w14:textId="77777777" w:rsidR="00992061" w:rsidRDefault="00992061">
            <w:pPr>
              <w:rPr>
                <w:sz w:val="24"/>
                <w:szCs w:val="24"/>
              </w:rPr>
            </w:pPr>
          </w:p>
        </w:tc>
        <w:tc>
          <w:tcPr>
            <w:tcW w:w="600" w:type="dxa"/>
            <w:tcBorders>
              <w:right w:val="single" w:sz="8" w:space="0" w:color="auto"/>
            </w:tcBorders>
            <w:vAlign w:val="bottom"/>
          </w:tcPr>
          <w:p w14:paraId="1FB1AE8F" w14:textId="77777777" w:rsidR="00992061" w:rsidRDefault="00D1402E">
            <w:pPr>
              <w:ind w:right="179"/>
              <w:jc w:val="center"/>
              <w:rPr>
                <w:sz w:val="20"/>
                <w:szCs w:val="20"/>
              </w:rPr>
            </w:pPr>
            <w:r>
              <w:rPr>
                <w:rFonts w:eastAsia="Times New Roman"/>
                <w:sz w:val="20"/>
                <w:szCs w:val="20"/>
              </w:rPr>
              <w:t>-</w:t>
            </w:r>
          </w:p>
        </w:tc>
        <w:tc>
          <w:tcPr>
            <w:tcW w:w="1580" w:type="dxa"/>
            <w:tcBorders>
              <w:right w:val="single" w:sz="8" w:space="0" w:color="auto"/>
            </w:tcBorders>
            <w:vAlign w:val="bottom"/>
          </w:tcPr>
          <w:p w14:paraId="7E8268E2" w14:textId="77777777" w:rsidR="00992061" w:rsidRDefault="00D1402E">
            <w:pPr>
              <w:jc w:val="center"/>
              <w:rPr>
                <w:sz w:val="20"/>
                <w:szCs w:val="20"/>
              </w:rPr>
            </w:pPr>
            <w:r>
              <w:rPr>
                <w:rFonts w:eastAsia="Times New Roman"/>
                <w:w w:val="99"/>
                <w:sz w:val="20"/>
                <w:szCs w:val="20"/>
              </w:rPr>
              <w:t>Много чести</w:t>
            </w:r>
          </w:p>
        </w:tc>
        <w:tc>
          <w:tcPr>
            <w:tcW w:w="30" w:type="dxa"/>
            <w:vAlign w:val="bottom"/>
          </w:tcPr>
          <w:p w14:paraId="6BFE8FA3" w14:textId="77777777" w:rsidR="00992061" w:rsidRDefault="00992061">
            <w:pPr>
              <w:rPr>
                <w:sz w:val="1"/>
                <w:szCs w:val="1"/>
              </w:rPr>
            </w:pPr>
          </w:p>
        </w:tc>
      </w:tr>
      <w:tr w:rsidR="00992061" w14:paraId="75AF1A36" w14:textId="77777777" w:rsidTr="00BB0FDD">
        <w:trPr>
          <w:trHeight w:val="125"/>
        </w:trPr>
        <w:tc>
          <w:tcPr>
            <w:tcW w:w="3040" w:type="dxa"/>
            <w:tcBorders>
              <w:left w:val="single" w:sz="8" w:space="0" w:color="auto"/>
              <w:bottom w:val="single" w:sz="4" w:space="0" w:color="auto"/>
              <w:right w:val="single" w:sz="8" w:space="0" w:color="auto"/>
            </w:tcBorders>
            <w:vAlign w:val="bottom"/>
          </w:tcPr>
          <w:p w14:paraId="6D8EE612" w14:textId="77777777" w:rsidR="00992061" w:rsidRDefault="00D1402E">
            <w:pPr>
              <w:ind w:left="280"/>
              <w:rPr>
                <w:sz w:val="20"/>
                <w:szCs w:val="20"/>
              </w:rPr>
            </w:pPr>
            <w:r>
              <w:rPr>
                <w:rFonts w:eastAsia="Times New Roman"/>
                <w:sz w:val="20"/>
                <w:szCs w:val="20"/>
              </w:rPr>
              <w:t>Алопеция</w:t>
            </w:r>
          </w:p>
        </w:tc>
        <w:tc>
          <w:tcPr>
            <w:tcW w:w="840" w:type="dxa"/>
            <w:tcBorders>
              <w:bottom w:val="single" w:sz="4" w:space="0" w:color="auto"/>
            </w:tcBorders>
            <w:vAlign w:val="bottom"/>
          </w:tcPr>
          <w:p w14:paraId="1E1D247F" w14:textId="77777777" w:rsidR="00992061" w:rsidRDefault="00D1402E">
            <w:pPr>
              <w:jc w:val="center"/>
              <w:rPr>
                <w:sz w:val="20"/>
                <w:szCs w:val="20"/>
              </w:rPr>
            </w:pPr>
            <w:r>
              <w:rPr>
                <w:rFonts w:eastAsia="Times New Roman"/>
                <w:w w:val="89"/>
                <w:sz w:val="20"/>
                <w:szCs w:val="20"/>
              </w:rPr>
              <w:t>-</w:t>
            </w:r>
          </w:p>
        </w:tc>
        <w:tc>
          <w:tcPr>
            <w:tcW w:w="140" w:type="dxa"/>
            <w:tcBorders>
              <w:bottom w:val="single" w:sz="4" w:space="0" w:color="auto"/>
              <w:right w:val="single" w:sz="8" w:space="0" w:color="auto"/>
            </w:tcBorders>
            <w:vAlign w:val="bottom"/>
          </w:tcPr>
          <w:p w14:paraId="5F0DDB99" w14:textId="77777777" w:rsidR="00992061" w:rsidRDefault="00992061">
            <w:pPr>
              <w:rPr>
                <w:sz w:val="24"/>
                <w:szCs w:val="24"/>
              </w:rPr>
            </w:pPr>
          </w:p>
        </w:tc>
        <w:tc>
          <w:tcPr>
            <w:tcW w:w="620" w:type="dxa"/>
            <w:tcBorders>
              <w:bottom w:val="single" w:sz="4" w:space="0" w:color="auto"/>
              <w:right w:val="single" w:sz="8" w:space="0" w:color="auto"/>
            </w:tcBorders>
            <w:vAlign w:val="bottom"/>
          </w:tcPr>
          <w:p w14:paraId="31AE7704" w14:textId="77777777" w:rsidR="00992061" w:rsidRDefault="00D1402E">
            <w:pPr>
              <w:jc w:val="center"/>
              <w:rPr>
                <w:sz w:val="20"/>
                <w:szCs w:val="20"/>
              </w:rPr>
            </w:pPr>
            <w:r>
              <w:rPr>
                <w:rFonts w:eastAsia="Times New Roman"/>
                <w:w w:val="89"/>
                <w:sz w:val="20"/>
                <w:szCs w:val="20"/>
              </w:rPr>
              <w:t>-</w:t>
            </w:r>
          </w:p>
        </w:tc>
        <w:tc>
          <w:tcPr>
            <w:tcW w:w="860" w:type="dxa"/>
            <w:tcBorders>
              <w:bottom w:val="single" w:sz="4" w:space="0" w:color="auto"/>
              <w:right w:val="single" w:sz="8" w:space="0" w:color="auto"/>
            </w:tcBorders>
            <w:vAlign w:val="bottom"/>
          </w:tcPr>
          <w:p w14:paraId="0D18A6A7" w14:textId="77777777" w:rsidR="00992061" w:rsidRDefault="00D1402E">
            <w:pPr>
              <w:jc w:val="center"/>
              <w:rPr>
                <w:sz w:val="20"/>
                <w:szCs w:val="20"/>
              </w:rPr>
            </w:pPr>
            <w:r>
              <w:rPr>
                <w:rFonts w:eastAsia="Times New Roman"/>
                <w:sz w:val="20"/>
                <w:szCs w:val="20"/>
              </w:rPr>
              <w:t>-</w:t>
            </w:r>
          </w:p>
        </w:tc>
        <w:tc>
          <w:tcPr>
            <w:tcW w:w="900" w:type="dxa"/>
            <w:tcBorders>
              <w:bottom w:val="single" w:sz="4" w:space="0" w:color="auto"/>
            </w:tcBorders>
            <w:vAlign w:val="bottom"/>
          </w:tcPr>
          <w:p w14:paraId="05BE121D" w14:textId="77777777" w:rsidR="00992061" w:rsidRDefault="00D1402E">
            <w:pPr>
              <w:jc w:val="center"/>
              <w:rPr>
                <w:sz w:val="20"/>
                <w:szCs w:val="20"/>
              </w:rPr>
            </w:pPr>
            <w:r>
              <w:rPr>
                <w:rFonts w:eastAsia="Times New Roman"/>
                <w:w w:val="99"/>
                <w:sz w:val="20"/>
                <w:szCs w:val="20"/>
              </w:rPr>
              <w:t>14</w:t>
            </w:r>
          </w:p>
        </w:tc>
        <w:tc>
          <w:tcPr>
            <w:tcW w:w="140" w:type="dxa"/>
            <w:tcBorders>
              <w:bottom w:val="single" w:sz="4" w:space="0" w:color="auto"/>
              <w:right w:val="single" w:sz="8" w:space="0" w:color="auto"/>
            </w:tcBorders>
            <w:vAlign w:val="bottom"/>
          </w:tcPr>
          <w:p w14:paraId="67C993E9" w14:textId="77777777" w:rsidR="00992061" w:rsidRDefault="00992061">
            <w:pPr>
              <w:rPr>
                <w:sz w:val="24"/>
                <w:szCs w:val="24"/>
              </w:rPr>
            </w:pPr>
          </w:p>
        </w:tc>
        <w:tc>
          <w:tcPr>
            <w:tcW w:w="700" w:type="dxa"/>
            <w:tcBorders>
              <w:bottom w:val="single" w:sz="4" w:space="0" w:color="auto"/>
              <w:right w:val="single" w:sz="8" w:space="0" w:color="auto"/>
            </w:tcBorders>
            <w:vAlign w:val="bottom"/>
          </w:tcPr>
          <w:p w14:paraId="3B3C4662" w14:textId="77777777" w:rsidR="00992061" w:rsidRDefault="00D1402E">
            <w:pPr>
              <w:jc w:val="center"/>
              <w:rPr>
                <w:sz w:val="20"/>
                <w:szCs w:val="20"/>
              </w:rPr>
            </w:pPr>
            <w:r>
              <w:rPr>
                <w:rFonts w:eastAsia="Times New Roman"/>
                <w:w w:val="99"/>
                <w:sz w:val="20"/>
                <w:szCs w:val="20"/>
              </w:rPr>
              <w:t>0</w:t>
            </w:r>
          </w:p>
        </w:tc>
        <w:tc>
          <w:tcPr>
            <w:tcW w:w="260" w:type="dxa"/>
            <w:tcBorders>
              <w:bottom w:val="single" w:sz="4" w:space="0" w:color="auto"/>
            </w:tcBorders>
            <w:vAlign w:val="bottom"/>
          </w:tcPr>
          <w:p w14:paraId="1264F74B" w14:textId="77777777" w:rsidR="00992061" w:rsidRDefault="00992061">
            <w:pPr>
              <w:rPr>
                <w:sz w:val="24"/>
                <w:szCs w:val="24"/>
              </w:rPr>
            </w:pPr>
          </w:p>
        </w:tc>
        <w:tc>
          <w:tcPr>
            <w:tcW w:w="600" w:type="dxa"/>
            <w:tcBorders>
              <w:bottom w:val="single" w:sz="4" w:space="0" w:color="auto"/>
              <w:right w:val="single" w:sz="8" w:space="0" w:color="auto"/>
            </w:tcBorders>
            <w:vAlign w:val="bottom"/>
          </w:tcPr>
          <w:p w14:paraId="466FBBFB" w14:textId="77777777" w:rsidR="00992061" w:rsidRDefault="00D1402E">
            <w:pPr>
              <w:ind w:right="179"/>
              <w:jc w:val="center"/>
              <w:rPr>
                <w:sz w:val="20"/>
                <w:szCs w:val="20"/>
              </w:rPr>
            </w:pPr>
            <w:r>
              <w:rPr>
                <w:rFonts w:eastAsia="Times New Roman"/>
                <w:sz w:val="20"/>
                <w:szCs w:val="20"/>
              </w:rPr>
              <w:t>0</w:t>
            </w:r>
          </w:p>
        </w:tc>
        <w:tc>
          <w:tcPr>
            <w:tcW w:w="1580" w:type="dxa"/>
            <w:tcBorders>
              <w:bottom w:val="single" w:sz="4" w:space="0" w:color="auto"/>
              <w:right w:val="single" w:sz="8" w:space="0" w:color="auto"/>
            </w:tcBorders>
            <w:vAlign w:val="bottom"/>
          </w:tcPr>
          <w:p w14:paraId="478B6DD1" w14:textId="77777777" w:rsidR="00992061" w:rsidRDefault="00D1402E">
            <w:pPr>
              <w:jc w:val="center"/>
              <w:rPr>
                <w:sz w:val="20"/>
                <w:szCs w:val="20"/>
              </w:rPr>
            </w:pPr>
            <w:r>
              <w:rPr>
                <w:rFonts w:eastAsia="Times New Roman"/>
                <w:sz w:val="20"/>
                <w:szCs w:val="20"/>
              </w:rPr>
              <w:t>Много чести</w:t>
            </w:r>
          </w:p>
        </w:tc>
        <w:tc>
          <w:tcPr>
            <w:tcW w:w="30" w:type="dxa"/>
            <w:vAlign w:val="bottom"/>
          </w:tcPr>
          <w:p w14:paraId="4B00B867" w14:textId="77777777" w:rsidR="00992061" w:rsidRDefault="00992061">
            <w:pPr>
              <w:rPr>
                <w:sz w:val="1"/>
                <w:szCs w:val="1"/>
              </w:rPr>
            </w:pPr>
          </w:p>
        </w:tc>
      </w:tr>
      <w:tr w:rsidR="00BB0FDD" w14:paraId="6D106110" w14:textId="77777777" w:rsidTr="00BB0FDD">
        <w:trPr>
          <w:trHeight w:val="125"/>
        </w:trPr>
        <w:tc>
          <w:tcPr>
            <w:tcW w:w="3040" w:type="dxa"/>
            <w:tcBorders>
              <w:top w:val="single" w:sz="4" w:space="0" w:color="auto"/>
              <w:left w:val="single" w:sz="8" w:space="0" w:color="auto"/>
              <w:right w:val="single" w:sz="8" w:space="0" w:color="auto"/>
            </w:tcBorders>
            <w:vAlign w:val="bottom"/>
          </w:tcPr>
          <w:p w14:paraId="5F8C5B5D" w14:textId="715B12D9" w:rsidR="00BB0FDD" w:rsidRDefault="00BB0FDD" w:rsidP="00BB0FDD">
            <w:pPr>
              <w:rPr>
                <w:rFonts w:eastAsia="Times New Roman"/>
                <w:sz w:val="20"/>
                <w:szCs w:val="20"/>
              </w:rPr>
            </w:pPr>
            <w:r>
              <w:rPr>
                <w:rFonts w:eastAsia="Times New Roman"/>
                <w:i/>
                <w:iCs/>
                <w:sz w:val="20"/>
                <w:szCs w:val="20"/>
              </w:rPr>
              <w:t>Общи нарушения и ефекти на</w:t>
            </w:r>
          </w:p>
        </w:tc>
        <w:tc>
          <w:tcPr>
            <w:tcW w:w="840" w:type="dxa"/>
            <w:tcBorders>
              <w:top w:val="single" w:sz="4" w:space="0" w:color="auto"/>
            </w:tcBorders>
            <w:vAlign w:val="bottom"/>
          </w:tcPr>
          <w:p w14:paraId="2699D661" w14:textId="77777777" w:rsidR="00BB0FDD" w:rsidRDefault="00BB0FDD" w:rsidP="00BB0FDD">
            <w:pPr>
              <w:jc w:val="center"/>
              <w:rPr>
                <w:rFonts w:eastAsia="Times New Roman"/>
                <w:w w:val="89"/>
                <w:sz w:val="20"/>
                <w:szCs w:val="20"/>
              </w:rPr>
            </w:pPr>
          </w:p>
        </w:tc>
        <w:tc>
          <w:tcPr>
            <w:tcW w:w="140" w:type="dxa"/>
            <w:tcBorders>
              <w:top w:val="single" w:sz="4" w:space="0" w:color="auto"/>
              <w:right w:val="single" w:sz="8" w:space="0" w:color="auto"/>
            </w:tcBorders>
            <w:vAlign w:val="bottom"/>
          </w:tcPr>
          <w:p w14:paraId="76C207AC" w14:textId="77777777" w:rsidR="00BB0FDD" w:rsidRDefault="00BB0FDD" w:rsidP="00BB0FDD">
            <w:pPr>
              <w:rPr>
                <w:sz w:val="24"/>
                <w:szCs w:val="24"/>
              </w:rPr>
            </w:pPr>
          </w:p>
        </w:tc>
        <w:tc>
          <w:tcPr>
            <w:tcW w:w="620" w:type="dxa"/>
            <w:tcBorders>
              <w:top w:val="single" w:sz="4" w:space="0" w:color="auto"/>
              <w:right w:val="single" w:sz="8" w:space="0" w:color="auto"/>
            </w:tcBorders>
            <w:vAlign w:val="bottom"/>
          </w:tcPr>
          <w:p w14:paraId="0CAD59C8" w14:textId="77777777" w:rsidR="00BB0FDD" w:rsidRDefault="00BB0FDD" w:rsidP="00BB0FDD">
            <w:pPr>
              <w:jc w:val="center"/>
              <w:rPr>
                <w:rFonts w:eastAsia="Times New Roman"/>
                <w:w w:val="89"/>
                <w:sz w:val="20"/>
                <w:szCs w:val="20"/>
              </w:rPr>
            </w:pPr>
          </w:p>
        </w:tc>
        <w:tc>
          <w:tcPr>
            <w:tcW w:w="860" w:type="dxa"/>
            <w:tcBorders>
              <w:top w:val="single" w:sz="4" w:space="0" w:color="auto"/>
              <w:right w:val="single" w:sz="8" w:space="0" w:color="auto"/>
            </w:tcBorders>
            <w:vAlign w:val="bottom"/>
          </w:tcPr>
          <w:p w14:paraId="715A10B7" w14:textId="77777777" w:rsidR="00BB0FDD" w:rsidRDefault="00BB0FDD" w:rsidP="00BB0FDD">
            <w:pPr>
              <w:jc w:val="center"/>
              <w:rPr>
                <w:rFonts w:eastAsia="Times New Roman"/>
                <w:sz w:val="20"/>
                <w:szCs w:val="20"/>
              </w:rPr>
            </w:pPr>
          </w:p>
        </w:tc>
        <w:tc>
          <w:tcPr>
            <w:tcW w:w="900" w:type="dxa"/>
            <w:tcBorders>
              <w:top w:val="single" w:sz="4" w:space="0" w:color="auto"/>
            </w:tcBorders>
            <w:vAlign w:val="bottom"/>
          </w:tcPr>
          <w:p w14:paraId="27402C20" w14:textId="77777777" w:rsidR="00BB0FDD" w:rsidRDefault="00BB0FDD" w:rsidP="00BB0FDD">
            <w:pPr>
              <w:jc w:val="center"/>
              <w:rPr>
                <w:rFonts w:eastAsia="Times New Roman"/>
                <w:w w:val="99"/>
                <w:sz w:val="20"/>
                <w:szCs w:val="20"/>
              </w:rPr>
            </w:pPr>
          </w:p>
        </w:tc>
        <w:tc>
          <w:tcPr>
            <w:tcW w:w="140" w:type="dxa"/>
            <w:tcBorders>
              <w:top w:val="single" w:sz="4" w:space="0" w:color="auto"/>
              <w:right w:val="single" w:sz="8" w:space="0" w:color="auto"/>
            </w:tcBorders>
            <w:vAlign w:val="bottom"/>
          </w:tcPr>
          <w:p w14:paraId="63E993FA" w14:textId="77777777" w:rsidR="00BB0FDD" w:rsidRDefault="00BB0FDD" w:rsidP="00BB0FDD">
            <w:pPr>
              <w:rPr>
                <w:sz w:val="24"/>
                <w:szCs w:val="24"/>
              </w:rPr>
            </w:pPr>
          </w:p>
        </w:tc>
        <w:tc>
          <w:tcPr>
            <w:tcW w:w="700" w:type="dxa"/>
            <w:tcBorders>
              <w:top w:val="single" w:sz="4" w:space="0" w:color="auto"/>
              <w:right w:val="single" w:sz="8" w:space="0" w:color="auto"/>
            </w:tcBorders>
            <w:vAlign w:val="bottom"/>
          </w:tcPr>
          <w:p w14:paraId="12DEBB2F" w14:textId="77777777" w:rsidR="00BB0FDD" w:rsidRDefault="00BB0FDD" w:rsidP="00BB0FDD">
            <w:pPr>
              <w:jc w:val="center"/>
              <w:rPr>
                <w:rFonts w:eastAsia="Times New Roman"/>
                <w:w w:val="99"/>
                <w:sz w:val="20"/>
                <w:szCs w:val="20"/>
              </w:rPr>
            </w:pPr>
          </w:p>
        </w:tc>
        <w:tc>
          <w:tcPr>
            <w:tcW w:w="260" w:type="dxa"/>
            <w:tcBorders>
              <w:top w:val="single" w:sz="4" w:space="0" w:color="auto"/>
            </w:tcBorders>
            <w:vAlign w:val="bottom"/>
          </w:tcPr>
          <w:p w14:paraId="05BFB9FE" w14:textId="77777777" w:rsidR="00BB0FDD" w:rsidRDefault="00BB0FDD" w:rsidP="00BB0FDD">
            <w:pPr>
              <w:rPr>
                <w:sz w:val="24"/>
                <w:szCs w:val="24"/>
              </w:rPr>
            </w:pPr>
          </w:p>
        </w:tc>
        <w:tc>
          <w:tcPr>
            <w:tcW w:w="600" w:type="dxa"/>
            <w:tcBorders>
              <w:top w:val="single" w:sz="4" w:space="0" w:color="auto"/>
              <w:right w:val="single" w:sz="8" w:space="0" w:color="auto"/>
            </w:tcBorders>
            <w:vAlign w:val="bottom"/>
          </w:tcPr>
          <w:p w14:paraId="274EF66E" w14:textId="77777777" w:rsidR="00BB0FDD" w:rsidRDefault="00BB0FDD" w:rsidP="00BB0FDD">
            <w:pPr>
              <w:ind w:right="179"/>
              <w:jc w:val="center"/>
              <w:rPr>
                <w:rFonts w:eastAsia="Times New Roman"/>
                <w:sz w:val="20"/>
                <w:szCs w:val="20"/>
              </w:rPr>
            </w:pPr>
          </w:p>
        </w:tc>
        <w:tc>
          <w:tcPr>
            <w:tcW w:w="1580" w:type="dxa"/>
            <w:tcBorders>
              <w:top w:val="single" w:sz="4" w:space="0" w:color="auto"/>
              <w:right w:val="single" w:sz="8" w:space="0" w:color="auto"/>
            </w:tcBorders>
            <w:vAlign w:val="bottom"/>
          </w:tcPr>
          <w:p w14:paraId="1B50936F" w14:textId="77777777" w:rsidR="00BB0FDD" w:rsidRDefault="00BB0FDD" w:rsidP="00BB0FDD">
            <w:pPr>
              <w:jc w:val="center"/>
              <w:rPr>
                <w:rFonts w:eastAsia="Times New Roman"/>
                <w:sz w:val="20"/>
                <w:szCs w:val="20"/>
              </w:rPr>
            </w:pPr>
          </w:p>
        </w:tc>
        <w:tc>
          <w:tcPr>
            <w:tcW w:w="30" w:type="dxa"/>
            <w:vAlign w:val="bottom"/>
          </w:tcPr>
          <w:p w14:paraId="7D34C903" w14:textId="77777777" w:rsidR="00BB0FDD" w:rsidRDefault="00BB0FDD" w:rsidP="00BB0FDD">
            <w:pPr>
              <w:rPr>
                <w:sz w:val="1"/>
                <w:szCs w:val="1"/>
              </w:rPr>
            </w:pPr>
          </w:p>
        </w:tc>
      </w:tr>
      <w:tr w:rsidR="00BB0FDD" w14:paraId="35BE3832" w14:textId="77777777" w:rsidTr="00BB0FDD">
        <w:trPr>
          <w:trHeight w:val="125"/>
        </w:trPr>
        <w:tc>
          <w:tcPr>
            <w:tcW w:w="3040" w:type="dxa"/>
            <w:tcBorders>
              <w:left w:val="single" w:sz="8" w:space="0" w:color="auto"/>
              <w:right w:val="single" w:sz="8" w:space="0" w:color="auto"/>
            </w:tcBorders>
            <w:vAlign w:val="bottom"/>
          </w:tcPr>
          <w:p w14:paraId="28688F16" w14:textId="4DEF12DB" w:rsidR="00BB0FDD" w:rsidRDefault="00BB0FDD" w:rsidP="00BB0FDD">
            <w:pPr>
              <w:rPr>
                <w:rFonts w:eastAsia="Times New Roman"/>
                <w:sz w:val="20"/>
                <w:szCs w:val="20"/>
              </w:rPr>
            </w:pPr>
            <w:r>
              <w:rPr>
                <w:rFonts w:eastAsia="Times New Roman"/>
                <w:i/>
                <w:iCs/>
                <w:sz w:val="20"/>
                <w:szCs w:val="20"/>
              </w:rPr>
              <w:t>мястото на приложение</w:t>
            </w:r>
          </w:p>
        </w:tc>
        <w:tc>
          <w:tcPr>
            <w:tcW w:w="840" w:type="dxa"/>
            <w:vAlign w:val="bottom"/>
          </w:tcPr>
          <w:p w14:paraId="4E46049A" w14:textId="77777777" w:rsidR="00BB0FDD" w:rsidRDefault="00BB0FDD" w:rsidP="00BB0FDD">
            <w:pPr>
              <w:jc w:val="center"/>
              <w:rPr>
                <w:rFonts w:eastAsia="Times New Roman"/>
                <w:w w:val="89"/>
                <w:sz w:val="20"/>
                <w:szCs w:val="20"/>
              </w:rPr>
            </w:pPr>
          </w:p>
        </w:tc>
        <w:tc>
          <w:tcPr>
            <w:tcW w:w="140" w:type="dxa"/>
            <w:tcBorders>
              <w:right w:val="single" w:sz="8" w:space="0" w:color="auto"/>
            </w:tcBorders>
            <w:vAlign w:val="bottom"/>
          </w:tcPr>
          <w:p w14:paraId="6F2B57F7" w14:textId="77777777" w:rsidR="00BB0FDD" w:rsidRDefault="00BB0FDD" w:rsidP="00BB0FDD">
            <w:pPr>
              <w:rPr>
                <w:sz w:val="24"/>
                <w:szCs w:val="24"/>
              </w:rPr>
            </w:pPr>
          </w:p>
        </w:tc>
        <w:tc>
          <w:tcPr>
            <w:tcW w:w="620" w:type="dxa"/>
            <w:tcBorders>
              <w:right w:val="single" w:sz="8" w:space="0" w:color="auto"/>
            </w:tcBorders>
            <w:vAlign w:val="bottom"/>
          </w:tcPr>
          <w:p w14:paraId="6CDA9EA1" w14:textId="77777777" w:rsidR="00BB0FDD" w:rsidRDefault="00BB0FDD" w:rsidP="00BB0FDD">
            <w:pPr>
              <w:jc w:val="center"/>
              <w:rPr>
                <w:rFonts w:eastAsia="Times New Roman"/>
                <w:w w:val="89"/>
                <w:sz w:val="20"/>
                <w:szCs w:val="20"/>
              </w:rPr>
            </w:pPr>
          </w:p>
        </w:tc>
        <w:tc>
          <w:tcPr>
            <w:tcW w:w="860" w:type="dxa"/>
            <w:tcBorders>
              <w:right w:val="single" w:sz="8" w:space="0" w:color="auto"/>
            </w:tcBorders>
            <w:vAlign w:val="bottom"/>
          </w:tcPr>
          <w:p w14:paraId="1A048917" w14:textId="77777777" w:rsidR="00BB0FDD" w:rsidRDefault="00BB0FDD" w:rsidP="00BB0FDD">
            <w:pPr>
              <w:jc w:val="center"/>
              <w:rPr>
                <w:rFonts w:eastAsia="Times New Roman"/>
                <w:sz w:val="20"/>
                <w:szCs w:val="20"/>
              </w:rPr>
            </w:pPr>
          </w:p>
        </w:tc>
        <w:tc>
          <w:tcPr>
            <w:tcW w:w="900" w:type="dxa"/>
            <w:vAlign w:val="bottom"/>
          </w:tcPr>
          <w:p w14:paraId="3B0C01E9" w14:textId="77777777" w:rsidR="00BB0FDD" w:rsidRDefault="00BB0FDD" w:rsidP="00BB0FDD">
            <w:pPr>
              <w:jc w:val="center"/>
              <w:rPr>
                <w:rFonts w:eastAsia="Times New Roman"/>
                <w:w w:val="99"/>
                <w:sz w:val="20"/>
                <w:szCs w:val="20"/>
              </w:rPr>
            </w:pPr>
          </w:p>
        </w:tc>
        <w:tc>
          <w:tcPr>
            <w:tcW w:w="140" w:type="dxa"/>
            <w:tcBorders>
              <w:right w:val="single" w:sz="8" w:space="0" w:color="auto"/>
            </w:tcBorders>
            <w:vAlign w:val="bottom"/>
          </w:tcPr>
          <w:p w14:paraId="56B21738" w14:textId="77777777" w:rsidR="00BB0FDD" w:rsidRDefault="00BB0FDD" w:rsidP="00BB0FDD">
            <w:pPr>
              <w:rPr>
                <w:sz w:val="24"/>
                <w:szCs w:val="24"/>
              </w:rPr>
            </w:pPr>
          </w:p>
        </w:tc>
        <w:tc>
          <w:tcPr>
            <w:tcW w:w="700" w:type="dxa"/>
            <w:tcBorders>
              <w:right w:val="single" w:sz="8" w:space="0" w:color="auto"/>
            </w:tcBorders>
            <w:vAlign w:val="bottom"/>
          </w:tcPr>
          <w:p w14:paraId="09319571" w14:textId="77777777" w:rsidR="00BB0FDD" w:rsidRDefault="00BB0FDD" w:rsidP="00BB0FDD">
            <w:pPr>
              <w:jc w:val="center"/>
              <w:rPr>
                <w:rFonts w:eastAsia="Times New Roman"/>
                <w:w w:val="99"/>
                <w:sz w:val="20"/>
                <w:szCs w:val="20"/>
              </w:rPr>
            </w:pPr>
          </w:p>
        </w:tc>
        <w:tc>
          <w:tcPr>
            <w:tcW w:w="260" w:type="dxa"/>
            <w:vAlign w:val="bottom"/>
          </w:tcPr>
          <w:p w14:paraId="4E3EB836" w14:textId="77777777" w:rsidR="00BB0FDD" w:rsidRDefault="00BB0FDD" w:rsidP="00BB0FDD">
            <w:pPr>
              <w:rPr>
                <w:sz w:val="24"/>
                <w:szCs w:val="24"/>
              </w:rPr>
            </w:pPr>
          </w:p>
        </w:tc>
        <w:tc>
          <w:tcPr>
            <w:tcW w:w="600" w:type="dxa"/>
            <w:tcBorders>
              <w:right w:val="single" w:sz="8" w:space="0" w:color="auto"/>
            </w:tcBorders>
            <w:vAlign w:val="bottom"/>
          </w:tcPr>
          <w:p w14:paraId="572DD73E" w14:textId="77777777" w:rsidR="00BB0FDD" w:rsidRDefault="00BB0FDD" w:rsidP="00BB0FDD">
            <w:pPr>
              <w:ind w:right="179"/>
              <w:jc w:val="center"/>
              <w:rPr>
                <w:rFonts w:eastAsia="Times New Roman"/>
                <w:sz w:val="20"/>
                <w:szCs w:val="20"/>
              </w:rPr>
            </w:pPr>
          </w:p>
        </w:tc>
        <w:tc>
          <w:tcPr>
            <w:tcW w:w="1580" w:type="dxa"/>
            <w:tcBorders>
              <w:right w:val="single" w:sz="8" w:space="0" w:color="auto"/>
            </w:tcBorders>
            <w:vAlign w:val="bottom"/>
          </w:tcPr>
          <w:p w14:paraId="14A74762" w14:textId="77777777" w:rsidR="00BB0FDD" w:rsidRDefault="00BB0FDD" w:rsidP="00BB0FDD">
            <w:pPr>
              <w:jc w:val="center"/>
              <w:rPr>
                <w:rFonts w:eastAsia="Times New Roman"/>
                <w:sz w:val="20"/>
                <w:szCs w:val="20"/>
              </w:rPr>
            </w:pPr>
          </w:p>
        </w:tc>
        <w:tc>
          <w:tcPr>
            <w:tcW w:w="30" w:type="dxa"/>
            <w:vAlign w:val="bottom"/>
          </w:tcPr>
          <w:p w14:paraId="706A369E" w14:textId="77777777" w:rsidR="00BB0FDD" w:rsidRDefault="00BB0FDD" w:rsidP="00BB0FDD">
            <w:pPr>
              <w:rPr>
                <w:sz w:val="1"/>
                <w:szCs w:val="1"/>
              </w:rPr>
            </w:pPr>
          </w:p>
        </w:tc>
      </w:tr>
      <w:tr w:rsidR="00BB0FDD" w14:paraId="3868D4D0" w14:textId="77777777" w:rsidTr="00BB0FDD">
        <w:trPr>
          <w:trHeight w:val="125"/>
        </w:trPr>
        <w:tc>
          <w:tcPr>
            <w:tcW w:w="3040" w:type="dxa"/>
            <w:tcBorders>
              <w:left w:val="single" w:sz="8" w:space="0" w:color="auto"/>
              <w:right w:val="single" w:sz="8" w:space="0" w:color="auto"/>
            </w:tcBorders>
            <w:vAlign w:val="bottom"/>
          </w:tcPr>
          <w:p w14:paraId="5D7EA61C" w14:textId="67B3377E" w:rsidR="00BB0FDD" w:rsidRDefault="00BB0FDD" w:rsidP="00BB0FDD">
            <w:pPr>
              <w:ind w:left="280"/>
              <w:rPr>
                <w:rFonts w:eastAsia="Times New Roman"/>
                <w:sz w:val="20"/>
                <w:szCs w:val="20"/>
              </w:rPr>
            </w:pPr>
            <w:r>
              <w:rPr>
                <w:rFonts w:eastAsia="Times New Roman"/>
                <w:sz w:val="20"/>
                <w:szCs w:val="20"/>
              </w:rPr>
              <w:t>Умора</w:t>
            </w:r>
          </w:p>
        </w:tc>
        <w:tc>
          <w:tcPr>
            <w:tcW w:w="840" w:type="dxa"/>
            <w:vAlign w:val="bottom"/>
          </w:tcPr>
          <w:p w14:paraId="5EB7791B" w14:textId="2535133F" w:rsidR="00BB0FDD" w:rsidRDefault="00BB0FDD" w:rsidP="00BB0FDD">
            <w:pPr>
              <w:jc w:val="center"/>
              <w:rPr>
                <w:rFonts w:eastAsia="Times New Roman"/>
                <w:w w:val="89"/>
                <w:sz w:val="20"/>
                <w:szCs w:val="20"/>
              </w:rPr>
            </w:pPr>
            <w:r>
              <w:rPr>
                <w:rFonts w:eastAsia="Times New Roman"/>
                <w:w w:val="99"/>
                <w:sz w:val="20"/>
                <w:szCs w:val="20"/>
              </w:rPr>
              <w:t>52</w:t>
            </w:r>
          </w:p>
        </w:tc>
        <w:tc>
          <w:tcPr>
            <w:tcW w:w="140" w:type="dxa"/>
            <w:tcBorders>
              <w:right w:val="single" w:sz="8" w:space="0" w:color="auto"/>
            </w:tcBorders>
            <w:vAlign w:val="bottom"/>
          </w:tcPr>
          <w:p w14:paraId="3FADE117" w14:textId="77777777" w:rsidR="00BB0FDD" w:rsidRDefault="00BB0FDD" w:rsidP="00BB0FDD">
            <w:pPr>
              <w:rPr>
                <w:sz w:val="24"/>
                <w:szCs w:val="24"/>
              </w:rPr>
            </w:pPr>
          </w:p>
        </w:tc>
        <w:tc>
          <w:tcPr>
            <w:tcW w:w="620" w:type="dxa"/>
            <w:tcBorders>
              <w:right w:val="single" w:sz="8" w:space="0" w:color="auto"/>
            </w:tcBorders>
            <w:vAlign w:val="bottom"/>
          </w:tcPr>
          <w:p w14:paraId="0CA118DC" w14:textId="689E949A" w:rsidR="00BB0FDD" w:rsidRDefault="00BB0FDD" w:rsidP="00BB0FDD">
            <w:pPr>
              <w:jc w:val="center"/>
              <w:rPr>
                <w:rFonts w:eastAsia="Times New Roman"/>
                <w:w w:val="89"/>
                <w:sz w:val="20"/>
                <w:szCs w:val="20"/>
              </w:rPr>
            </w:pPr>
            <w:r>
              <w:rPr>
                <w:rFonts w:eastAsia="Times New Roman"/>
                <w:w w:val="99"/>
                <w:sz w:val="20"/>
                <w:szCs w:val="20"/>
              </w:rPr>
              <w:t>14</w:t>
            </w:r>
          </w:p>
        </w:tc>
        <w:tc>
          <w:tcPr>
            <w:tcW w:w="860" w:type="dxa"/>
            <w:tcBorders>
              <w:right w:val="single" w:sz="8" w:space="0" w:color="auto"/>
            </w:tcBorders>
            <w:vAlign w:val="bottom"/>
          </w:tcPr>
          <w:p w14:paraId="1B4359CF" w14:textId="26B7C75E" w:rsidR="00BB0FDD" w:rsidRDefault="00BB0FDD" w:rsidP="00BB0FDD">
            <w:pPr>
              <w:jc w:val="center"/>
              <w:rPr>
                <w:rFonts w:eastAsia="Times New Roman"/>
                <w:sz w:val="20"/>
                <w:szCs w:val="20"/>
              </w:rPr>
            </w:pPr>
            <w:r>
              <w:rPr>
                <w:rFonts w:eastAsia="Times New Roman"/>
                <w:w w:val="99"/>
                <w:sz w:val="20"/>
                <w:szCs w:val="20"/>
              </w:rPr>
              <w:t>4</w:t>
            </w:r>
          </w:p>
        </w:tc>
        <w:tc>
          <w:tcPr>
            <w:tcW w:w="900" w:type="dxa"/>
            <w:vAlign w:val="bottom"/>
          </w:tcPr>
          <w:p w14:paraId="01D92249" w14:textId="73681871" w:rsidR="00BB0FDD" w:rsidRDefault="00BB0FDD" w:rsidP="00BB0FDD">
            <w:pPr>
              <w:jc w:val="center"/>
              <w:rPr>
                <w:rFonts w:eastAsia="Times New Roman"/>
                <w:w w:val="99"/>
                <w:sz w:val="20"/>
                <w:szCs w:val="20"/>
              </w:rPr>
            </w:pPr>
            <w:r>
              <w:rPr>
                <w:rFonts w:eastAsia="Times New Roman"/>
                <w:w w:val="99"/>
                <w:sz w:val="20"/>
                <w:szCs w:val="20"/>
              </w:rPr>
              <w:t>73</w:t>
            </w:r>
          </w:p>
        </w:tc>
        <w:tc>
          <w:tcPr>
            <w:tcW w:w="140" w:type="dxa"/>
            <w:tcBorders>
              <w:right w:val="single" w:sz="8" w:space="0" w:color="auto"/>
            </w:tcBorders>
            <w:vAlign w:val="bottom"/>
          </w:tcPr>
          <w:p w14:paraId="0204F3F6" w14:textId="46C1D0BF" w:rsidR="00BB0FDD" w:rsidRDefault="00BB0FDD" w:rsidP="00BB0FDD">
            <w:pPr>
              <w:rPr>
                <w:sz w:val="24"/>
                <w:szCs w:val="24"/>
              </w:rPr>
            </w:pPr>
          </w:p>
        </w:tc>
        <w:tc>
          <w:tcPr>
            <w:tcW w:w="700" w:type="dxa"/>
            <w:tcBorders>
              <w:right w:val="single" w:sz="8" w:space="0" w:color="auto"/>
            </w:tcBorders>
            <w:vAlign w:val="bottom"/>
          </w:tcPr>
          <w:p w14:paraId="130FC2A5" w14:textId="0059B9FD" w:rsidR="00BB0FDD" w:rsidRDefault="00BB0FDD" w:rsidP="00BB0FDD">
            <w:pPr>
              <w:jc w:val="center"/>
              <w:rPr>
                <w:rFonts w:eastAsia="Times New Roman"/>
                <w:w w:val="99"/>
                <w:sz w:val="20"/>
                <w:szCs w:val="20"/>
              </w:rPr>
            </w:pPr>
            <w:r>
              <w:rPr>
                <w:rFonts w:eastAsia="Times New Roman"/>
                <w:w w:val="99"/>
                <w:sz w:val="20"/>
                <w:szCs w:val="20"/>
              </w:rPr>
              <w:t>14</w:t>
            </w:r>
          </w:p>
        </w:tc>
        <w:tc>
          <w:tcPr>
            <w:tcW w:w="260" w:type="dxa"/>
            <w:vAlign w:val="bottom"/>
          </w:tcPr>
          <w:p w14:paraId="5EAAE6BD" w14:textId="06C693E0" w:rsidR="00BB0FDD" w:rsidRDefault="00BB0FDD" w:rsidP="00BB0FDD">
            <w:pPr>
              <w:rPr>
                <w:sz w:val="24"/>
                <w:szCs w:val="24"/>
              </w:rPr>
            </w:pPr>
          </w:p>
        </w:tc>
        <w:tc>
          <w:tcPr>
            <w:tcW w:w="600" w:type="dxa"/>
            <w:tcBorders>
              <w:right w:val="single" w:sz="8" w:space="0" w:color="auto"/>
            </w:tcBorders>
            <w:vAlign w:val="bottom"/>
          </w:tcPr>
          <w:p w14:paraId="5D62B8B8" w14:textId="142282A4" w:rsidR="00BB0FDD" w:rsidRDefault="00BB0FDD" w:rsidP="00BB0FDD">
            <w:pPr>
              <w:ind w:right="179"/>
              <w:jc w:val="center"/>
              <w:rPr>
                <w:rFonts w:eastAsia="Times New Roman"/>
                <w:sz w:val="20"/>
                <w:szCs w:val="20"/>
              </w:rPr>
            </w:pPr>
            <w:r>
              <w:rPr>
                <w:rFonts w:eastAsia="Times New Roman"/>
                <w:sz w:val="20"/>
                <w:szCs w:val="20"/>
              </w:rPr>
              <w:t>2</w:t>
            </w:r>
          </w:p>
        </w:tc>
        <w:tc>
          <w:tcPr>
            <w:tcW w:w="1580" w:type="dxa"/>
            <w:tcBorders>
              <w:right w:val="single" w:sz="8" w:space="0" w:color="auto"/>
            </w:tcBorders>
            <w:vAlign w:val="bottom"/>
          </w:tcPr>
          <w:p w14:paraId="2F554D3A" w14:textId="2F5B01C7" w:rsidR="00BB0FDD" w:rsidRDefault="00BB0FDD" w:rsidP="00BB0FDD">
            <w:pPr>
              <w:jc w:val="center"/>
              <w:rPr>
                <w:rFonts w:eastAsia="Times New Roman"/>
                <w:sz w:val="20"/>
                <w:szCs w:val="20"/>
              </w:rPr>
            </w:pPr>
            <w:r>
              <w:rPr>
                <w:rFonts w:eastAsia="Times New Roman"/>
                <w:w w:val="99"/>
                <w:sz w:val="20"/>
                <w:szCs w:val="20"/>
              </w:rPr>
              <w:t>Много чести</w:t>
            </w:r>
          </w:p>
        </w:tc>
        <w:tc>
          <w:tcPr>
            <w:tcW w:w="30" w:type="dxa"/>
            <w:vAlign w:val="bottom"/>
          </w:tcPr>
          <w:p w14:paraId="76807080" w14:textId="77777777" w:rsidR="00BB0FDD" w:rsidRDefault="00BB0FDD" w:rsidP="00BB0FDD">
            <w:pPr>
              <w:rPr>
                <w:sz w:val="1"/>
                <w:szCs w:val="1"/>
              </w:rPr>
            </w:pPr>
          </w:p>
        </w:tc>
      </w:tr>
      <w:tr w:rsidR="00BB0FDD" w14:paraId="2E67F39D" w14:textId="77777777" w:rsidTr="00BB0FDD">
        <w:trPr>
          <w:trHeight w:val="125"/>
        </w:trPr>
        <w:tc>
          <w:tcPr>
            <w:tcW w:w="3040" w:type="dxa"/>
            <w:tcBorders>
              <w:left w:val="single" w:sz="8" w:space="0" w:color="auto"/>
              <w:right w:val="single" w:sz="8" w:space="0" w:color="auto"/>
            </w:tcBorders>
            <w:vAlign w:val="bottom"/>
          </w:tcPr>
          <w:p w14:paraId="28B90236" w14:textId="6164D81B" w:rsidR="00BB0FDD" w:rsidRDefault="00BB0FDD" w:rsidP="00BB0FDD">
            <w:pPr>
              <w:ind w:left="280"/>
              <w:rPr>
                <w:rFonts w:eastAsia="Times New Roman"/>
                <w:sz w:val="20"/>
                <w:szCs w:val="20"/>
              </w:rPr>
            </w:pPr>
            <w:r>
              <w:rPr>
                <w:rFonts w:eastAsia="Times New Roman"/>
                <w:sz w:val="20"/>
                <w:szCs w:val="20"/>
              </w:rPr>
              <w:t>Пирексия</w:t>
            </w:r>
          </w:p>
        </w:tc>
        <w:tc>
          <w:tcPr>
            <w:tcW w:w="840" w:type="dxa"/>
            <w:vAlign w:val="bottom"/>
          </w:tcPr>
          <w:p w14:paraId="5C969281" w14:textId="00301B8D" w:rsidR="00BB0FDD" w:rsidRDefault="00BB0FDD" w:rsidP="00BB0FDD">
            <w:pPr>
              <w:jc w:val="center"/>
              <w:rPr>
                <w:rFonts w:eastAsia="Times New Roman"/>
                <w:w w:val="89"/>
                <w:sz w:val="20"/>
                <w:szCs w:val="20"/>
              </w:rPr>
            </w:pPr>
            <w:r>
              <w:rPr>
                <w:rFonts w:eastAsia="Times New Roman"/>
                <w:w w:val="89"/>
                <w:sz w:val="20"/>
                <w:szCs w:val="20"/>
              </w:rPr>
              <w:t>-</w:t>
            </w:r>
          </w:p>
        </w:tc>
        <w:tc>
          <w:tcPr>
            <w:tcW w:w="140" w:type="dxa"/>
            <w:tcBorders>
              <w:right w:val="single" w:sz="8" w:space="0" w:color="auto"/>
            </w:tcBorders>
            <w:vAlign w:val="bottom"/>
          </w:tcPr>
          <w:p w14:paraId="177F443E" w14:textId="77777777" w:rsidR="00BB0FDD" w:rsidRDefault="00BB0FDD" w:rsidP="00BB0FDD">
            <w:pPr>
              <w:rPr>
                <w:sz w:val="24"/>
                <w:szCs w:val="24"/>
              </w:rPr>
            </w:pPr>
          </w:p>
        </w:tc>
        <w:tc>
          <w:tcPr>
            <w:tcW w:w="620" w:type="dxa"/>
            <w:tcBorders>
              <w:right w:val="single" w:sz="8" w:space="0" w:color="auto"/>
            </w:tcBorders>
            <w:vAlign w:val="bottom"/>
          </w:tcPr>
          <w:p w14:paraId="0869CF26" w14:textId="0F697D04" w:rsidR="00BB0FDD" w:rsidRDefault="00BB0FDD" w:rsidP="00BB0FDD">
            <w:pPr>
              <w:jc w:val="center"/>
              <w:rPr>
                <w:rFonts w:eastAsia="Times New Roman"/>
                <w:w w:val="89"/>
                <w:sz w:val="20"/>
                <w:szCs w:val="20"/>
              </w:rPr>
            </w:pPr>
            <w:r>
              <w:rPr>
                <w:rFonts w:eastAsia="Times New Roman"/>
                <w:w w:val="89"/>
                <w:sz w:val="20"/>
                <w:szCs w:val="20"/>
              </w:rPr>
              <w:t>-</w:t>
            </w:r>
          </w:p>
        </w:tc>
        <w:tc>
          <w:tcPr>
            <w:tcW w:w="860" w:type="dxa"/>
            <w:tcBorders>
              <w:right w:val="single" w:sz="8" w:space="0" w:color="auto"/>
            </w:tcBorders>
            <w:vAlign w:val="bottom"/>
          </w:tcPr>
          <w:p w14:paraId="5E3CA95D" w14:textId="5CEDB6E7" w:rsidR="00BB0FDD" w:rsidRDefault="00BB0FDD" w:rsidP="00BB0FDD">
            <w:pPr>
              <w:jc w:val="center"/>
              <w:rPr>
                <w:rFonts w:eastAsia="Times New Roman"/>
                <w:sz w:val="20"/>
                <w:szCs w:val="20"/>
              </w:rPr>
            </w:pPr>
            <w:r>
              <w:rPr>
                <w:rFonts w:eastAsia="Times New Roman"/>
                <w:sz w:val="20"/>
                <w:szCs w:val="20"/>
              </w:rPr>
              <w:t>-</w:t>
            </w:r>
          </w:p>
        </w:tc>
        <w:tc>
          <w:tcPr>
            <w:tcW w:w="900" w:type="dxa"/>
            <w:vAlign w:val="bottom"/>
          </w:tcPr>
          <w:p w14:paraId="583A3657" w14:textId="268E9B74" w:rsidR="00BB0FDD" w:rsidRDefault="00BB0FDD" w:rsidP="00BB0FDD">
            <w:pPr>
              <w:jc w:val="center"/>
              <w:rPr>
                <w:rFonts w:eastAsia="Times New Roman"/>
                <w:w w:val="99"/>
                <w:sz w:val="20"/>
                <w:szCs w:val="20"/>
              </w:rPr>
            </w:pPr>
            <w:r>
              <w:rPr>
                <w:rFonts w:eastAsia="Times New Roman"/>
                <w:w w:val="99"/>
                <w:sz w:val="20"/>
                <w:szCs w:val="20"/>
              </w:rPr>
              <w:t>36</w:t>
            </w:r>
          </w:p>
        </w:tc>
        <w:tc>
          <w:tcPr>
            <w:tcW w:w="140" w:type="dxa"/>
            <w:tcBorders>
              <w:right w:val="single" w:sz="8" w:space="0" w:color="auto"/>
            </w:tcBorders>
            <w:vAlign w:val="bottom"/>
          </w:tcPr>
          <w:p w14:paraId="4C43947A" w14:textId="250EF9EB" w:rsidR="00BB0FDD" w:rsidRDefault="00BB0FDD" w:rsidP="00BB0FDD">
            <w:pPr>
              <w:rPr>
                <w:sz w:val="24"/>
                <w:szCs w:val="24"/>
              </w:rPr>
            </w:pPr>
          </w:p>
        </w:tc>
        <w:tc>
          <w:tcPr>
            <w:tcW w:w="700" w:type="dxa"/>
            <w:tcBorders>
              <w:right w:val="single" w:sz="8" w:space="0" w:color="auto"/>
            </w:tcBorders>
            <w:vAlign w:val="bottom"/>
          </w:tcPr>
          <w:p w14:paraId="57A3E33C" w14:textId="09CE5D69" w:rsidR="00BB0FDD" w:rsidRDefault="00BB0FDD" w:rsidP="00BB0FDD">
            <w:pPr>
              <w:jc w:val="center"/>
              <w:rPr>
                <w:rFonts w:eastAsia="Times New Roman"/>
                <w:w w:val="99"/>
                <w:sz w:val="20"/>
                <w:szCs w:val="20"/>
              </w:rPr>
            </w:pPr>
            <w:r>
              <w:rPr>
                <w:rFonts w:eastAsia="Times New Roman"/>
                <w:w w:val="99"/>
                <w:sz w:val="20"/>
                <w:szCs w:val="20"/>
              </w:rPr>
              <w:t>3</w:t>
            </w:r>
          </w:p>
        </w:tc>
        <w:tc>
          <w:tcPr>
            <w:tcW w:w="260" w:type="dxa"/>
            <w:vAlign w:val="bottom"/>
          </w:tcPr>
          <w:p w14:paraId="4551699C" w14:textId="1D1517EB" w:rsidR="00BB0FDD" w:rsidRDefault="00BB0FDD" w:rsidP="00BB0FDD">
            <w:pPr>
              <w:rPr>
                <w:sz w:val="24"/>
                <w:szCs w:val="24"/>
              </w:rPr>
            </w:pPr>
          </w:p>
        </w:tc>
        <w:tc>
          <w:tcPr>
            <w:tcW w:w="600" w:type="dxa"/>
            <w:tcBorders>
              <w:right w:val="single" w:sz="8" w:space="0" w:color="auto"/>
            </w:tcBorders>
            <w:vAlign w:val="bottom"/>
          </w:tcPr>
          <w:p w14:paraId="5F4D6654" w14:textId="4871F988" w:rsidR="00BB0FDD" w:rsidRDefault="00BB0FDD" w:rsidP="00BB0FDD">
            <w:pPr>
              <w:ind w:right="179"/>
              <w:jc w:val="center"/>
              <w:rPr>
                <w:rFonts w:eastAsia="Times New Roman"/>
                <w:sz w:val="20"/>
                <w:szCs w:val="20"/>
              </w:rPr>
            </w:pPr>
            <w:r>
              <w:rPr>
                <w:rFonts w:eastAsia="Times New Roman"/>
                <w:sz w:val="20"/>
                <w:szCs w:val="20"/>
              </w:rPr>
              <w:t>0</w:t>
            </w:r>
          </w:p>
        </w:tc>
        <w:tc>
          <w:tcPr>
            <w:tcW w:w="1580" w:type="dxa"/>
            <w:tcBorders>
              <w:right w:val="single" w:sz="8" w:space="0" w:color="auto"/>
            </w:tcBorders>
            <w:vAlign w:val="bottom"/>
          </w:tcPr>
          <w:p w14:paraId="375B8A7E" w14:textId="51600589" w:rsidR="00BB0FDD" w:rsidRDefault="00BB0FDD" w:rsidP="00BB0FDD">
            <w:pPr>
              <w:jc w:val="center"/>
              <w:rPr>
                <w:rFonts w:eastAsia="Times New Roman"/>
                <w:sz w:val="20"/>
                <w:szCs w:val="20"/>
              </w:rPr>
            </w:pPr>
            <w:r>
              <w:rPr>
                <w:rFonts w:eastAsia="Times New Roman"/>
                <w:sz w:val="20"/>
                <w:szCs w:val="20"/>
              </w:rPr>
              <w:t>Много чести</w:t>
            </w:r>
          </w:p>
        </w:tc>
        <w:tc>
          <w:tcPr>
            <w:tcW w:w="30" w:type="dxa"/>
            <w:vAlign w:val="bottom"/>
          </w:tcPr>
          <w:p w14:paraId="4DDCE5C7" w14:textId="77777777" w:rsidR="00BB0FDD" w:rsidRDefault="00BB0FDD" w:rsidP="00BB0FDD">
            <w:pPr>
              <w:rPr>
                <w:sz w:val="1"/>
                <w:szCs w:val="1"/>
              </w:rPr>
            </w:pPr>
          </w:p>
        </w:tc>
      </w:tr>
      <w:tr w:rsidR="00BB0FDD" w14:paraId="6DC7F10E" w14:textId="77777777" w:rsidTr="00BB0FDD">
        <w:trPr>
          <w:trHeight w:val="125"/>
        </w:trPr>
        <w:tc>
          <w:tcPr>
            <w:tcW w:w="3040" w:type="dxa"/>
            <w:tcBorders>
              <w:left w:val="single" w:sz="8" w:space="0" w:color="auto"/>
              <w:right w:val="single" w:sz="8" w:space="0" w:color="auto"/>
            </w:tcBorders>
            <w:vAlign w:val="bottom"/>
          </w:tcPr>
          <w:p w14:paraId="64F98C39" w14:textId="74C35CE5" w:rsidR="00BB0FDD" w:rsidRDefault="00BB0FDD" w:rsidP="00BB0FDD">
            <w:pPr>
              <w:ind w:left="280"/>
              <w:rPr>
                <w:rFonts w:eastAsia="Times New Roman"/>
                <w:sz w:val="20"/>
                <w:szCs w:val="20"/>
              </w:rPr>
            </w:pPr>
            <w:r>
              <w:rPr>
                <w:rFonts w:eastAsia="Times New Roman"/>
                <w:sz w:val="20"/>
                <w:szCs w:val="20"/>
              </w:rPr>
              <w:t>Ригор</w:t>
            </w:r>
          </w:p>
        </w:tc>
        <w:tc>
          <w:tcPr>
            <w:tcW w:w="840" w:type="dxa"/>
            <w:vAlign w:val="bottom"/>
          </w:tcPr>
          <w:p w14:paraId="54855DC4" w14:textId="509DA486" w:rsidR="00BB0FDD" w:rsidRDefault="00BB0FDD" w:rsidP="00BB0FDD">
            <w:pPr>
              <w:jc w:val="center"/>
              <w:rPr>
                <w:rFonts w:eastAsia="Times New Roman"/>
                <w:w w:val="89"/>
                <w:sz w:val="20"/>
                <w:szCs w:val="20"/>
              </w:rPr>
            </w:pPr>
            <w:r>
              <w:rPr>
                <w:rFonts w:eastAsia="Times New Roman"/>
                <w:w w:val="89"/>
                <w:sz w:val="20"/>
                <w:szCs w:val="20"/>
              </w:rPr>
              <w:t>-</w:t>
            </w:r>
          </w:p>
        </w:tc>
        <w:tc>
          <w:tcPr>
            <w:tcW w:w="140" w:type="dxa"/>
            <w:tcBorders>
              <w:right w:val="single" w:sz="8" w:space="0" w:color="auto"/>
            </w:tcBorders>
            <w:vAlign w:val="bottom"/>
          </w:tcPr>
          <w:p w14:paraId="1B6B1A19" w14:textId="77777777" w:rsidR="00BB0FDD" w:rsidRDefault="00BB0FDD" w:rsidP="00BB0FDD">
            <w:pPr>
              <w:rPr>
                <w:sz w:val="24"/>
                <w:szCs w:val="24"/>
              </w:rPr>
            </w:pPr>
          </w:p>
        </w:tc>
        <w:tc>
          <w:tcPr>
            <w:tcW w:w="620" w:type="dxa"/>
            <w:tcBorders>
              <w:right w:val="single" w:sz="8" w:space="0" w:color="auto"/>
            </w:tcBorders>
            <w:vAlign w:val="bottom"/>
          </w:tcPr>
          <w:p w14:paraId="76D4E827" w14:textId="7D8387CC" w:rsidR="00BB0FDD" w:rsidRDefault="00BB0FDD" w:rsidP="00BB0FDD">
            <w:pPr>
              <w:jc w:val="center"/>
              <w:rPr>
                <w:rFonts w:eastAsia="Times New Roman"/>
                <w:w w:val="89"/>
                <w:sz w:val="20"/>
                <w:szCs w:val="20"/>
              </w:rPr>
            </w:pPr>
            <w:r>
              <w:rPr>
                <w:rFonts w:eastAsia="Times New Roman"/>
                <w:w w:val="89"/>
                <w:sz w:val="20"/>
                <w:szCs w:val="20"/>
              </w:rPr>
              <w:t>-</w:t>
            </w:r>
          </w:p>
        </w:tc>
        <w:tc>
          <w:tcPr>
            <w:tcW w:w="860" w:type="dxa"/>
            <w:tcBorders>
              <w:right w:val="single" w:sz="8" w:space="0" w:color="auto"/>
            </w:tcBorders>
            <w:vAlign w:val="bottom"/>
          </w:tcPr>
          <w:p w14:paraId="60DB0D69" w14:textId="39FD9020" w:rsidR="00BB0FDD" w:rsidRDefault="00BB0FDD" w:rsidP="00BB0FDD">
            <w:pPr>
              <w:jc w:val="center"/>
              <w:rPr>
                <w:rFonts w:eastAsia="Times New Roman"/>
                <w:sz w:val="20"/>
                <w:szCs w:val="20"/>
              </w:rPr>
            </w:pPr>
            <w:r>
              <w:rPr>
                <w:rFonts w:eastAsia="Times New Roman"/>
                <w:sz w:val="20"/>
                <w:szCs w:val="20"/>
              </w:rPr>
              <w:t>-</w:t>
            </w:r>
          </w:p>
        </w:tc>
        <w:tc>
          <w:tcPr>
            <w:tcW w:w="900" w:type="dxa"/>
            <w:vAlign w:val="bottom"/>
          </w:tcPr>
          <w:p w14:paraId="4E9E6F0D" w14:textId="4F8EEE92" w:rsidR="00BB0FDD" w:rsidRDefault="00BB0FDD" w:rsidP="00BB0FDD">
            <w:pPr>
              <w:jc w:val="center"/>
              <w:rPr>
                <w:rFonts w:eastAsia="Times New Roman"/>
                <w:w w:val="99"/>
                <w:sz w:val="20"/>
                <w:szCs w:val="20"/>
              </w:rPr>
            </w:pPr>
            <w:r>
              <w:rPr>
                <w:rFonts w:eastAsia="Times New Roman"/>
                <w:w w:val="99"/>
                <w:sz w:val="20"/>
                <w:szCs w:val="20"/>
              </w:rPr>
              <w:t>12</w:t>
            </w:r>
          </w:p>
        </w:tc>
        <w:tc>
          <w:tcPr>
            <w:tcW w:w="140" w:type="dxa"/>
            <w:tcBorders>
              <w:right w:val="single" w:sz="8" w:space="0" w:color="auto"/>
            </w:tcBorders>
            <w:vAlign w:val="bottom"/>
          </w:tcPr>
          <w:p w14:paraId="2F1733DE" w14:textId="68F2849A" w:rsidR="00BB0FDD" w:rsidRDefault="00BB0FDD" w:rsidP="00BB0FDD">
            <w:pPr>
              <w:rPr>
                <w:sz w:val="24"/>
                <w:szCs w:val="24"/>
              </w:rPr>
            </w:pPr>
          </w:p>
        </w:tc>
        <w:tc>
          <w:tcPr>
            <w:tcW w:w="700" w:type="dxa"/>
            <w:tcBorders>
              <w:right w:val="single" w:sz="8" w:space="0" w:color="auto"/>
            </w:tcBorders>
            <w:vAlign w:val="bottom"/>
          </w:tcPr>
          <w:p w14:paraId="282DA5F0" w14:textId="1E6EB845" w:rsidR="00BB0FDD" w:rsidRDefault="00BB0FDD" w:rsidP="00BB0FDD">
            <w:pPr>
              <w:jc w:val="center"/>
              <w:rPr>
                <w:rFonts w:eastAsia="Times New Roman"/>
                <w:w w:val="99"/>
                <w:sz w:val="20"/>
                <w:szCs w:val="20"/>
              </w:rPr>
            </w:pPr>
            <w:r>
              <w:rPr>
                <w:rFonts w:eastAsia="Times New Roman"/>
                <w:w w:val="99"/>
                <w:sz w:val="20"/>
                <w:szCs w:val="20"/>
              </w:rPr>
              <w:t>0</w:t>
            </w:r>
          </w:p>
        </w:tc>
        <w:tc>
          <w:tcPr>
            <w:tcW w:w="260" w:type="dxa"/>
            <w:vAlign w:val="bottom"/>
          </w:tcPr>
          <w:p w14:paraId="7A43BD4E" w14:textId="492845DF" w:rsidR="00BB0FDD" w:rsidRDefault="00BB0FDD" w:rsidP="00BB0FDD">
            <w:pPr>
              <w:rPr>
                <w:sz w:val="24"/>
                <w:szCs w:val="24"/>
              </w:rPr>
            </w:pPr>
          </w:p>
        </w:tc>
        <w:tc>
          <w:tcPr>
            <w:tcW w:w="600" w:type="dxa"/>
            <w:tcBorders>
              <w:right w:val="single" w:sz="8" w:space="0" w:color="auto"/>
            </w:tcBorders>
            <w:vAlign w:val="bottom"/>
          </w:tcPr>
          <w:p w14:paraId="13C2405E" w14:textId="3339272E" w:rsidR="00BB0FDD" w:rsidRDefault="00BB0FDD" w:rsidP="00BB0FDD">
            <w:pPr>
              <w:ind w:right="179"/>
              <w:jc w:val="center"/>
              <w:rPr>
                <w:rFonts w:eastAsia="Times New Roman"/>
                <w:sz w:val="20"/>
                <w:szCs w:val="20"/>
              </w:rPr>
            </w:pPr>
            <w:r>
              <w:rPr>
                <w:rFonts w:eastAsia="Times New Roman"/>
                <w:sz w:val="20"/>
                <w:szCs w:val="20"/>
              </w:rPr>
              <w:t>0</w:t>
            </w:r>
          </w:p>
        </w:tc>
        <w:tc>
          <w:tcPr>
            <w:tcW w:w="1580" w:type="dxa"/>
            <w:tcBorders>
              <w:right w:val="single" w:sz="8" w:space="0" w:color="auto"/>
            </w:tcBorders>
            <w:vAlign w:val="bottom"/>
          </w:tcPr>
          <w:p w14:paraId="1E2C0056" w14:textId="6BC1353B" w:rsidR="00BB0FDD" w:rsidRDefault="00BB0FDD" w:rsidP="00BB0FDD">
            <w:pPr>
              <w:jc w:val="center"/>
              <w:rPr>
                <w:rFonts w:eastAsia="Times New Roman"/>
                <w:sz w:val="20"/>
                <w:szCs w:val="20"/>
              </w:rPr>
            </w:pPr>
            <w:r>
              <w:rPr>
                <w:rFonts w:eastAsia="Times New Roman"/>
                <w:w w:val="99"/>
                <w:sz w:val="20"/>
                <w:szCs w:val="20"/>
              </w:rPr>
              <w:t>Много чести</w:t>
            </w:r>
          </w:p>
        </w:tc>
        <w:tc>
          <w:tcPr>
            <w:tcW w:w="30" w:type="dxa"/>
            <w:vAlign w:val="bottom"/>
          </w:tcPr>
          <w:p w14:paraId="1915A0D6" w14:textId="77777777" w:rsidR="00BB0FDD" w:rsidRDefault="00BB0FDD" w:rsidP="00BB0FDD">
            <w:pPr>
              <w:rPr>
                <w:sz w:val="1"/>
                <w:szCs w:val="1"/>
              </w:rPr>
            </w:pPr>
          </w:p>
        </w:tc>
      </w:tr>
      <w:tr w:rsidR="00992061" w14:paraId="09862351" w14:textId="77777777" w:rsidTr="00BB0FDD">
        <w:trPr>
          <w:trHeight w:val="50"/>
        </w:trPr>
        <w:tc>
          <w:tcPr>
            <w:tcW w:w="3040" w:type="dxa"/>
            <w:tcBorders>
              <w:left w:val="single" w:sz="8" w:space="0" w:color="auto"/>
              <w:right w:val="single" w:sz="8" w:space="0" w:color="auto"/>
            </w:tcBorders>
            <w:vAlign w:val="bottom"/>
          </w:tcPr>
          <w:p w14:paraId="598D7ECE" w14:textId="77777777" w:rsidR="00992061" w:rsidRDefault="00992061">
            <w:pPr>
              <w:rPr>
                <w:sz w:val="4"/>
                <w:szCs w:val="4"/>
              </w:rPr>
            </w:pPr>
          </w:p>
        </w:tc>
        <w:tc>
          <w:tcPr>
            <w:tcW w:w="840" w:type="dxa"/>
            <w:vAlign w:val="bottom"/>
          </w:tcPr>
          <w:p w14:paraId="244681F9" w14:textId="77777777" w:rsidR="00992061" w:rsidRDefault="00992061">
            <w:pPr>
              <w:rPr>
                <w:sz w:val="4"/>
                <w:szCs w:val="4"/>
              </w:rPr>
            </w:pPr>
          </w:p>
        </w:tc>
        <w:tc>
          <w:tcPr>
            <w:tcW w:w="140" w:type="dxa"/>
            <w:tcBorders>
              <w:right w:val="single" w:sz="8" w:space="0" w:color="auto"/>
            </w:tcBorders>
            <w:vAlign w:val="bottom"/>
          </w:tcPr>
          <w:p w14:paraId="3FF4FED4" w14:textId="77777777" w:rsidR="00992061" w:rsidRDefault="00992061">
            <w:pPr>
              <w:rPr>
                <w:sz w:val="4"/>
                <w:szCs w:val="4"/>
              </w:rPr>
            </w:pPr>
          </w:p>
        </w:tc>
        <w:tc>
          <w:tcPr>
            <w:tcW w:w="620" w:type="dxa"/>
            <w:tcBorders>
              <w:right w:val="single" w:sz="8" w:space="0" w:color="auto"/>
            </w:tcBorders>
            <w:vAlign w:val="bottom"/>
          </w:tcPr>
          <w:p w14:paraId="34E0EEE5" w14:textId="77777777" w:rsidR="00992061" w:rsidRDefault="00992061">
            <w:pPr>
              <w:rPr>
                <w:sz w:val="4"/>
                <w:szCs w:val="4"/>
              </w:rPr>
            </w:pPr>
          </w:p>
        </w:tc>
        <w:tc>
          <w:tcPr>
            <w:tcW w:w="860" w:type="dxa"/>
            <w:tcBorders>
              <w:right w:val="single" w:sz="8" w:space="0" w:color="auto"/>
            </w:tcBorders>
            <w:vAlign w:val="bottom"/>
          </w:tcPr>
          <w:p w14:paraId="3439A5E7" w14:textId="77777777" w:rsidR="00992061" w:rsidRDefault="00992061">
            <w:pPr>
              <w:rPr>
                <w:sz w:val="4"/>
                <w:szCs w:val="4"/>
              </w:rPr>
            </w:pPr>
          </w:p>
        </w:tc>
        <w:tc>
          <w:tcPr>
            <w:tcW w:w="900" w:type="dxa"/>
            <w:vAlign w:val="bottom"/>
          </w:tcPr>
          <w:p w14:paraId="229E592D" w14:textId="77777777" w:rsidR="00992061" w:rsidRDefault="00992061">
            <w:pPr>
              <w:rPr>
                <w:sz w:val="4"/>
                <w:szCs w:val="4"/>
              </w:rPr>
            </w:pPr>
          </w:p>
        </w:tc>
        <w:tc>
          <w:tcPr>
            <w:tcW w:w="140" w:type="dxa"/>
            <w:tcBorders>
              <w:right w:val="single" w:sz="8" w:space="0" w:color="auto"/>
            </w:tcBorders>
            <w:vAlign w:val="bottom"/>
          </w:tcPr>
          <w:p w14:paraId="2FCFC70D" w14:textId="77777777" w:rsidR="00992061" w:rsidRDefault="00992061">
            <w:pPr>
              <w:rPr>
                <w:sz w:val="4"/>
                <w:szCs w:val="4"/>
              </w:rPr>
            </w:pPr>
          </w:p>
        </w:tc>
        <w:tc>
          <w:tcPr>
            <w:tcW w:w="700" w:type="dxa"/>
            <w:tcBorders>
              <w:right w:val="single" w:sz="8" w:space="0" w:color="auto"/>
            </w:tcBorders>
            <w:vAlign w:val="bottom"/>
          </w:tcPr>
          <w:p w14:paraId="5113FDEF" w14:textId="77777777" w:rsidR="00992061" w:rsidRDefault="00992061">
            <w:pPr>
              <w:rPr>
                <w:sz w:val="4"/>
                <w:szCs w:val="4"/>
              </w:rPr>
            </w:pPr>
          </w:p>
        </w:tc>
        <w:tc>
          <w:tcPr>
            <w:tcW w:w="260" w:type="dxa"/>
            <w:vAlign w:val="bottom"/>
          </w:tcPr>
          <w:p w14:paraId="0701AD38" w14:textId="77777777" w:rsidR="00992061" w:rsidRDefault="00992061">
            <w:pPr>
              <w:rPr>
                <w:sz w:val="4"/>
                <w:szCs w:val="4"/>
              </w:rPr>
            </w:pPr>
          </w:p>
        </w:tc>
        <w:tc>
          <w:tcPr>
            <w:tcW w:w="600" w:type="dxa"/>
            <w:tcBorders>
              <w:right w:val="single" w:sz="8" w:space="0" w:color="auto"/>
            </w:tcBorders>
            <w:vAlign w:val="bottom"/>
          </w:tcPr>
          <w:p w14:paraId="665EE654" w14:textId="77777777" w:rsidR="00992061" w:rsidRDefault="00992061">
            <w:pPr>
              <w:rPr>
                <w:sz w:val="4"/>
                <w:szCs w:val="4"/>
              </w:rPr>
            </w:pPr>
          </w:p>
        </w:tc>
        <w:tc>
          <w:tcPr>
            <w:tcW w:w="1580" w:type="dxa"/>
            <w:tcBorders>
              <w:right w:val="single" w:sz="8" w:space="0" w:color="auto"/>
            </w:tcBorders>
            <w:vAlign w:val="bottom"/>
          </w:tcPr>
          <w:p w14:paraId="61B70C11" w14:textId="77777777" w:rsidR="00992061" w:rsidRDefault="00992061">
            <w:pPr>
              <w:rPr>
                <w:sz w:val="4"/>
                <w:szCs w:val="4"/>
              </w:rPr>
            </w:pPr>
          </w:p>
        </w:tc>
        <w:tc>
          <w:tcPr>
            <w:tcW w:w="30" w:type="dxa"/>
            <w:vAlign w:val="bottom"/>
          </w:tcPr>
          <w:p w14:paraId="4656C310" w14:textId="77777777" w:rsidR="00992061" w:rsidRDefault="00992061">
            <w:pPr>
              <w:rPr>
                <w:sz w:val="1"/>
                <w:szCs w:val="1"/>
              </w:rPr>
            </w:pPr>
          </w:p>
        </w:tc>
      </w:tr>
      <w:tr w:rsidR="00BB0FDD" w14:paraId="2F6FA0B2" w14:textId="77777777" w:rsidTr="00BB0FDD">
        <w:trPr>
          <w:trHeight w:val="50"/>
        </w:trPr>
        <w:tc>
          <w:tcPr>
            <w:tcW w:w="3040" w:type="dxa"/>
            <w:tcBorders>
              <w:left w:val="single" w:sz="8" w:space="0" w:color="auto"/>
              <w:bottom w:val="single" w:sz="8" w:space="0" w:color="auto"/>
              <w:right w:val="single" w:sz="8" w:space="0" w:color="auto"/>
            </w:tcBorders>
            <w:vAlign w:val="bottom"/>
          </w:tcPr>
          <w:p w14:paraId="7175F1DA" w14:textId="77777777" w:rsidR="00BB0FDD" w:rsidRDefault="00BB0FDD">
            <w:pPr>
              <w:rPr>
                <w:sz w:val="4"/>
                <w:szCs w:val="4"/>
              </w:rPr>
            </w:pPr>
          </w:p>
        </w:tc>
        <w:tc>
          <w:tcPr>
            <w:tcW w:w="840" w:type="dxa"/>
            <w:tcBorders>
              <w:bottom w:val="single" w:sz="8" w:space="0" w:color="auto"/>
            </w:tcBorders>
            <w:vAlign w:val="bottom"/>
          </w:tcPr>
          <w:p w14:paraId="54CC224B" w14:textId="77777777" w:rsidR="00BB0FDD" w:rsidRDefault="00BB0FDD">
            <w:pPr>
              <w:rPr>
                <w:sz w:val="4"/>
                <w:szCs w:val="4"/>
              </w:rPr>
            </w:pPr>
          </w:p>
        </w:tc>
        <w:tc>
          <w:tcPr>
            <w:tcW w:w="140" w:type="dxa"/>
            <w:tcBorders>
              <w:bottom w:val="single" w:sz="8" w:space="0" w:color="auto"/>
              <w:right w:val="single" w:sz="8" w:space="0" w:color="auto"/>
            </w:tcBorders>
            <w:vAlign w:val="bottom"/>
          </w:tcPr>
          <w:p w14:paraId="364C78E1" w14:textId="77777777" w:rsidR="00BB0FDD" w:rsidRDefault="00BB0FDD">
            <w:pPr>
              <w:rPr>
                <w:sz w:val="4"/>
                <w:szCs w:val="4"/>
              </w:rPr>
            </w:pPr>
          </w:p>
        </w:tc>
        <w:tc>
          <w:tcPr>
            <w:tcW w:w="620" w:type="dxa"/>
            <w:tcBorders>
              <w:bottom w:val="single" w:sz="8" w:space="0" w:color="auto"/>
              <w:right w:val="single" w:sz="8" w:space="0" w:color="auto"/>
            </w:tcBorders>
            <w:vAlign w:val="bottom"/>
          </w:tcPr>
          <w:p w14:paraId="2EC61D37" w14:textId="77777777" w:rsidR="00BB0FDD" w:rsidRDefault="00BB0FDD">
            <w:pPr>
              <w:rPr>
                <w:sz w:val="4"/>
                <w:szCs w:val="4"/>
              </w:rPr>
            </w:pPr>
          </w:p>
        </w:tc>
        <w:tc>
          <w:tcPr>
            <w:tcW w:w="860" w:type="dxa"/>
            <w:tcBorders>
              <w:bottom w:val="single" w:sz="8" w:space="0" w:color="auto"/>
              <w:right w:val="single" w:sz="8" w:space="0" w:color="auto"/>
            </w:tcBorders>
            <w:vAlign w:val="bottom"/>
          </w:tcPr>
          <w:p w14:paraId="015B99C8" w14:textId="77777777" w:rsidR="00BB0FDD" w:rsidRDefault="00BB0FDD">
            <w:pPr>
              <w:rPr>
                <w:sz w:val="4"/>
                <w:szCs w:val="4"/>
              </w:rPr>
            </w:pPr>
          </w:p>
        </w:tc>
        <w:tc>
          <w:tcPr>
            <w:tcW w:w="900" w:type="dxa"/>
            <w:tcBorders>
              <w:bottom w:val="single" w:sz="8" w:space="0" w:color="auto"/>
            </w:tcBorders>
            <w:vAlign w:val="bottom"/>
          </w:tcPr>
          <w:p w14:paraId="3227361E" w14:textId="77777777" w:rsidR="00BB0FDD" w:rsidRDefault="00BB0FDD">
            <w:pPr>
              <w:rPr>
                <w:sz w:val="4"/>
                <w:szCs w:val="4"/>
              </w:rPr>
            </w:pPr>
          </w:p>
        </w:tc>
        <w:tc>
          <w:tcPr>
            <w:tcW w:w="140" w:type="dxa"/>
            <w:tcBorders>
              <w:bottom w:val="single" w:sz="8" w:space="0" w:color="auto"/>
              <w:right w:val="single" w:sz="8" w:space="0" w:color="auto"/>
            </w:tcBorders>
            <w:vAlign w:val="bottom"/>
          </w:tcPr>
          <w:p w14:paraId="2553FA0A" w14:textId="77777777" w:rsidR="00BB0FDD" w:rsidRDefault="00BB0FDD">
            <w:pPr>
              <w:rPr>
                <w:sz w:val="4"/>
                <w:szCs w:val="4"/>
              </w:rPr>
            </w:pPr>
          </w:p>
        </w:tc>
        <w:tc>
          <w:tcPr>
            <w:tcW w:w="700" w:type="dxa"/>
            <w:tcBorders>
              <w:bottom w:val="single" w:sz="8" w:space="0" w:color="auto"/>
              <w:right w:val="single" w:sz="8" w:space="0" w:color="auto"/>
            </w:tcBorders>
            <w:vAlign w:val="bottom"/>
          </w:tcPr>
          <w:p w14:paraId="21AC0825" w14:textId="77777777" w:rsidR="00BB0FDD" w:rsidRDefault="00BB0FDD">
            <w:pPr>
              <w:rPr>
                <w:sz w:val="4"/>
                <w:szCs w:val="4"/>
              </w:rPr>
            </w:pPr>
          </w:p>
        </w:tc>
        <w:tc>
          <w:tcPr>
            <w:tcW w:w="260" w:type="dxa"/>
            <w:tcBorders>
              <w:bottom w:val="single" w:sz="8" w:space="0" w:color="auto"/>
            </w:tcBorders>
            <w:vAlign w:val="bottom"/>
          </w:tcPr>
          <w:p w14:paraId="5FC13F9B" w14:textId="77777777" w:rsidR="00BB0FDD" w:rsidRDefault="00BB0FDD">
            <w:pPr>
              <w:rPr>
                <w:sz w:val="4"/>
                <w:szCs w:val="4"/>
              </w:rPr>
            </w:pPr>
          </w:p>
        </w:tc>
        <w:tc>
          <w:tcPr>
            <w:tcW w:w="600" w:type="dxa"/>
            <w:tcBorders>
              <w:bottom w:val="single" w:sz="8" w:space="0" w:color="auto"/>
              <w:right w:val="single" w:sz="8" w:space="0" w:color="auto"/>
            </w:tcBorders>
            <w:vAlign w:val="bottom"/>
          </w:tcPr>
          <w:p w14:paraId="13B1FC6F" w14:textId="77777777" w:rsidR="00BB0FDD" w:rsidRDefault="00BB0FDD">
            <w:pPr>
              <w:rPr>
                <w:sz w:val="4"/>
                <w:szCs w:val="4"/>
              </w:rPr>
            </w:pPr>
          </w:p>
        </w:tc>
        <w:tc>
          <w:tcPr>
            <w:tcW w:w="1580" w:type="dxa"/>
            <w:tcBorders>
              <w:bottom w:val="single" w:sz="8" w:space="0" w:color="auto"/>
              <w:right w:val="single" w:sz="8" w:space="0" w:color="auto"/>
            </w:tcBorders>
            <w:vAlign w:val="bottom"/>
          </w:tcPr>
          <w:p w14:paraId="2E2DE553" w14:textId="77777777" w:rsidR="00BB0FDD" w:rsidRDefault="00BB0FDD">
            <w:pPr>
              <w:rPr>
                <w:sz w:val="4"/>
                <w:szCs w:val="4"/>
              </w:rPr>
            </w:pPr>
          </w:p>
        </w:tc>
        <w:tc>
          <w:tcPr>
            <w:tcW w:w="30" w:type="dxa"/>
            <w:vAlign w:val="bottom"/>
          </w:tcPr>
          <w:p w14:paraId="31C36111" w14:textId="77777777" w:rsidR="00BB0FDD" w:rsidRDefault="00BB0FDD">
            <w:pPr>
              <w:rPr>
                <w:sz w:val="1"/>
                <w:szCs w:val="1"/>
              </w:rPr>
            </w:pPr>
          </w:p>
        </w:tc>
      </w:tr>
    </w:tbl>
    <w:p w14:paraId="71D9ECCC" w14:textId="77777777" w:rsidR="00BB0FDD" w:rsidRDefault="00BB0FDD" w:rsidP="00BB0FDD">
      <w:pPr>
        <w:numPr>
          <w:ilvl w:val="0"/>
          <w:numId w:val="11"/>
        </w:numPr>
        <w:tabs>
          <w:tab w:val="left" w:pos="174"/>
        </w:tabs>
        <w:spacing w:line="253" w:lineRule="auto"/>
        <w:ind w:left="20" w:right="2160" w:hanging="4"/>
        <w:rPr>
          <w:rFonts w:eastAsia="Times New Roman"/>
          <w:sz w:val="19"/>
          <w:szCs w:val="19"/>
        </w:rPr>
      </w:pPr>
      <w:r>
        <w:rPr>
          <w:rFonts w:eastAsia="Times New Roman"/>
          <w:sz w:val="19"/>
          <w:szCs w:val="19"/>
        </w:rPr>
        <w:t>Тежките инфекции, със или без неутропения, включват пневмония, сепсис и целулит.</w:t>
      </w:r>
    </w:p>
    <w:p w14:paraId="505E3C07" w14:textId="77777777" w:rsidR="00BB0FDD" w:rsidRPr="00812217" w:rsidRDefault="00BB0FDD" w:rsidP="00BB0FDD">
      <w:pPr>
        <w:tabs>
          <w:tab w:val="left" w:pos="174"/>
        </w:tabs>
        <w:spacing w:line="253" w:lineRule="auto"/>
        <w:ind w:left="20" w:right="2160"/>
        <w:rPr>
          <w:rFonts w:eastAsia="Times New Roman"/>
          <w:sz w:val="19"/>
          <w:szCs w:val="19"/>
        </w:rPr>
      </w:pPr>
      <w:r w:rsidRPr="00812217">
        <w:rPr>
          <w:rFonts w:eastAsia="Times New Roman"/>
          <w:sz w:val="19"/>
          <w:szCs w:val="19"/>
        </w:rPr>
        <w:t>** Може да доведе до дехидратация, хипокалиемия и бъбречна недостатъчност.</w:t>
      </w:r>
    </w:p>
    <w:p w14:paraId="4A31C45D" w14:textId="77777777" w:rsidR="00BB0FDD" w:rsidRDefault="00BB0FDD" w:rsidP="00BB0FDD">
      <w:pPr>
        <w:spacing w:line="309" w:lineRule="auto"/>
        <w:ind w:left="20" w:right="2280"/>
        <w:rPr>
          <w:rFonts w:eastAsia="Times New Roman"/>
          <w:sz w:val="19"/>
          <w:szCs w:val="19"/>
        </w:rPr>
      </w:pPr>
      <w:r>
        <w:rPr>
          <w:rFonts w:eastAsia="Times New Roman"/>
          <w:sz w:val="19"/>
          <w:szCs w:val="19"/>
        </w:rPr>
        <w:t>*** Обривът включва акнеформен дерматит.</w:t>
      </w:r>
    </w:p>
    <w:p w14:paraId="72470C3C" w14:textId="5AB77E6F" w:rsidR="00BB0FDD" w:rsidRDefault="00BB0FDD" w:rsidP="00BB0FDD">
      <w:pPr>
        <w:spacing w:line="309" w:lineRule="auto"/>
        <w:ind w:left="20" w:right="2280"/>
        <w:rPr>
          <w:rFonts w:eastAsia="Times New Roman"/>
          <w:sz w:val="19"/>
          <w:szCs w:val="19"/>
          <w:lang w:val="bg-BG"/>
        </w:rPr>
      </w:pPr>
      <w:r>
        <w:rPr>
          <w:rFonts w:eastAsia="Times New Roman"/>
          <w:sz w:val="19"/>
          <w:szCs w:val="19"/>
        </w:rPr>
        <w:t xml:space="preserve"> - съответства на процент под прага</w:t>
      </w:r>
    </w:p>
    <w:p w14:paraId="4C7A5CD6" w14:textId="13845B50" w:rsidR="00D11D35" w:rsidRDefault="00D11D35" w:rsidP="00BB0FDD">
      <w:pPr>
        <w:spacing w:line="309" w:lineRule="auto"/>
        <w:ind w:left="20" w:right="2280"/>
        <w:rPr>
          <w:rFonts w:eastAsia="Times New Roman"/>
          <w:sz w:val="19"/>
          <w:szCs w:val="19"/>
          <w:lang w:val="bg-BG"/>
        </w:rPr>
      </w:pPr>
    </w:p>
    <w:p w14:paraId="57AFD079" w14:textId="70720517" w:rsidR="00D11D35" w:rsidRDefault="00D11D35" w:rsidP="00BB0FDD">
      <w:pPr>
        <w:spacing w:line="309" w:lineRule="auto"/>
        <w:ind w:left="20" w:right="2280"/>
        <w:rPr>
          <w:rFonts w:eastAsia="Times New Roman"/>
          <w:sz w:val="19"/>
          <w:szCs w:val="19"/>
          <w:lang w:val="bg-BG"/>
        </w:rPr>
      </w:pPr>
    </w:p>
    <w:p w14:paraId="613A38C4" w14:textId="3D715897" w:rsidR="00D11D35" w:rsidRDefault="00D11D35" w:rsidP="00BB0FDD">
      <w:pPr>
        <w:spacing w:line="309" w:lineRule="auto"/>
        <w:ind w:left="20" w:right="2280"/>
        <w:rPr>
          <w:rFonts w:eastAsia="Times New Roman"/>
          <w:sz w:val="19"/>
          <w:szCs w:val="19"/>
          <w:lang w:val="bg-BG"/>
        </w:rPr>
      </w:pPr>
    </w:p>
    <w:p w14:paraId="40605F37" w14:textId="47C0746F" w:rsidR="00D11D35" w:rsidRDefault="00095651" w:rsidP="00BB0FDD">
      <w:pPr>
        <w:spacing w:line="309" w:lineRule="auto"/>
        <w:ind w:left="20" w:right="2280"/>
        <w:rPr>
          <w:rFonts w:eastAsia="Times New Roman"/>
          <w:sz w:val="19"/>
          <w:szCs w:val="19"/>
          <w:lang w:val="bg-BG"/>
        </w:rPr>
      </w:pPr>
      <w:r w:rsidRPr="00812217">
        <w:rPr>
          <w:rFonts w:eastAsia="Times New Roman"/>
        </w:rPr>
        <w:t>Таблица 2: Обобщение на НЛР по честота</w:t>
      </w:r>
    </w:p>
    <w:tbl>
      <w:tblPr>
        <w:tblW w:w="10239"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1275"/>
        <w:gridCol w:w="1560"/>
        <w:gridCol w:w="1559"/>
        <w:gridCol w:w="1417"/>
        <w:gridCol w:w="1701"/>
        <w:gridCol w:w="1261"/>
        <w:gridCol w:w="14"/>
      </w:tblGrid>
      <w:tr w:rsidR="00D11D35" w:rsidRPr="00D03BD0" w14:paraId="02BD965F" w14:textId="77777777" w:rsidTr="0057047F">
        <w:trPr>
          <w:gridAfter w:val="1"/>
          <w:wAfter w:w="14" w:type="dxa"/>
          <w:trHeight w:val="979"/>
          <w:tblHeader/>
        </w:trPr>
        <w:tc>
          <w:tcPr>
            <w:tcW w:w="1452" w:type="dxa"/>
          </w:tcPr>
          <w:p w14:paraId="3A884B44" w14:textId="66911E9B" w:rsidR="00D11D35" w:rsidRPr="00095651" w:rsidRDefault="00095651" w:rsidP="0020575B">
            <w:pPr>
              <w:suppressAutoHyphens/>
              <w:autoSpaceDE w:val="0"/>
              <w:autoSpaceDN w:val="0"/>
              <w:adjustRightInd w:val="0"/>
              <w:rPr>
                <w:b/>
                <w:lang w:val="bg-BG"/>
              </w:rPr>
            </w:pPr>
            <w:r>
              <w:rPr>
                <w:rFonts w:eastAsia="Times New Roman"/>
                <w:lang w:val="bg-BG"/>
              </w:rPr>
              <w:t>Телесна система</w:t>
            </w:r>
          </w:p>
        </w:tc>
        <w:tc>
          <w:tcPr>
            <w:tcW w:w="1275" w:type="dxa"/>
          </w:tcPr>
          <w:p w14:paraId="19BC45F3" w14:textId="60089911" w:rsidR="00D11D35" w:rsidRPr="00D03BD0" w:rsidRDefault="00095651" w:rsidP="0020575B">
            <w:pPr>
              <w:suppressAutoHyphens/>
              <w:autoSpaceDE w:val="0"/>
              <w:autoSpaceDN w:val="0"/>
              <w:adjustRightInd w:val="0"/>
              <w:rPr>
                <w:b/>
              </w:rPr>
            </w:pPr>
            <w:r>
              <w:rPr>
                <w:rFonts w:eastAsia="MS Mincho"/>
                <w:b/>
              </w:rPr>
              <w:t>Много чести</w:t>
            </w:r>
          </w:p>
          <w:p w14:paraId="66D43160" w14:textId="77777777" w:rsidR="00D11D35" w:rsidRPr="00D03BD0" w:rsidRDefault="00D11D35" w:rsidP="0020575B">
            <w:pPr>
              <w:suppressAutoHyphens/>
              <w:autoSpaceDE w:val="0"/>
              <w:autoSpaceDN w:val="0"/>
              <w:adjustRightInd w:val="0"/>
              <w:rPr>
                <w:b/>
              </w:rPr>
            </w:pPr>
            <w:r w:rsidRPr="00D03BD0">
              <w:rPr>
                <w:b/>
              </w:rPr>
              <w:t xml:space="preserve">(≥ </w:t>
            </w:r>
            <w:r w:rsidRPr="00D03BD0">
              <w:rPr>
                <w:rFonts w:eastAsia="MS Mincho"/>
                <w:b/>
              </w:rPr>
              <w:t>1/10)</w:t>
            </w:r>
          </w:p>
        </w:tc>
        <w:tc>
          <w:tcPr>
            <w:tcW w:w="1560" w:type="dxa"/>
          </w:tcPr>
          <w:p w14:paraId="75770F41" w14:textId="2CEC2CB7" w:rsidR="00D11D35" w:rsidRPr="00095651" w:rsidRDefault="00095651" w:rsidP="0020575B">
            <w:pPr>
              <w:suppressAutoHyphens/>
              <w:autoSpaceDE w:val="0"/>
              <w:autoSpaceDN w:val="0"/>
              <w:adjustRightInd w:val="0"/>
              <w:rPr>
                <w:b/>
                <w:lang w:val="bg-BG"/>
              </w:rPr>
            </w:pPr>
            <w:r>
              <w:rPr>
                <w:b/>
                <w:lang w:val="bg-BG"/>
              </w:rPr>
              <w:t>Чести</w:t>
            </w:r>
          </w:p>
          <w:p w14:paraId="73913994" w14:textId="77777777" w:rsidR="00D11D35" w:rsidRPr="00D03BD0" w:rsidRDefault="00D11D35" w:rsidP="0020575B">
            <w:pPr>
              <w:suppressAutoHyphens/>
              <w:autoSpaceDE w:val="0"/>
              <w:autoSpaceDN w:val="0"/>
              <w:adjustRightInd w:val="0"/>
              <w:rPr>
                <w:b/>
              </w:rPr>
            </w:pPr>
            <w:r w:rsidRPr="00D03BD0">
              <w:rPr>
                <w:b/>
              </w:rPr>
              <w:t xml:space="preserve">(≥ </w:t>
            </w:r>
            <w:r w:rsidRPr="00D03BD0">
              <w:rPr>
                <w:rFonts w:eastAsia="MS Mincho"/>
                <w:b/>
              </w:rPr>
              <w:t>1/100 to</w:t>
            </w:r>
            <w:r w:rsidRPr="00D03BD0">
              <w:rPr>
                <w:b/>
              </w:rPr>
              <w:t> &lt; </w:t>
            </w:r>
            <w:r w:rsidRPr="00D03BD0">
              <w:rPr>
                <w:rFonts w:eastAsia="MS Mincho"/>
                <w:b/>
              </w:rPr>
              <w:t>1/10)</w:t>
            </w:r>
          </w:p>
        </w:tc>
        <w:tc>
          <w:tcPr>
            <w:tcW w:w="1559" w:type="dxa"/>
          </w:tcPr>
          <w:p w14:paraId="255AE478" w14:textId="56E72915" w:rsidR="00D11D35" w:rsidRPr="00095651" w:rsidRDefault="00095651" w:rsidP="0020575B">
            <w:pPr>
              <w:suppressAutoHyphens/>
              <w:autoSpaceDE w:val="0"/>
              <w:autoSpaceDN w:val="0"/>
              <w:adjustRightInd w:val="0"/>
              <w:rPr>
                <w:b/>
                <w:lang w:val="bg-BG"/>
              </w:rPr>
            </w:pPr>
            <w:r>
              <w:rPr>
                <w:b/>
                <w:lang w:val="bg-BG"/>
              </w:rPr>
              <w:t>Нечести</w:t>
            </w:r>
          </w:p>
          <w:p w14:paraId="2AFB9341" w14:textId="77777777" w:rsidR="00D11D35" w:rsidRPr="00D03BD0" w:rsidRDefault="00D11D35" w:rsidP="0020575B">
            <w:pPr>
              <w:suppressAutoHyphens/>
              <w:autoSpaceDE w:val="0"/>
              <w:autoSpaceDN w:val="0"/>
              <w:adjustRightInd w:val="0"/>
              <w:rPr>
                <w:b/>
              </w:rPr>
            </w:pPr>
            <w:r w:rsidRPr="00D03BD0">
              <w:rPr>
                <w:b/>
              </w:rPr>
              <w:t xml:space="preserve">(≥ </w:t>
            </w:r>
            <w:r w:rsidRPr="00D03BD0">
              <w:rPr>
                <w:rFonts w:eastAsia="MS Mincho"/>
                <w:b/>
              </w:rPr>
              <w:t>1/1,000 to</w:t>
            </w:r>
            <w:r w:rsidRPr="00D03BD0">
              <w:rPr>
                <w:b/>
              </w:rPr>
              <w:t> &lt; </w:t>
            </w:r>
            <w:r w:rsidRPr="00D03BD0">
              <w:rPr>
                <w:rFonts w:eastAsia="MS Mincho"/>
                <w:b/>
              </w:rPr>
              <w:t>1/100)</w:t>
            </w:r>
          </w:p>
        </w:tc>
        <w:tc>
          <w:tcPr>
            <w:tcW w:w="1417" w:type="dxa"/>
          </w:tcPr>
          <w:p w14:paraId="104CFF48" w14:textId="4B79D182" w:rsidR="00D11D35" w:rsidRPr="00D03BD0" w:rsidRDefault="00095651" w:rsidP="0020575B">
            <w:pPr>
              <w:suppressAutoHyphens/>
              <w:autoSpaceDE w:val="0"/>
              <w:autoSpaceDN w:val="0"/>
              <w:adjustRightInd w:val="0"/>
              <w:rPr>
                <w:b/>
              </w:rPr>
            </w:pPr>
            <w:r>
              <w:rPr>
                <w:rFonts w:eastAsia="MS Mincho"/>
                <w:b/>
              </w:rPr>
              <w:t>Редки</w:t>
            </w:r>
          </w:p>
          <w:p w14:paraId="74EA1863" w14:textId="77777777" w:rsidR="00D11D35" w:rsidRPr="00D03BD0" w:rsidRDefault="00D11D35" w:rsidP="0020575B">
            <w:pPr>
              <w:suppressAutoHyphens/>
              <w:autoSpaceDE w:val="0"/>
              <w:autoSpaceDN w:val="0"/>
              <w:adjustRightInd w:val="0"/>
              <w:rPr>
                <w:b/>
              </w:rPr>
            </w:pPr>
            <w:r w:rsidRPr="00D03BD0">
              <w:rPr>
                <w:b/>
              </w:rPr>
              <w:t>(≥ </w:t>
            </w:r>
            <w:r w:rsidRPr="00D03BD0">
              <w:rPr>
                <w:rFonts w:eastAsia="MS Mincho"/>
                <w:b/>
              </w:rPr>
              <w:t>1/10,000</w:t>
            </w:r>
            <w:r w:rsidRPr="00D03BD0">
              <w:rPr>
                <w:b/>
              </w:rPr>
              <w:t xml:space="preserve"> </w:t>
            </w:r>
            <w:r w:rsidRPr="00D03BD0">
              <w:rPr>
                <w:rFonts w:eastAsia="MS Mincho"/>
                <w:b/>
              </w:rPr>
              <w:t>to</w:t>
            </w:r>
            <w:r w:rsidRPr="00D03BD0">
              <w:rPr>
                <w:b/>
              </w:rPr>
              <w:t> &lt; </w:t>
            </w:r>
            <w:r w:rsidRPr="00D03BD0">
              <w:rPr>
                <w:rFonts w:eastAsia="MS Mincho"/>
                <w:b/>
              </w:rPr>
              <w:t>1/1,000)</w:t>
            </w:r>
          </w:p>
        </w:tc>
        <w:tc>
          <w:tcPr>
            <w:tcW w:w="1701" w:type="dxa"/>
          </w:tcPr>
          <w:p w14:paraId="53B686C0" w14:textId="687B9D59" w:rsidR="00D11D35" w:rsidRPr="00095651" w:rsidRDefault="00095651" w:rsidP="0020575B">
            <w:pPr>
              <w:suppressAutoHyphens/>
              <w:autoSpaceDE w:val="0"/>
              <w:autoSpaceDN w:val="0"/>
              <w:adjustRightInd w:val="0"/>
              <w:rPr>
                <w:rFonts w:eastAsia="MS Mincho"/>
                <w:b/>
                <w:lang w:val="bg-BG"/>
              </w:rPr>
            </w:pPr>
            <w:r>
              <w:rPr>
                <w:rFonts w:eastAsia="MS Mincho"/>
                <w:b/>
                <w:lang w:val="bg-BG"/>
              </w:rPr>
              <w:t>Много редки</w:t>
            </w:r>
          </w:p>
          <w:p w14:paraId="1C5C4619" w14:textId="77777777" w:rsidR="00D11D35" w:rsidRPr="00D03BD0" w:rsidRDefault="00D11D35" w:rsidP="0020575B">
            <w:pPr>
              <w:suppressAutoHyphens/>
              <w:autoSpaceDE w:val="0"/>
              <w:autoSpaceDN w:val="0"/>
              <w:adjustRightInd w:val="0"/>
              <w:rPr>
                <w:b/>
              </w:rPr>
            </w:pPr>
            <w:r w:rsidRPr="00D03BD0">
              <w:rPr>
                <w:rFonts w:eastAsia="MS Mincho"/>
                <w:b/>
              </w:rPr>
              <w:t>(&lt;</w:t>
            </w:r>
            <w:r w:rsidRPr="00D03BD0">
              <w:rPr>
                <w:b/>
              </w:rPr>
              <w:t xml:space="preserve"> </w:t>
            </w:r>
            <w:r w:rsidRPr="00D03BD0">
              <w:rPr>
                <w:rFonts w:eastAsia="MS Mincho"/>
                <w:b/>
              </w:rPr>
              <w:t>1/10,000)</w:t>
            </w:r>
          </w:p>
        </w:tc>
        <w:tc>
          <w:tcPr>
            <w:tcW w:w="1261" w:type="dxa"/>
          </w:tcPr>
          <w:p w14:paraId="1AF9F876" w14:textId="77D71EB3" w:rsidR="00D11D35" w:rsidRPr="00095651" w:rsidRDefault="00095651" w:rsidP="00095651">
            <w:pPr>
              <w:tabs>
                <w:tab w:val="left" w:pos="1733"/>
              </w:tabs>
              <w:suppressAutoHyphens/>
              <w:autoSpaceDE w:val="0"/>
              <w:autoSpaceDN w:val="0"/>
              <w:adjustRightInd w:val="0"/>
              <w:ind w:left="34" w:right="-260" w:hanging="34"/>
              <w:rPr>
                <w:rFonts w:eastAsia="MS Mincho"/>
                <w:b/>
                <w:vertAlign w:val="superscript"/>
              </w:rPr>
            </w:pPr>
            <w:r w:rsidRPr="00095651">
              <w:rPr>
                <w:rFonts w:eastAsia="MS Mincho"/>
                <w:b/>
                <w:lang w:val="bg-BG"/>
              </w:rPr>
              <w:t>С</w:t>
            </w:r>
            <w:r w:rsidRPr="00890900">
              <w:rPr>
                <w:rFonts w:eastAsia="MS Mincho"/>
                <w:b/>
                <w:lang w:val="bg-BG"/>
              </w:rPr>
              <w:t xml:space="preserve"> неизвестна честота</w:t>
            </w:r>
            <w:r>
              <w:rPr>
                <w:rFonts w:eastAsia="MS Mincho"/>
                <w:b/>
                <w:vertAlign w:val="superscript"/>
                <w:lang w:val="bg-BG"/>
              </w:rPr>
              <w:t>8</w:t>
            </w:r>
          </w:p>
        </w:tc>
      </w:tr>
      <w:tr w:rsidR="00D11D35" w14:paraId="1C255707" w14:textId="77777777" w:rsidTr="00890900">
        <w:trPr>
          <w:trHeight w:val="1220"/>
        </w:trPr>
        <w:tc>
          <w:tcPr>
            <w:tcW w:w="1452" w:type="dxa"/>
          </w:tcPr>
          <w:p w14:paraId="3E3E6346" w14:textId="4F97B2EF" w:rsidR="00D11D35" w:rsidRPr="00095651" w:rsidRDefault="00095651" w:rsidP="0020575B">
            <w:pPr>
              <w:suppressAutoHyphens/>
              <w:autoSpaceDE w:val="0"/>
              <w:autoSpaceDN w:val="0"/>
              <w:adjustRightInd w:val="0"/>
              <w:rPr>
                <w:lang w:val="bg-BG"/>
              </w:rPr>
            </w:pPr>
            <w:r>
              <w:rPr>
                <w:lang w:val="bg-BG"/>
              </w:rPr>
              <w:t>Нарушения на очите</w:t>
            </w:r>
          </w:p>
        </w:tc>
        <w:tc>
          <w:tcPr>
            <w:tcW w:w="1275" w:type="dxa"/>
          </w:tcPr>
          <w:p w14:paraId="7A734713" w14:textId="77777777" w:rsidR="00D11D35" w:rsidRPr="006A113D" w:rsidRDefault="00D11D35" w:rsidP="0020575B">
            <w:pPr>
              <w:suppressAutoHyphens/>
              <w:autoSpaceDE w:val="0"/>
              <w:autoSpaceDN w:val="0"/>
              <w:adjustRightInd w:val="0"/>
            </w:pPr>
          </w:p>
        </w:tc>
        <w:tc>
          <w:tcPr>
            <w:tcW w:w="1560" w:type="dxa"/>
          </w:tcPr>
          <w:p w14:paraId="337AA228" w14:textId="3123DE63" w:rsidR="00D11D35" w:rsidRPr="006A113D" w:rsidRDefault="00D11D35" w:rsidP="0020575B">
            <w:pPr>
              <w:suppressAutoHyphens/>
              <w:autoSpaceDE w:val="0"/>
              <w:autoSpaceDN w:val="0"/>
              <w:adjustRightInd w:val="0"/>
            </w:pPr>
            <w:r>
              <w:t>-</w:t>
            </w:r>
            <w:r w:rsidR="00095651">
              <w:t>Кератит</w:t>
            </w:r>
          </w:p>
          <w:p w14:paraId="02ABB4EC" w14:textId="710A0D13" w:rsidR="00D11D35" w:rsidRPr="006A113D" w:rsidRDefault="00D11D35" w:rsidP="0020575B">
            <w:pPr>
              <w:suppressAutoHyphens/>
              <w:autoSpaceDE w:val="0"/>
              <w:autoSpaceDN w:val="0"/>
              <w:adjustRightInd w:val="0"/>
            </w:pPr>
            <w:r>
              <w:t>-</w:t>
            </w:r>
            <w:r w:rsidR="00095651">
              <w:t>Конюктивит</w:t>
            </w:r>
            <w:r w:rsidRPr="006A113D">
              <w:rPr>
                <w:vertAlign w:val="superscript"/>
              </w:rPr>
              <w:t>1</w:t>
            </w:r>
          </w:p>
        </w:tc>
        <w:tc>
          <w:tcPr>
            <w:tcW w:w="1559" w:type="dxa"/>
          </w:tcPr>
          <w:p w14:paraId="104873CA" w14:textId="657C44D0" w:rsidR="00D11D35" w:rsidRPr="006A113D" w:rsidRDefault="00D11D35" w:rsidP="0020575B">
            <w:pPr>
              <w:suppressAutoHyphens/>
              <w:autoSpaceDE w:val="0"/>
              <w:autoSpaceDN w:val="0"/>
              <w:adjustRightInd w:val="0"/>
            </w:pPr>
            <w:r>
              <w:t>-</w:t>
            </w:r>
            <w:r w:rsidR="00095651">
              <w:t xml:space="preserve"> Промени на миглите</w:t>
            </w:r>
            <w:r w:rsidRPr="006A113D">
              <w:rPr>
                <w:vertAlign w:val="superscript"/>
              </w:rPr>
              <w:t>2</w:t>
            </w:r>
          </w:p>
        </w:tc>
        <w:tc>
          <w:tcPr>
            <w:tcW w:w="1417" w:type="dxa"/>
          </w:tcPr>
          <w:p w14:paraId="468ECCC0" w14:textId="77777777" w:rsidR="00D11D35" w:rsidRPr="006A113D" w:rsidRDefault="00D11D35" w:rsidP="0020575B">
            <w:pPr>
              <w:suppressAutoHyphens/>
              <w:autoSpaceDE w:val="0"/>
              <w:autoSpaceDN w:val="0"/>
              <w:adjustRightInd w:val="0"/>
            </w:pPr>
          </w:p>
        </w:tc>
        <w:tc>
          <w:tcPr>
            <w:tcW w:w="1701" w:type="dxa"/>
          </w:tcPr>
          <w:p w14:paraId="6F51AD5A" w14:textId="7334E471" w:rsidR="00D11D35" w:rsidRPr="00095651" w:rsidRDefault="00D11D35" w:rsidP="00095651">
            <w:pPr>
              <w:suppressAutoHyphens/>
              <w:autoSpaceDE w:val="0"/>
              <w:autoSpaceDN w:val="0"/>
              <w:adjustRightInd w:val="0"/>
              <w:ind w:left="-20"/>
              <w:rPr>
                <w:lang w:val="bg-BG"/>
              </w:rPr>
            </w:pPr>
            <w:r>
              <w:t>-</w:t>
            </w:r>
            <w:r w:rsidR="00095651">
              <w:rPr>
                <w:lang w:val="bg-BG"/>
              </w:rPr>
              <w:t>Перфорация на роговицата</w:t>
            </w:r>
          </w:p>
          <w:p w14:paraId="0A31EBF7" w14:textId="77777777" w:rsidR="0057047F" w:rsidRDefault="00D11D35" w:rsidP="00095651">
            <w:pPr>
              <w:suppressAutoHyphens/>
              <w:autoSpaceDE w:val="0"/>
              <w:autoSpaceDN w:val="0"/>
              <w:adjustRightInd w:val="0"/>
              <w:ind w:left="-20"/>
            </w:pPr>
            <w:r>
              <w:t>-</w:t>
            </w:r>
            <w:r w:rsidR="00095651">
              <w:rPr>
                <w:lang w:val="bg-BG"/>
              </w:rPr>
              <w:t>Разязвяване на роговицата</w:t>
            </w:r>
            <w:r>
              <w:t xml:space="preserve"> </w:t>
            </w:r>
          </w:p>
          <w:p w14:paraId="2B743A1A" w14:textId="23944543" w:rsidR="00D11D35" w:rsidRPr="006A113D" w:rsidRDefault="00095651" w:rsidP="00095651">
            <w:pPr>
              <w:suppressAutoHyphens/>
              <w:autoSpaceDE w:val="0"/>
              <w:autoSpaceDN w:val="0"/>
              <w:adjustRightInd w:val="0"/>
              <w:ind w:left="-20"/>
            </w:pPr>
            <w:r>
              <w:t>-Увеит</w:t>
            </w:r>
          </w:p>
        </w:tc>
        <w:tc>
          <w:tcPr>
            <w:tcW w:w="1275" w:type="dxa"/>
            <w:gridSpan w:val="2"/>
          </w:tcPr>
          <w:p w14:paraId="24E5BA35" w14:textId="77777777" w:rsidR="00D11D35" w:rsidRDefault="00D11D35" w:rsidP="0020575B">
            <w:pPr>
              <w:suppressAutoHyphens/>
              <w:autoSpaceDE w:val="0"/>
              <w:autoSpaceDN w:val="0"/>
              <w:adjustRightInd w:val="0"/>
              <w:ind w:left="-20"/>
            </w:pPr>
          </w:p>
        </w:tc>
      </w:tr>
      <w:tr w:rsidR="00D11D35" w:rsidRPr="006A113D" w14:paraId="265044C9" w14:textId="77777777" w:rsidTr="0057047F">
        <w:trPr>
          <w:gridAfter w:val="1"/>
          <w:wAfter w:w="14" w:type="dxa"/>
          <w:trHeight w:val="979"/>
        </w:trPr>
        <w:tc>
          <w:tcPr>
            <w:tcW w:w="1452" w:type="dxa"/>
          </w:tcPr>
          <w:p w14:paraId="11F7E23C" w14:textId="77777777" w:rsidR="00095651" w:rsidRDefault="00095651" w:rsidP="00095651">
            <w:pPr>
              <w:suppressAutoHyphens/>
              <w:autoSpaceDE w:val="0"/>
              <w:autoSpaceDN w:val="0"/>
              <w:adjustRightInd w:val="0"/>
            </w:pPr>
            <w:r>
              <w:t>Респираторни,</w:t>
            </w:r>
          </w:p>
          <w:p w14:paraId="6DAED922" w14:textId="77777777" w:rsidR="00095651" w:rsidRDefault="00095651" w:rsidP="00095651">
            <w:pPr>
              <w:suppressAutoHyphens/>
              <w:autoSpaceDE w:val="0"/>
              <w:autoSpaceDN w:val="0"/>
              <w:adjustRightInd w:val="0"/>
            </w:pPr>
            <w:r>
              <w:t>гръдни и</w:t>
            </w:r>
          </w:p>
          <w:p w14:paraId="67CCD62D" w14:textId="77777777" w:rsidR="00095651" w:rsidRDefault="00095651" w:rsidP="00095651">
            <w:pPr>
              <w:suppressAutoHyphens/>
              <w:autoSpaceDE w:val="0"/>
              <w:autoSpaceDN w:val="0"/>
              <w:adjustRightInd w:val="0"/>
            </w:pPr>
            <w:r>
              <w:t>медиастинални</w:t>
            </w:r>
          </w:p>
          <w:p w14:paraId="5F885DDD" w14:textId="38415AAF" w:rsidR="00D11D35" w:rsidRPr="006A113D" w:rsidRDefault="00095651" w:rsidP="00095651">
            <w:pPr>
              <w:suppressAutoHyphens/>
              <w:autoSpaceDE w:val="0"/>
              <w:autoSpaceDN w:val="0"/>
              <w:adjustRightInd w:val="0"/>
            </w:pPr>
            <w:r>
              <w:t>нарушения</w:t>
            </w:r>
          </w:p>
        </w:tc>
        <w:tc>
          <w:tcPr>
            <w:tcW w:w="1275" w:type="dxa"/>
          </w:tcPr>
          <w:p w14:paraId="0D85DB94" w14:textId="77777777" w:rsidR="00D11D35" w:rsidRPr="006A113D" w:rsidRDefault="00D11D35" w:rsidP="0020575B">
            <w:pPr>
              <w:suppressAutoHyphens/>
              <w:autoSpaceDE w:val="0"/>
              <w:autoSpaceDN w:val="0"/>
              <w:adjustRightInd w:val="0"/>
            </w:pPr>
          </w:p>
        </w:tc>
        <w:tc>
          <w:tcPr>
            <w:tcW w:w="1560" w:type="dxa"/>
          </w:tcPr>
          <w:p w14:paraId="63456CA5" w14:textId="472F8BED" w:rsidR="00D11D35" w:rsidRPr="00095651" w:rsidRDefault="00D11D35" w:rsidP="00095651">
            <w:pPr>
              <w:suppressAutoHyphens/>
              <w:autoSpaceDE w:val="0"/>
              <w:autoSpaceDN w:val="0"/>
              <w:adjustRightInd w:val="0"/>
              <w:rPr>
                <w:lang w:val="bg-BG"/>
              </w:rPr>
            </w:pPr>
            <w:r>
              <w:t>-</w:t>
            </w:r>
            <w:r w:rsidRPr="006A113D">
              <w:t>E</w:t>
            </w:r>
            <w:r w:rsidR="00095651">
              <w:rPr>
                <w:lang w:val="bg-BG"/>
              </w:rPr>
              <w:t>пистаксис</w:t>
            </w:r>
          </w:p>
        </w:tc>
        <w:tc>
          <w:tcPr>
            <w:tcW w:w="1559" w:type="dxa"/>
          </w:tcPr>
          <w:p w14:paraId="22195560" w14:textId="43178E55" w:rsidR="00095651" w:rsidRDefault="00095651" w:rsidP="00095651">
            <w:pPr>
              <w:suppressAutoHyphens/>
              <w:autoSpaceDE w:val="0"/>
              <w:autoSpaceDN w:val="0"/>
              <w:adjustRightInd w:val="0"/>
            </w:pPr>
            <w:r>
              <w:t>-</w:t>
            </w:r>
            <w:r>
              <w:rPr>
                <w:lang w:val="bg-BG"/>
              </w:rPr>
              <w:t>И</w:t>
            </w:r>
            <w:r>
              <w:t>нтерстици</w:t>
            </w:r>
            <w:r>
              <w:rPr>
                <w:lang w:val="bg-BG"/>
              </w:rPr>
              <w:t>-</w:t>
            </w:r>
            <w:r>
              <w:t>ално</w:t>
            </w:r>
          </w:p>
          <w:p w14:paraId="40ED10FA" w14:textId="77777777" w:rsidR="00095651" w:rsidRDefault="00095651" w:rsidP="00095651">
            <w:pPr>
              <w:suppressAutoHyphens/>
              <w:autoSpaceDE w:val="0"/>
              <w:autoSpaceDN w:val="0"/>
              <w:adjustRightInd w:val="0"/>
            </w:pPr>
            <w:r>
              <w:t>белодробно</w:t>
            </w:r>
          </w:p>
          <w:p w14:paraId="7965D266" w14:textId="61B11D23" w:rsidR="00D11D35" w:rsidRPr="006A113D" w:rsidRDefault="00095651" w:rsidP="00095651">
            <w:pPr>
              <w:suppressAutoHyphens/>
              <w:autoSpaceDE w:val="0"/>
              <w:autoSpaceDN w:val="0"/>
              <w:adjustRightInd w:val="0"/>
            </w:pPr>
            <w:r>
              <w:t>заболяване (ИБЗ)3</w:t>
            </w:r>
            <w:r w:rsidR="00D11D35" w:rsidRPr="006A113D">
              <w:rPr>
                <w:vertAlign w:val="superscript"/>
              </w:rPr>
              <w:t>3</w:t>
            </w:r>
          </w:p>
        </w:tc>
        <w:tc>
          <w:tcPr>
            <w:tcW w:w="1417" w:type="dxa"/>
          </w:tcPr>
          <w:p w14:paraId="524598CD" w14:textId="77777777" w:rsidR="00D11D35" w:rsidRPr="006A113D" w:rsidRDefault="00D11D35" w:rsidP="0020575B">
            <w:pPr>
              <w:suppressAutoHyphens/>
              <w:autoSpaceDE w:val="0"/>
              <w:autoSpaceDN w:val="0"/>
              <w:adjustRightInd w:val="0"/>
            </w:pPr>
          </w:p>
        </w:tc>
        <w:tc>
          <w:tcPr>
            <w:tcW w:w="1701" w:type="dxa"/>
          </w:tcPr>
          <w:p w14:paraId="5303D327" w14:textId="77777777" w:rsidR="00D11D35" w:rsidRPr="006A113D" w:rsidRDefault="00D11D35" w:rsidP="0020575B">
            <w:pPr>
              <w:suppressAutoHyphens/>
              <w:autoSpaceDE w:val="0"/>
              <w:autoSpaceDN w:val="0"/>
              <w:adjustRightInd w:val="0"/>
            </w:pPr>
          </w:p>
        </w:tc>
        <w:tc>
          <w:tcPr>
            <w:tcW w:w="1261" w:type="dxa"/>
          </w:tcPr>
          <w:p w14:paraId="54C86179" w14:textId="77777777" w:rsidR="00D11D35" w:rsidRPr="006A113D" w:rsidRDefault="00D11D35" w:rsidP="00095651">
            <w:pPr>
              <w:suppressAutoHyphens/>
              <w:autoSpaceDE w:val="0"/>
              <w:autoSpaceDN w:val="0"/>
              <w:adjustRightInd w:val="0"/>
              <w:ind w:right="602"/>
            </w:pPr>
          </w:p>
        </w:tc>
      </w:tr>
      <w:tr w:rsidR="00D11D35" w:rsidRPr="006A113D" w14:paraId="326D56A6" w14:textId="77777777" w:rsidTr="0057047F">
        <w:trPr>
          <w:gridAfter w:val="1"/>
          <w:wAfter w:w="14" w:type="dxa"/>
          <w:trHeight w:val="496"/>
        </w:trPr>
        <w:tc>
          <w:tcPr>
            <w:tcW w:w="1452" w:type="dxa"/>
          </w:tcPr>
          <w:p w14:paraId="706BA716" w14:textId="4D8BA928" w:rsidR="00D11D35" w:rsidRPr="00095651" w:rsidRDefault="00095651" w:rsidP="0020575B">
            <w:pPr>
              <w:suppressAutoHyphens/>
              <w:autoSpaceDE w:val="0"/>
              <w:autoSpaceDN w:val="0"/>
              <w:adjustRightInd w:val="0"/>
              <w:rPr>
                <w:lang w:val="bg-BG"/>
              </w:rPr>
            </w:pPr>
            <w:r>
              <w:rPr>
                <w:lang w:val="bg-BG"/>
              </w:rPr>
              <w:t>Стомашн-чревни нарушения</w:t>
            </w:r>
          </w:p>
        </w:tc>
        <w:tc>
          <w:tcPr>
            <w:tcW w:w="1275" w:type="dxa"/>
          </w:tcPr>
          <w:p w14:paraId="6CF5EF8D" w14:textId="5ABFB873" w:rsidR="00D11D35" w:rsidRPr="006A113D" w:rsidRDefault="00D11D35" w:rsidP="0020575B">
            <w:pPr>
              <w:suppressAutoHyphens/>
              <w:autoSpaceDE w:val="0"/>
              <w:autoSpaceDN w:val="0"/>
              <w:adjustRightInd w:val="0"/>
            </w:pPr>
            <w:r>
              <w:t>-</w:t>
            </w:r>
            <w:r w:rsidR="00095651">
              <w:t>Диария</w:t>
            </w:r>
            <w:r w:rsidRPr="006A113D">
              <w:rPr>
                <w:vertAlign w:val="superscript"/>
              </w:rPr>
              <w:t>7</w:t>
            </w:r>
          </w:p>
        </w:tc>
        <w:tc>
          <w:tcPr>
            <w:tcW w:w="1560" w:type="dxa"/>
          </w:tcPr>
          <w:p w14:paraId="31F3D81A" w14:textId="42E1AF1D" w:rsidR="00D11D35" w:rsidRPr="006A113D" w:rsidRDefault="00D11D35" w:rsidP="0020575B">
            <w:pPr>
              <w:suppressAutoHyphens/>
              <w:autoSpaceDE w:val="0"/>
              <w:autoSpaceDN w:val="0"/>
              <w:adjustRightInd w:val="0"/>
            </w:pPr>
            <w:r>
              <w:t>-</w:t>
            </w:r>
            <w:r w:rsidR="00095651">
              <w:t>Стомашно-чревно кървене</w:t>
            </w:r>
            <w:r w:rsidRPr="006A113D">
              <w:rPr>
                <w:vertAlign w:val="superscript"/>
              </w:rPr>
              <w:t>4,7</w:t>
            </w:r>
          </w:p>
        </w:tc>
        <w:tc>
          <w:tcPr>
            <w:tcW w:w="1559" w:type="dxa"/>
          </w:tcPr>
          <w:p w14:paraId="72B63C3A" w14:textId="0CBEE86C" w:rsidR="00D11D35" w:rsidRPr="006A113D" w:rsidRDefault="00095651" w:rsidP="0020575B">
            <w:pPr>
              <w:suppressAutoHyphens/>
              <w:autoSpaceDE w:val="0"/>
              <w:autoSpaceDN w:val="0"/>
              <w:adjustRightInd w:val="0"/>
            </w:pPr>
            <w:r>
              <w:rPr>
                <w:lang w:val="bg-BG"/>
              </w:rPr>
              <w:t>-Стомашно-чревни перфорации</w:t>
            </w:r>
            <w:r w:rsidR="00D11D35" w:rsidRPr="006A113D">
              <w:rPr>
                <w:vertAlign w:val="superscript"/>
              </w:rPr>
              <w:t>7</w:t>
            </w:r>
          </w:p>
        </w:tc>
        <w:tc>
          <w:tcPr>
            <w:tcW w:w="1417" w:type="dxa"/>
          </w:tcPr>
          <w:p w14:paraId="543174A8" w14:textId="57B0B14A" w:rsidR="00D11D35" w:rsidRPr="00095651" w:rsidRDefault="0070086C" w:rsidP="0070086C">
            <w:pPr>
              <w:suppressAutoHyphens/>
              <w:autoSpaceDE w:val="0"/>
              <w:autoSpaceDN w:val="0"/>
              <w:adjustRightInd w:val="0"/>
              <w:rPr>
                <w:lang w:val="bg-BG"/>
              </w:rPr>
            </w:pPr>
            <w:r>
              <w:rPr>
                <w:lang w:val="bg-BG"/>
              </w:rPr>
              <w:t>-Чревна пневматоза</w:t>
            </w:r>
          </w:p>
        </w:tc>
        <w:tc>
          <w:tcPr>
            <w:tcW w:w="1701" w:type="dxa"/>
          </w:tcPr>
          <w:p w14:paraId="085526FA" w14:textId="77777777" w:rsidR="00D11D35" w:rsidRPr="006A113D" w:rsidRDefault="00D11D35" w:rsidP="0020575B">
            <w:pPr>
              <w:suppressAutoHyphens/>
              <w:autoSpaceDE w:val="0"/>
              <w:autoSpaceDN w:val="0"/>
              <w:adjustRightInd w:val="0"/>
            </w:pPr>
          </w:p>
        </w:tc>
        <w:tc>
          <w:tcPr>
            <w:tcW w:w="1261" w:type="dxa"/>
          </w:tcPr>
          <w:p w14:paraId="45C50569" w14:textId="77777777" w:rsidR="00D11D35" w:rsidRPr="006A113D" w:rsidRDefault="00D11D35" w:rsidP="0020575B">
            <w:pPr>
              <w:suppressAutoHyphens/>
              <w:autoSpaceDE w:val="0"/>
              <w:autoSpaceDN w:val="0"/>
              <w:adjustRightInd w:val="0"/>
            </w:pPr>
          </w:p>
        </w:tc>
      </w:tr>
      <w:tr w:rsidR="00D11D35" w:rsidRPr="006A113D" w14:paraId="7F5CDDD2" w14:textId="77777777" w:rsidTr="0057047F">
        <w:trPr>
          <w:gridAfter w:val="1"/>
          <w:wAfter w:w="14" w:type="dxa"/>
          <w:trHeight w:val="724"/>
        </w:trPr>
        <w:tc>
          <w:tcPr>
            <w:tcW w:w="1452" w:type="dxa"/>
          </w:tcPr>
          <w:p w14:paraId="27A1FF6A" w14:textId="674567BA" w:rsidR="00D11D35" w:rsidRPr="00095651" w:rsidRDefault="00095651" w:rsidP="00095651">
            <w:pPr>
              <w:suppressAutoHyphens/>
              <w:autoSpaceDE w:val="0"/>
              <w:autoSpaceDN w:val="0"/>
              <w:adjustRightInd w:val="0"/>
              <w:rPr>
                <w:lang w:val="bg-BG"/>
              </w:rPr>
            </w:pPr>
            <w:r>
              <w:rPr>
                <w:lang w:val="bg-BG"/>
              </w:rPr>
              <w:t>Хепато-билиар</w:t>
            </w:r>
            <w:r>
              <w:t>ни нарушения</w:t>
            </w:r>
          </w:p>
        </w:tc>
        <w:tc>
          <w:tcPr>
            <w:tcW w:w="1275" w:type="dxa"/>
          </w:tcPr>
          <w:p w14:paraId="0CD04892" w14:textId="18E2FBA4" w:rsidR="00D11D35" w:rsidRPr="006A113D" w:rsidRDefault="00D11D35" w:rsidP="00095651">
            <w:pPr>
              <w:suppressAutoHyphens/>
              <w:autoSpaceDE w:val="0"/>
              <w:autoSpaceDN w:val="0"/>
              <w:adjustRightInd w:val="0"/>
              <w:ind w:right="-166"/>
            </w:pPr>
            <w:r>
              <w:t>-</w:t>
            </w:r>
            <w:r w:rsidR="00095651">
              <w:rPr>
                <w:lang w:val="bg-BG"/>
              </w:rPr>
              <w:t>Отклонения в чернодроб-ните функционални тестове</w:t>
            </w:r>
            <w:r w:rsidRPr="006A113D">
              <w:rPr>
                <w:vertAlign w:val="superscript"/>
              </w:rPr>
              <w:t>5</w:t>
            </w:r>
          </w:p>
        </w:tc>
        <w:tc>
          <w:tcPr>
            <w:tcW w:w="1560" w:type="dxa"/>
          </w:tcPr>
          <w:p w14:paraId="2D7CD252" w14:textId="77777777" w:rsidR="00D11D35" w:rsidRPr="006A113D" w:rsidRDefault="00D11D35" w:rsidP="0020575B">
            <w:pPr>
              <w:suppressAutoHyphens/>
              <w:autoSpaceDE w:val="0"/>
              <w:autoSpaceDN w:val="0"/>
              <w:adjustRightInd w:val="0"/>
            </w:pPr>
          </w:p>
        </w:tc>
        <w:tc>
          <w:tcPr>
            <w:tcW w:w="1559" w:type="dxa"/>
          </w:tcPr>
          <w:p w14:paraId="289D5FFE" w14:textId="77777777" w:rsidR="00D11D35" w:rsidRPr="006A113D" w:rsidRDefault="00D11D35" w:rsidP="0020575B">
            <w:pPr>
              <w:suppressAutoHyphens/>
              <w:autoSpaceDE w:val="0"/>
              <w:autoSpaceDN w:val="0"/>
              <w:adjustRightInd w:val="0"/>
            </w:pPr>
          </w:p>
        </w:tc>
        <w:tc>
          <w:tcPr>
            <w:tcW w:w="1417" w:type="dxa"/>
          </w:tcPr>
          <w:p w14:paraId="387862B3" w14:textId="38910C30" w:rsidR="00D11D35" w:rsidRDefault="00D11D35" w:rsidP="0020575B">
            <w:pPr>
              <w:suppressAutoHyphens/>
              <w:autoSpaceDE w:val="0"/>
              <w:autoSpaceDN w:val="0"/>
              <w:adjustRightInd w:val="0"/>
              <w:rPr>
                <w:vertAlign w:val="superscript"/>
              </w:rPr>
            </w:pPr>
            <w:r>
              <w:t>-</w:t>
            </w:r>
            <w:r w:rsidR="00095651">
              <w:t>Чернодроб</w:t>
            </w:r>
            <w:r w:rsidR="00095651">
              <w:rPr>
                <w:lang w:val="bg-BG"/>
              </w:rPr>
              <w:t>-</w:t>
            </w:r>
            <w:r w:rsidR="00095651">
              <w:t>на недоста</w:t>
            </w:r>
            <w:r w:rsidR="00095651">
              <w:rPr>
                <w:lang w:val="bg-BG"/>
              </w:rPr>
              <w:t>-</w:t>
            </w:r>
            <w:r w:rsidR="00095651">
              <w:t>тъчност</w:t>
            </w:r>
            <w:r w:rsidRPr="006A113D">
              <w:rPr>
                <w:vertAlign w:val="superscript"/>
              </w:rPr>
              <w:t>6</w:t>
            </w:r>
          </w:p>
          <w:p w14:paraId="7D6F352E" w14:textId="4CA911E4" w:rsidR="00D11D35" w:rsidRPr="00890900" w:rsidRDefault="00FC78D6" w:rsidP="0020575B">
            <w:pPr>
              <w:suppressAutoHyphens/>
              <w:autoSpaceDE w:val="0"/>
              <w:autoSpaceDN w:val="0"/>
              <w:adjustRightInd w:val="0"/>
              <w:rPr>
                <w:lang w:val="bg-BG"/>
              </w:rPr>
            </w:pPr>
            <w:r>
              <w:rPr>
                <w:lang w:val="bg-BG"/>
              </w:rPr>
              <w:t>- Хепатит</w:t>
            </w:r>
          </w:p>
        </w:tc>
        <w:tc>
          <w:tcPr>
            <w:tcW w:w="1701" w:type="dxa"/>
          </w:tcPr>
          <w:p w14:paraId="2E5822D8" w14:textId="77777777" w:rsidR="00D11D35" w:rsidRPr="006A113D" w:rsidRDefault="00D11D35" w:rsidP="0020575B">
            <w:pPr>
              <w:suppressAutoHyphens/>
              <w:autoSpaceDE w:val="0"/>
              <w:autoSpaceDN w:val="0"/>
              <w:adjustRightInd w:val="0"/>
            </w:pPr>
          </w:p>
        </w:tc>
        <w:tc>
          <w:tcPr>
            <w:tcW w:w="1261" w:type="dxa"/>
          </w:tcPr>
          <w:p w14:paraId="063D7923" w14:textId="2948DEB0" w:rsidR="00D11D35" w:rsidRPr="00FC78D6" w:rsidRDefault="00FC78D6" w:rsidP="0020575B">
            <w:pPr>
              <w:suppressAutoHyphens/>
              <w:autoSpaceDE w:val="0"/>
              <w:autoSpaceDN w:val="0"/>
              <w:adjustRightInd w:val="0"/>
              <w:rPr>
                <w:lang w:val="bg-BG"/>
              </w:rPr>
            </w:pPr>
            <w:r>
              <w:rPr>
                <w:lang w:val="bg-BG"/>
              </w:rPr>
              <w:t>-Остър хепатит</w:t>
            </w:r>
          </w:p>
        </w:tc>
      </w:tr>
      <w:tr w:rsidR="00D11D35" w14:paraId="56246199" w14:textId="77777777" w:rsidTr="0057047F">
        <w:trPr>
          <w:gridAfter w:val="1"/>
          <w:wAfter w:w="14" w:type="dxa"/>
          <w:trHeight w:val="2456"/>
        </w:trPr>
        <w:tc>
          <w:tcPr>
            <w:tcW w:w="1452" w:type="dxa"/>
          </w:tcPr>
          <w:p w14:paraId="28B6C4A4" w14:textId="317BB3B5" w:rsidR="00D11D35" w:rsidRPr="00095651" w:rsidRDefault="00095651" w:rsidP="00095651">
            <w:pPr>
              <w:suppressAutoHyphens/>
              <w:autoSpaceDE w:val="0"/>
              <w:autoSpaceDN w:val="0"/>
              <w:adjustRightInd w:val="0"/>
              <w:rPr>
                <w:lang w:val="bg-BG"/>
              </w:rPr>
            </w:pPr>
            <w:r>
              <w:rPr>
                <w:lang w:val="bg-BG"/>
              </w:rPr>
              <w:t>Нарушения на кожата и подкожната тъкан</w:t>
            </w:r>
          </w:p>
        </w:tc>
        <w:tc>
          <w:tcPr>
            <w:tcW w:w="1275" w:type="dxa"/>
          </w:tcPr>
          <w:p w14:paraId="06A28B18" w14:textId="4EC3A7A6" w:rsidR="00D11D35" w:rsidRPr="006A113D" w:rsidRDefault="00095651" w:rsidP="0020575B">
            <w:pPr>
              <w:suppressAutoHyphens/>
              <w:autoSpaceDE w:val="0"/>
              <w:autoSpaceDN w:val="0"/>
              <w:adjustRightInd w:val="0"/>
            </w:pPr>
            <w:r>
              <w:t>-Обрив</w:t>
            </w:r>
          </w:p>
        </w:tc>
        <w:tc>
          <w:tcPr>
            <w:tcW w:w="1560" w:type="dxa"/>
          </w:tcPr>
          <w:p w14:paraId="24BEBE16" w14:textId="2E381D5B" w:rsidR="00D11D35" w:rsidRPr="006A113D" w:rsidRDefault="00D11D35" w:rsidP="0020575B">
            <w:pPr>
              <w:suppressAutoHyphens/>
              <w:autoSpaceDE w:val="0"/>
              <w:autoSpaceDN w:val="0"/>
              <w:adjustRightInd w:val="0"/>
            </w:pPr>
            <w:r>
              <w:t>-</w:t>
            </w:r>
            <w:r w:rsidR="00095651">
              <w:t>Алопеция</w:t>
            </w:r>
          </w:p>
          <w:p w14:paraId="448F0578" w14:textId="761E7EE9" w:rsidR="00D11D35" w:rsidRPr="006A113D" w:rsidRDefault="00D11D35" w:rsidP="0020575B">
            <w:pPr>
              <w:suppressAutoHyphens/>
              <w:autoSpaceDE w:val="0"/>
              <w:autoSpaceDN w:val="0"/>
              <w:adjustRightInd w:val="0"/>
            </w:pPr>
            <w:r>
              <w:t>-</w:t>
            </w:r>
            <w:r w:rsidR="00095651">
              <w:t>Сухота</w:t>
            </w:r>
            <w:r w:rsidRPr="006A113D">
              <w:rPr>
                <w:vertAlign w:val="superscript"/>
              </w:rPr>
              <w:t>1</w:t>
            </w:r>
          </w:p>
          <w:p w14:paraId="3DD19E44" w14:textId="0AF6B2C4" w:rsidR="00D11D35" w:rsidRPr="006A113D" w:rsidRDefault="00D11D35" w:rsidP="0020575B">
            <w:pPr>
              <w:suppressAutoHyphens/>
              <w:autoSpaceDE w:val="0"/>
              <w:autoSpaceDN w:val="0"/>
              <w:adjustRightInd w:val="0"/>
            </w:pPr>
            <w:r>
              <w:t>-</w:t>
            </w:r>
            <w:r w:rsidR="00095651">
              <w:t>Порунихия</w:t>
            </w:r>
          </w:p>
          <w:p w14:paraId="2DB17018" w14:textId="22D46E34" w:rsidR="00D11D35" w:rsidRPr="006A113D" w:rsidRDefault="00D11D35" w:rsidP="0020575B">
            <w:pPr>
              <w:suppressAutoHyphens/>
              <w:autoSpaceDE w:val="0"/>
              <w:autoSpaceDN w:val="0"/>
              <w:adjustRightInd w:val="0"/>
            </w:pPr>
            <w:r>
              <w:t>-</w:t>
            </w:r>
            <w:r w:rsidR="00095651">
              <w:t>Фоликулит</w:t>
            </w:r>
          </w:p>
          <w:p w14:paraId="0B2616F3" w14:textId="68B98814" w:rsidR="00D11D35" w:rsidRPr="006A113D" w:rsidRDefault="00D11D35" w:rsidP="0020575B">
            <w:pPr>
              <w:suppressAutoHyphens/>
              <w:autoSpaceDE w:val="0"/>
              <w:autoSpaceDN w:val="0"/>
              <w:adjustRightInd w:val="0"/>
            </w:pPr>
            <w:r>
              <w:t>-</w:t>
            </w:r>
            <w:r w:rsidR="0057496E">
              <w:rPr>
                <w:lang w:val="bg-BG"/>
              </w:rPr>
              <w:t>Акне/Акнеиформен дерматит</w:t>
            </w:r>
          </w:p>
          <w:p w14:paraId="4F4B0DAA" w14:textId="59994523" w:rsidR="00D11D35" w:rsidRPr="0057496E" w:rsidRDefault="00D11D35" w:rsidP="0057496E">
            <w:pPr>
              <w:suppressAutoHyphens/>
              <w:autoSpaceDE w:val="0"/>
              <w:autoSpaceDN w:val="0"/>
              <w:adjustRightInd w:val="0"/>
              <w:rPr>
                <w:lang w:val="bg-BG"/>
              </w:rPr>
            </w:pPr>
            <w:r>
              <w:t>-</w:t>
            </w:r>
            <w:r w:rsidR="0057496E">
              <w:rPr>
                <w:lang w:val="bg-BG"/>
              </w:rPr>
              <w:t>Кожни фисури</w:t>
            </w:r>
          </w:p>
        </w:tc>
        <w:tc>
          <w:tcPr>
            <w:tcW w:w="1559" w:type="dxa"/>
          </w:tcPr>
          <w:p w14:paraId="0D58251A" w14:textId="0D8E30F1" w:rsidR="00D11D35" w:rsidRPr="006A113D" w:rsidRDefault="00D11D35" w:rsidP="0020575B">
            <w:pPr>
              <w:suppressAutoHyphens/>
              <w:autoSpaceDE w:val="0"/>
              <w:autoSpaceDN w:val="0"/>
              <w:adjustRightInd w:val="0"/>
            </w:pPr>
            <w:r>
              <w:t>-</w:t>
            </w:r>
            <w:r w:rsidR="0057496E">
              <w:t>Хирутизъм</w:t>
            </w:r>
          </w:p>
          <w:p w14:paraId="099410F8" w14:textId="7348DFC1" w:rsidR="00D11D35" w:rsidRPr="0057496E" w:rsidRDefault="00D11D35" w:rsidP="0020575B">
            <w:pPr>
              <w:suppressAutoHyphens/>
              <w:autoSpaceDE w:val="0"/>
              <w:autoSpaceDN w:val="0"/>
              <w:adjustRightInd w:val="0"/>
              <w:rPr>
                <w:lang w:val="bg-BG"/>
              </w:rPr>
            </w:pPr>
            <w:r>
              <w:t>-</w:t>
            </w:r>
            <w:r w:rsidR="0057496E">
              <w:rPr>
                <w:lang w:val="bg-BG"/>
              </w:rPr>
              <w:t>Промени на веждите</w:t>
            </w:r>
          </w:p>
          <w:p w14:paraId="105BA841" w14:textId="5E9A317C" w:rsidR="00D11D35" w:rsidRPr="0057496E" w:rsidRDefault="00D11D35" w:rsidP="0020575B">
            <w:pPr>
              <w:suppressAutoHyphens/>
              <w:autoSpaceDE w:val="0"/>
              <w:autoSpaceDN w:val="0"/>
              <w:adjustRightInd w:val="0"/>
              <w:rPr>
                <w:lang w:val="bg-BG"/>
              </w:rPr>
            </w:pPr>
            <w:r>
              <w:t>-</w:t>
            </w:r>
            <w:r w:rsidR="0057496E">
              <w:rPr>
                <w:lang w:val="bg-BG"/>
              </w:rPr>
              <w:t xml:space="preserve">Чупливи и хлабави нокти </w:t>
            </w:r>
          </w:p>
          <w:p w14:paraId="215B4046" w14:textId="12214BC6" w:rsidR="00D11D35" w:rsidRPr="006A113D" w:rsidRDefault="00D11D35" w:rsidP="0020575B">
            <w:pPr>
              <w:suppressAutoHyphens/>
              <w:autoSpaceDE w:val="0"/>
              <w:autoSpaceDN w:val="0"/>
              <w:adjustRightInd w:val="0"/>
            </w:pPr>
            <w:r>
              <w:t>-</w:t>
            </w:r>
            <w:r w:rsidR="0057496E">
              <w:rPr>
                <w:lang w:val="bg-BG"/>
              </w:rPr>
              <w:t xml:space="preserve">Леки кожни реакции, напр. хипер-пигментация </w:t>
            </w:r>
          </w:p>
        </w:tc>
        <w:tc>
          <w:tcPr>
            <w:tcW w:w="1417" w:type="dxa"/>
          </w:tcPr>
          <w:p w14:paraId="44BD710E" w14:textId="09778BEC" w:rsidR="00D11D35" w:rsidRPr="0057496E" w:rsidRDefault="00D11D35" w:rsidP="0057496E">
            <w:pPr>
              <w:suppressAutoHyphens/>
              <w:autoSpaceDE w:val="0"/>
              <w:autoSpaceDN w:val="0"/>
              <w:adjustRightInd w:val="0"/>
              <w:rPr>
                <w:lang w:val="bg-BG"/>
              </w:rPr>
            </w:pPr>
            <w:r w:rsidRPr="0085502A">
              <w:rPr>
                <w:lang w:val="es-ES_tradnl"/>
              </w:rPr>
              <w:t>-</w:t>
            </w:r>
            <w:r w:rsidR="0057496E">
              <w:rPr>
                <w:lang w:val="bg-BG"/>
              </w:rPr>
              <w:t xml:space="preserve">Синдром на палмарно-плантарна </w:t>
            </w:r>
            <w:r w:rsidR="0057496E" w:rsidRPr="0057496E">
              <w:rPr>
                <w:lang w:val="bg-BG"/>
              </w:rPr>
              <w:t>еритродиз</w:t>
            </w:r>
            <w:r w:rsidR="0057496E">
              <w:rPr>
                <w:lang w:val="bg-BG"/>
              </w:rPr>
              <w:t>-</w:t>
            </w:r>
            <w:r w:rsidR="0057496E" w:rsidRPr="0057496E">
              <w:rPr>
                <w:lang w:val="bg-BG"/>
              </w:rPr>
              <w:t>естезия</w:t>
            </w:r>
          </w:p>
        </w:tc>
        <w:tc>
          <w:tcPr>
            <w:tcW w:w="1701" w:type="dxa"/>
          </w:tcPr>
          <w:p w14:paraId="23E6508A" w14:textId="6182B35A" w:rsidR="00D11D35" w:rsidRPr="006A113D" w:rsidRDefault="00D11D35" w:rsidP="0057496E">
            <w:pPr>
              <w:suppressAutoHyphens/>
              <w:autoSpaceDE w:val="0"/>
              <w:autoSpaceDN w:val="0"/>
              <w:adjustRightInd w:val="0"/>
            </w:pPr>
            <w:r>
              <w:rPr>
                <w:lang w:val="sv-SE"/>
              </w:rPr>
              <w:t>-</w:t>
            </w:r>
            <w:r w:rsidR="0057496E">
              <w:rPr>
                <w:lang w:val="bg-BG"/>
              </w:rPr>
              <w:t xml:space="preserve">Синдром на </w:t>
            </w:r>
            <w:r w:rsidRPr="006A113D">
              <w:t>Stevens-Johnson /</w:t>
            </w:r>
            <w:r w:rsidR="0057496E">
              <w:t>токсична епидермална некролиза</w:t>
            </w:r>
            <w:r w:rsidRPr="006A113D">
              <w:rPr>
                <w:vertAlign w:val="superscript"/>
              </w:rPr>
              <w:t>7</w:t>
            </w:r>
          </w:p>
        </w:tc>
        <w:tc>
          <w:tcPr>
            <w:tcW w:w="1261" w:type="dxa"/>
          </w:tcPr>
          <w:p w14:paraId="55AC82D7" w14:textId="77777777" w:rsidR="00D11D35" w:rsidRDefault="00D11D35" w:rsidP="0020575B">
            <w:pPr>
              <w:suppressAutoHyphens/>
              <w:autoSpaceDE w:val="0"/>
              <w:autoSpaceDN w:val="0"/>
              <w:adjustRightInd w:val="0"/>
              <w:rPr>
                <w:lang w:val="sv-SE"/>
              </w:rPr>
            </w:pPr>
          </w:p>
        </w:tc>
      </w:tr>
      <w:tr w:rsidR="00D11D35" w:rsidRPr="006A113D" w14:paraId="60F6EF3B" w14:textId="77777777" w:rsidTr="0057047F">
        <w:trPr>
          <w:gridAfter w:val="1"/>
          <w:wAfter w:w="14" w:type="dxa"/>
          <w:trHeight w:val="507"/>
        </w:trPr>
        <w:tc>
          <w:tcPr>
            <w:tcW w:w="1452" w:type="dxa"/>
          </w:tcPr>
          <w:p w14:paraId="4CC10F36" w14:textId="05120EFA" w:rsidR="00D11D35" w:rsidRPr="00095651" w:rsidRDefault="00095651" w:rsidP="00095651">
            <w:pPr>
              <w:suppressAutoHyphens/>
              <w:autoSpaceDE w:val="0"/>
              <w:autoSpaceDN w:val="0"/>
              <w:adjustRightInd w:val="0"/>
              <w:rPr>
                <w:lang w:val="bg-BG"/>
              </w:rPr>
            </w:pPr>
            <w:r>
              <w:t xml:space="preserve">Нарушения на </w:t>
            </w:r>
            <w:r>
              <w:rPr>
                <w:lang w:val="bg-BG"/>
              </w:rPr>
              <w:t>бъбреците и пикочните пътища</w:t>
            </w:r>
          </w:p>
        </w:tc>
        <w:tc>
          <w:tcPr>
            <w:tcW w:w="1275" w:type="dxa"/>
          </w:tcPr>
          <w:p w14:paraId="25716249" w14:textId="77777777" w:rsidR="00D11D35" w:rsidRPr="006A113D" w:rsidRDefault="00D11D35" w:rsidP="0020575B">
            <w:pPr>
              <w:suppressAutoHyphens/>
              <w:autoSpaceDE w:val="0"/>
              <w:autoSpaceDN w:val="0"/>
              <w:adjustRightInd w:val="0"/>
            </w:pPr>
          </w:p>
        </w:tc>
        <w:tc>
          <w:tcPr>
            <w:tcW w:w="1560" w:type="dxa"/>
          </w:tcPr>
          <w:p w14:paraId="09D451EE" w14:textId="27C5C6C5" w:rsidR="00D11D35" w:rsidRPr="006A113D" w:rsidRDefault="00D11D35" w:rsidP="0057496E">
            <w:pPr>
              <w:suppressAutoHyphens/>
              <w:autoSpaceDE w:val="0"/>
              <w:autoSpaceDN w:val="0"/>
              <w:adjustRightInd w:val="0"/>
            </w:pPr>
            <w:r>
              <w:t>-</w:t>
            </w:r>
            <w:r w:rsidR="0057496E">
              <w:rPr>
                <w:lang w:val="bg-BG"/>
              </w:rPr>
              <w:t>Бъбречна недостатъч-ност</w:t>
            </w:r>
            <w:r w:rsidRPr="006A113D">
              <w:rPr>
                <w:position w:val="10"/>
              </w:rPr>
              <w:t>1</w:t>
            </w:r>
          </w:p>
        </w:tc>
        <w:tc>
          <w:tcPr>
            <w:tcW w:w="1559" w:type="dxa"/>
          </w:tcPr>
          <w:p w14:paraId="3157CEE9" w14:textId="086FDADF" w:rsidR="00D11D35" w:rsidRPr="006A113D" w:rsidRDefault="00D11D35" w:rsidP="0020575B">
            <w:pPr>
              <w:spacing w:line="262" w:lineRule="exact"/>
              <w:ind w:right="-20"/>
            </w:pPr>
            <w:r>
              <w:rPr>
                <w:position w:val="-1"/>
              </w:rPr>
              <w:t>-</w:t>
            </w:r>
            <w:r w:rsidR="0057496E">
              <w:rPr>
                <w:position w:val="-1"/>
                <w:lang w:val="bg-BG"/>
              </w:rPr>
              <w:t>Нефрит</w:t>
            </w:r>
            <w:r w:rsidRPr="006A113D">
              <w:rPr>
                <w:position w:val="9"/>
              </w:rPr>
              <w:t>1</w:t>
            </w:r>
          </w:p>
          <w:p w14:paraId="10A98402" w14:textId="286C8F7C" w:rsidR="00D11D35" w:rsidRPr="006A113D" w:rsidRDefault="00D11D35" w:rsidP="0020575B">
            <w:pPr>
              <w:suppressAutoHyphens/>
              <w:autoSpaceDE w:val="0"/>
              <w:autoSpaceDN w:val="0"/>
              <w:adjustRightInd w:val="0"/>
            </w:pPr>
            <w:r>
              <w:t>-</w:t>
            </w:r>
            <w:r w:rsidR="0057496E">
              <w:t>Протеин</w:t>
            </w:r>
            <w:r w:rsidR="0057496E">
              <w:rPr>
                <w:lang w:val="bg-BG"/>
              </w:rPr>
              <w:t>-</w:t>
            </w:r>
            <w:r w:rsidR="0057496E">
              <w:t>урия</w:t>
            </w:r>
            <w:r w:rsidRPr="006A113D">
              <w:rPr>
                <w:position w:val="10"/>
              </w:rPr>
              <w:t>1</w:t>
            </w:r>
          </w:p>
        </w:tc>
        <w:tc>
          <w:tcPr>
            <w:tcW w:w="1417" w:type="dxa"/>
          </w:tcPr>
          <w:p w14:paraId="5239FF84" w14:textId="77777777" w:rsidR="00D11D35" w:rsidRPr="006A113D" w:rsidRDefault="00D11D35" w:rsidP="0020575B">
            <w:pPr>
              <w:suppressAutoHyphens/>
              <w:autoSpaceDE w:val="0"/>
              <w:autoSpaceDN w:val="0"/>
              <w:adjustRightInd w:val="0"/>
            </w:pPr>
          </w:p>
        </w:tc>
        <w:tc>
          <w:tcPr>
            <w:tcW w:w="1701" w:type="dxa"/>
          </w:tcPr>
          <w:p w14:paraId="160C4D0A" w14:textId="77777777" w:rsidR="00D11D35" w:rsidRPr="006A113D" w:rsidRDefault="00D11D35" w:rsidP="0020575B">
            <w:pPr>
              <w:suppressAutoHyphens/>
              <w:autoSpaceDE w:val="0"/>
              <w:autoSpaceDN w:val="0"/>
              <w:adjustRightInd w:val="0"/>
            </w:pPr>
          </w:p>
        </w:tc>
        <w:tc>
          <w:tcPr>
            <w:tcW w:w="1261" w:type="dxa"/>
          </w:tcPr>
          <w:p w14:paraId="70F42330" w14:textId="77777777" w:rsidR="00D11D35" w:rsidRPr="006A113D" w:rsidRDefault="00D11D35" w:rsidP="0020575B">
            <w:pPr>
              <w:suppressAutoHyphens/>
              <w:autoSpaceDE w:val="0"/>
              <w:autoSpaceDN w:val="0"/>
              <w:adjustRightInd w:val="0"/>
            </w:pPr>
          </w:p>
        </w:tc>
      </w:tr>
    </w:tbl>
    <w:p w14:paraId="0AF5222F" w14:textId="77777777" w:rsidR="00992061" w:rsidRDefault="00992061">
      <w:pPr>
        <w:spacing w:line="1" w:lineRule="exact"/>
        <w:rPr>
          <w:rFonts w:eastAsia="Times New Roman"/>
          <w:sz w:val="26"/>
          <w:szCs w:val="26"/>
          <w:vertAlign w:val="superscript"/>
        </w:rPr>
      </w:pPr>
    </w:p>
    <w:p w14:paraId="25626997" w14:textId="64283B6F" w:rsidR="0057047F" w:rsidRPr="0070086C" w:rsidRDefault="0057047F">
      <w:pPr>
        <w:numPr>
          <w:ilvl w:val="0"/>
          <w:numId w:val="12"/>
        </w:numPr>
        <w:tabs>
          <w:tab w:val="left" w:pos="240"/>
        </w:tabs>
        <w:spacing w:line="184" w:lineRule="auto"/>
        <w:ind w:left="240" w:hanging="124"/>
        <w:rPr>
          <w:rFonts w:eastAsia="Times New Roman"/>
          <w:sz w:val="20"/>
          <w:szCs w:val="20"/>
        </w:rPr>
      </w:pPr>
      <w:r w:rsidRPr="0070086C">
        <w:rPr>
          <w:rFonts w:eastAsia="Times New Roman"/>
          <w:sz w:val="20"/>
          <w:szCs w:val="20"/>
        </w:rPr>
        <w:t>В клинично проучване стадий 3.</w:t>
      </w:r>
    </w:p>
    <w:p w14:paraId="792D1879" w14:textId="5492F8DF" w:rsidR="00992061" w:rsidRDefault="00D1402E">
      <w:pPr>
        <w:numPr>
          <w:ilvl w:val="0"/>
          <w:numId w:val="12"/>
        </w:numPr>
        <w:tabs>
          <w:tab w:val="left" w:pos="240"/>
        </w:tabs>
        <w:spacing w:line="184" w:lineRule="auto"/>
        <w:ind w:left="240" w:hanging="124"/>
        <w:rPr>
          <w:rFonts w:eastAsia="Times New Roman"/>
          <w:sz w:val="26"/>
          <w:szCs w:val="26"/>
          <w:vertAlign w:val="superscript"/>
        </w:rPr>
      </w:pPr>
      <w:r>
        <w:rPr>
          <w:rFonts w:eastAsia="Times New Roman"/>
          <w:sz w:val="20"/>
          <w:szCs w:val="20"/>
        </w:rPr>
        <w:lastRenderedPageBreak/>
        <w:t>Включително растеж на миглите навътре, прекомерен растеж и сгъстяване на миглите.</w:t>
      </w:r>
    </w:p>
    <w:p w14:paraId="5210CB06" w14:textId="77777777" w:rsidR="00992061" w:rsidRDefault="00992061">
      <w:pPr>
        <w:spacing w:line="1" w:lineRule="exact"/>
        <w:rPr>
          <w:rFonts w:eastAsia="Times New Roman"/>
          <w:sz w:val="26"/>
          <w:szCs w:val="26"/>
          <w:vertAlign w:val="superscript"/>
        </w:rPr>
      </w:pPr>
    </w:p>
    <w:p w14:paraId="2ACBA756" w14:textId="34867509" w:rsidR="00992061" w:rsidRPr="00142EB1" w:rsidRDefault="00D1402E" w:rsidP="00142EB1">
      <w:pPr>
        <w:numPr>
          <w:ilvl w:val="0"/>
          <w:numId w:val="12"/>
        </w:numPr>
        <w:tabs>
          <w:tab w:val="left" w:pos="238"/>
        </w:tabs>
        <w:spacing w:line="218" w:lineRule="auto"/>
        <w:ind w:left="300" w:right="-443" w:hanging="184"/>
        <w:rPr>
          <w:rFonts w:eastAsia="Times New Roman"/>
          <w:sz w:val="25"/>
          <w:szCs w:val="25"/>
          <w:vertAlign w:val="superscript"/>
        </w:rPr>
      </w:pPr>
      <w:r>
        <w:rPr>
          <w:rFonts w:eastAsia="Times New Roman"/>
          <w:sz w:val="19"/>
          <w:szCs w:val="19"/>
        </w:rPr>
        <w:t xml:space="preserve">Включително смъртни случаи </w:t>
      </w:r>
      <w:r w:rsidR="00BB0FDD">
        <w:rPr>
          <w:rFonts w:eastAsia="Times New Roman"/>
          <w:sz w:val="19"/>
          <w:szCs w:val="19"/>
        </w:rPr>
        <w:t xml:space="preserve">при пациенти, получаващи </w:t>
      </w:r>
      <w:r w:rsidR="00BB0FDD">
        <w:rPr>
          <w:rFonts w:eastAsia="Times New Roman"/>
          <w:sz w:val="19"/>
          <w:szCs w:val="19"/>
          <w:lang w:val="bg-BG"/>
        </w:rPr>
        <w:t>ерлотиниб</w:t>
      </w:r>
      <w:r>
        <w:rPr>
          <w:rFonts w:eastAsia="Times New Roman"/>
          <w:sz w:val="19"/>
          <w:szCs w:val="19"/>
        </w:rPr>
        <w:t xml:space="preserve"> за лечение на НДКРБД или други авансирали солидни тумори (вж. точка 4.4). По-висока честота е наблюдавана при пациенти в Япония</w:t>
      </w:r>
      <w:r w:rsidR="00142EB1">
        <w:rPr>
          <w:rFonts w:eastAsia="Times New Roman"/>
          <w:sz w:val="25"/>
          <w:szCs w:val="25"/>
          <w:vertAlign w:val="superscript"/>
          <w:lang w:val="bg-BG"/>
        </w:rPr>
        <w:t xml:space="preserve"> </w:t>
      </w:r>
      <w:r w:rsidRPr="00142EB1">
        <w:rPr>
          <w:rFonts w:eastAsia="Times New Roman"/>
          <w:sz w:val="20"/>
          <w:szCs w:val="20"/>
        </w:rPr>
        <w:t>(вж. точка 4.4).</w:t>
      </w:r>
    </w:p>
    <w:p w14:paraId="61DF48D6" w14:textId="77777777" w:rsidR="00992061" w:rsidRDefault="00D1402E">
      <w:pPr>
        <w:numPr>
          <w:ilvl w:val="0"/>
          <w:numId w:val="12"/>
        </w:numPr>
        <w:tabs>
          <w:tab w:val="left" w:pos="238"/>
        </w:tabs>
        <w:spacing w:line="209" w:lineRule="auto"/>
        <w:ind w:left="300" w:right="940" w:hanging="184"/>
        <w:rPr>
          <w:rFonts w:eastAsia="Times New Roman"/>
          <w:sz w:val="26"/>
          <w:szCs w:val="26"/>
          <w:vertAlign w:val="superscript"/>
        </w:rPr>
      </w:pPr>
      <w:r>
        <w:rPr>
          <w:rFonts w:eastAsia="Times New Roman"/>
          <w:sz w:val="20"/>
          <w:szCs w:val="20"/>
        </w:rPr>
        <w:t>В клиничните проучвания някои случаи са били свързани с едновременно приложение на варфарин, а някои с едновременна употреба на НСПВС (вж. точка 4.5).</w:t>
      </w:r>
    </w:p>
    <w:p w14:paraId="4DFA153B" w14:textId="77777777" w:rsidR="00992061" w:rsidRDefault="00D1402E" w:rsidP="00142EB1">
      <w:pPr>
        <w:numPr>
          <w:ilvl w:val="0"/>
          <w:numId w:val="12"/>
        </w:numPr>
        <w:tabs>
          <w:tab w:val="left" w:pos="237"/>
        </w:tabs>
        <w:spacing w:line="222" w:lineRule="auto"/>
        <w:ind w:left="300" w:right="-726" w:hanging="184"/>
        <w:rPr>
          <w:rFonts w:eastAsia="Times New Roman"/>
          <w:sz w:val="26"/>
          <w:szCs w:val="26"/>
          <w:vertAlign w:val="superscript"/>
        </w:rPr>
      </w:pPr>
      <w:r>
        <w:rPr>
          <w:rFonts w:eastAsia="Times New Roman"/>
          <w:sz w:val="20"/>
          <w:szCs w:val="20"/>
        </w:rPr>
        <w:t>Включително повишение на аланин аминотрансферазата [ALT], аспартат аминотрансферазата [AST] и билирубина. Тези нежелани реакции са много чести в клиничното проучване PA.3 и чести в клиничното проучване BR.21. Случаите са предимно леки до умерени по тежест, с преходен характер или свързани с чернодробни метастази.</w:t>
      </w:r>
    </w:p>
    <w:p w14:paraId="0E0D49F5" w14:textId="77777777" w:rsidR="00992061" w:rsidRDefault="00992061">
      <w:pPr>
        <w:spacing w:line="2" w:lineRule="exact"/>
        <w:rPr>
          <w:rFonts w:eastAsia="Times New Roman"/>
          <w:sz w:val="26"/>
          <w:szCs w:val="26"/>
          <w:vertAlign w:val="superscript"/>
        </w:rPr>
      </w:pPr>
    </w:p>
    <w:p w14:paraId="2EDB0775" w14:textId="42500054" w:rsidR="00992061" w:rsidRDefault="00D1402E" w:rsidP="00142EB1">
      <w:pPr>
        <w:numPr>
          <w:ilvl w:val="0"/>
          <w:numId w:val="12"/>
        </w:numPr>
        <w:tabs>
          <w:tab w:val="left" w:pos="237"/>
        </w:tabs>
        <w:spacing w:line="209" w:lineRule="auto"/>
        <w:ind w:left="300" w:right="-584" w:hanging="184"/>
        <w:rPr>
          <w:rFonts w:eastAsia="Times New Roman"/>
          <w:sz w:val="26"/>
          <w:szCs w:val="26"/>
          <w:vertAlign w:val="superscript"/>
        </w:rPr>
      </w:pPr>
      <w:r>
        <w:rPr>
          <w:rFonts w:eastAsia="Times New Roman"/>
          <w:sz w:val="20"/>
          <w:szCs w:val="20"/>
        </w:rPr>
        <w:t xml:space="preserve">Включително смъртни случаи. </w:t>
      </w:r>
      <w:r w:rsidR="0070086C">
        <w:rPr>
          <w:rFonts w:eastAsia="Times New Roman"/>
          <w:sz w:val="20"/>
          <w:szCs w:val="20"/>
          <w:lang w:val="bg-BG"/>
        </w:rPr>
        <w:t>Рисковите</w:t>
      </w:r>
      <w:r w:rsidR="0070086C">
        <w:rPr>
          <w:rFonts w:eastAsia="Times New Roman"/>
          <w:sz w:val="20"/>
          <w:szCs w:val="20"/>
        </w:rPr>
        <w:t xml:space="preserve"> </w:t>
      </w:r>
      <w:r>
        <w:rPr>
          <w:rFonts w:eastAsia="Times New Roman"/>
          <w:sz w:val="20"/>
          <w:szCs w:val="20"/>
        </w:rPr>
        <w:t>фактори включват предшестващо чернодробно заболяване или едновременно лечение с хепатотоксични лекарства (вж. точка 4.4).</w:t>
      </w:r>
    </w:p>
    <w:p w14:paraId="23B9E9F9" w14:textId="4F6ED9E9" w:rsidR="00992061" w:rsidRPr="0057047F" w:rsidRDefault="00D1402E">
      <w:pPr>
        <w:numPr>
          <w:ilvl w:val="0"/>
          <w:numId w:val="12"/>
        </w:numPr>
        <w:tabs>
          <w:tab w:val="left" w:pos="240"/>
        </w:tabs>
        <w:spacing w:line="216" w:lineRule="auto"/>
        <w:ind w:left="240" w:hanging="124"/>
        <w:rPr>
          <w:rFonts w:eastAsia="Times New Roman"/>
          <w:sz w:val="26"/>
          <w:szCs w:val="26"/>
          <w:vertAlign w:val="superscript"/>
        </w:rPr>
      </w:pPr>
      <w:r>
        <w:rPr>
          <w:rFonts w:eastAsia="Times New Roman"/>
          <w:sz w:val="20"/>
          <w:szCs w:val="20"/>
        </w:rPr>
        <w:t>Включително смъртни случаи (вж. точка 4.4).</w:t>
      </w:r>
    </w:p>
    <w:p w14:paraId="6AAAA4CC" w14:textId="6378D050" w:rsidR="0057047F" w:rsidRPr="00890900" w:rsidRDefault="0070086C" w:rsidP="0070086C">
      <w:pPr>
        <w:numPr>
          <w:ilvl w:val="0"/>
          <w:numId w:val="12"/>
        </w:numPr>
        <w:tabs>
          <w:tab w:val="left" w:pos="240"/>
        </w:tabs>
        <w:spacing w:line="216" w:lineRule="auto"/>
        <w:ind w:left="240" w:hanging="124"/>
        <w:rPr>
          <w:rFonts w:eastAsia="Times New Roman"/>
          <w:sz w:val="20"/>
          <w:szCs w:val="20"/>
        </w:rPr>
      </w:pPr>
      <w:r w:rsidRPr="00890900">
        <w:rPr>
          <w:rFonts w:eastAsia="Times New Roman"/>
          <w:sz w:val="20"/>
          <w:szCs w:val="20"/>
        </w:rPr>
        <w:t>От наличните данни не може да бъде направена оценка.</w:t>
      </w:r>
    </w:p>
    <w:p w14:paraId="2E51C076" w14:textId="684F73F1" w:rsidR="00992061" w:rsidRDefault="00992061">
      <w:pPr>
        <w:spacing w:line="20" w:lineRule="exact"/>
        <w:rPr>
          <w:sz w:val="20"/>
          <w:szCs w:val="20"/>
        </w:rPr>
      </w:pPr>
    </w:p>
    <w:p w14:paraId="115141E4" w14:textId="77777777" w:rsidR="00992061" w:rsidRDefault="00992061">
      <w:pPr>
        <w:spacing w:line="171" w:lineRule="exact"/>
        <w:rPr>
          <w:sz w:val="20"/>
          <w:szCs w:val="20"/>
        </w:rPr>
      </w:pPr>
    </w:p>
    <w:p w14:paraId="75598531" w14:textId="77777777" w:rsidR="00992061" w:rsidRDefault="00D1402E">
      <w:pPr>
        <w:ind w:left="120"/>
        <w:rPr>
          <w:sz w:val="20"/>
          <w:szCs w:val="20"/>
        </w:rPr>
      </w:pPr>
      <w:r>
        <w:rPr>
          <w:rFonts w:eastAsia="Times New Roman"/>
          <w:u w:val="single"/>
        </w:rPr>
        <w:t>Съобщаване на подозирани нежелани реакции</w:t>
      </w:r>
    </w:p>
    <w:p w14:paraId="06579FF1" w14:textId="77777777" w:rsidR="00992061" w:rsidRDefault="00992061">
      <w:pPr>
        <w:spacing w:line="1" w:lineRule="exact"/>
        <w:rPr>
          <w:sz w:val="20"/>
          <w:szCs w:val="20"/>
        </w:rPr>
      </w:pPr>
    </w:p>
    <w:p w14:paraId="6A9F8CD5" w14:textId="742172FF" w:rsidR="00812217" w:rsidRDefault="00D1402E" w:rsidP="00142EB1">
      <w:pPr>
        <w:tabs>
          <w:tab w:val="left" w:pos="8222"/>
        </w:tabs>
        <w:spacing w:line="249" w:lineRule="auto"/>
        <w:ind w:left="120" w:right="-301"/>
        <w:rPr>
          <w:rFonts w:eastAsia="Times New Roman"/>
          <w:lang w:val="bg-BG"/>
        </w:rPr>
      </w:pPr>
      <w:r>
        <w:rPr>
          <w:rFonts w:eastAsia="Times New Roman"/>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812217">
        <w:rPr>
          <w:rFonts w:eastAsia="Times New Roman"/>
          <w:lang w:val="bg-BG"/>
        </w:rPr>
        <w:t>:</w:t>
      </w:r>
    </w:p>
    <w:p w14:paraId="42459C0B" w14:textId="77777777" w:rsidR="006F57DC" w:rsidRDefault="006F57DC" w:rsidP="00142EB1">
      <w:pPr>
        <w:tabs>
          <w:tab w:val="left" w:pos="8222"/>
        </w:tabs>
        <w:spacing w:line="249" w:lineRule="auto"/>
        <w:ind w:left="120" w:right="-301"/>
        <w:rPr>
          <w:rFonts w:eastAsia="Times New Roman"/>
          <w:lang w:val="bg-BG"/>
        </w:rPr>
      </w:pPr>
    </w:p>
    <w:p w14:paraId="173A3BDE" w14:textId="1D025268" w:rsidR="00812217" w:rsidRPr="00812217" w:rsidRDefault="00812217" w:rsidP="00142EB1">
      <w:pPr>
        <w:spacing w:line="206" w:lineRule="exact"/>
        <w:ind w:firstLine="120"/>
      </w:pPr>
      <w:r w:rsidRPr="00812217">
        <w:t>Изпълнителна агенция по лекарствата</w:t>
      </w:r>
    </w:p>
    <w:p w14:paraId="30178446" w14:textId="77777777" w:rsidR="00812217" w:rsidRPr="00812217" w:rsidRDefault="00812217" w:rsidP="00142EB1">
      <w:pPr>
        <w:spacing w:line="206" w:lineRule="exact"/>
        <w:ind w:firstLine="120"/>
      </w:pPr>
      <w:r w:rsidRPr="00812217">
        <w:t xml:space="preserve">ул. „Дамян Груев” № 8 </w:t>
      </w:r>
    </w:p>
    <w:p w14:paraId="113A35FE" w14:textId="77777777" w:rsidR="00812217" w:rsidRPr="00812217" w:rsidRDefault="00812217" w:rsidP="00142EB1">
      <w:pPr>
        <w:spacing w:line="206" w:lineRule="exact"/>
        <w:ind w:firstLine="120"/>
      </w:pPr>
      <w:r w:rsidRPr="00812217">
        <w:t xml:space="preserve">1303 София </w:t>
      </w:r>
    </w:p>
    <w:p w14:paraId="01360C79" w14:textId="77777777" w:rsidR="00812217" w:rsidRPr="00812217" w:rsidRDefault="00812217" w:rsidP="00142EB1">
      <w:pPr>
        <w:spacing w:line="206" w:lineRule="exact"/>
        <w:ind w:firstLine="120"/>
      </w:pPr>
      <w:r>
        <w:rPr>
          <w:lang w:val="bg-BG"/>
        </w:rPr>
        <w:t>т</w:t>
      </w:r>
      <w:r w:rsidRPr="00812217">
        <w:t>eл.: +359 2 8903417</w:t>
      </w:r>
    </w:p>
    <w:p w14:paraId="11891E1B" w14:textId="77777777" w:rsidR="00992061" w:rsidRDefault="00812217" w:rsidP="00142EB1">
      <w:pPr>
        <w:spacing w:line="206" w:lineRule="exact"/>
        <w:ind w:firstLine="120"/>
      </w:pPr>
      <w:r w:rsidRPr="00812217">
        <w:t xml:space="preserve">уебсайт: </w:t>
      </w:r>
      <w:hyperlink r:id="rId7" w:history="1">
        <w:r w:rsidRPr="008C541A">
          <w:rPr>
            <w:rStyle w:val="Hyperlink"/>
          </w:rPr>
          <w:t>www.bda.bg</w:t>
        </w:r>
      </w:hyperlink>
    </w:p>
    <w:p w14:paraId="5454A25D" w14:textId="77777777" w:rsidR="00812217" w:rsidRPr="00812217" w:rsidRDefault="00812217" w:rsidP="00812217">
      <w:pPr>
        <w:spacing w:line="206" w:lineRule="exact"/>
      </w:pPr>
    </w:p>
    <w:p w14:paraId="234E3C4F" w14:textId="77777777" w:rsidR="004A14D0" w:rsidRDefault="004A14D0">
      <w:pPr>
        <w:tabs>
          <w:tab w:val="left" w:pos="660"/>
        </w:tabs>
        <w:ind w:left="120"/>
        <w:rPr>
          <w:rFonts w:eastAsia="Times New Roman"/>
          <w:b/>
          <w:bCs/>
        </w:rPr>
      </w:pPr>
    </w:p>
    <w:p w14:paraId="73F9C6CB" w14:textId="77777777" w:rsidR="004A14D0" w:rsidRDefault="004A14D0">
      <w:pPr>
        <w:tabs>
          <w:tab w:val="left" w:pos="660"/>
        </w:tabs>
        <w:ind w:left="120"/>
        <w:rPr>
          <w:rFonts w:eastAsia="Times New Roman"/>
          <w:b/>
          <w:bCs/>
        </w:rPr>
      </w:pPr>
    </w:p>
    <w:p w14:paraId="1C26E7B7" w14:textId="59B5F5AE" w:rsidR="004A14D0" w:rsidRDefault="004A14D0">
      <w:pPr>
        <w:tabs>
          <w:tab w:val="left" w:pos="660"/>
        </w:tabs>
        <w:ind w:left="120"/>
        <w:rPr>
          <w:rFonts w:eastAsia="Times New Roman"/>
          <w:b/>
          <w:bCs/>
        </w:rPr>
      </w:pPr>
    </w:p>
    <w:p w14:paraId="349EF060" w14:textId="77777777" w:rsidR="004A14D0" w:rsidRDefault="004A14D0">
      <w:pPr>
        <w:tabs>
          <w:tab w:val="left" w:pos="660"/>
        </w:tabs>
        <w:ind w:left="120"/>
        <w:rPr>
          <w:rFonts w:eastAsia="Times New Roman"/>
          <w:b/>
          <w:bCs/>
        </w:rPr>
      </w:pPr>
    </w:p>
    <w:p w14:paraId="4DE5A3BC" w14:textId="20529B92" w:rsidR="00992061" w:rsidRDefault="00D1402E">
      <w:pPr>
        <w:tabs>
          <w:tab w:val="left" w:pos="660"/>
        </w:tabs>
        <w:ind w:left="120"/>
        <w:rPr>
          <w:sz w:val="20"/>
          <w:szCs w:val="20"/>
        </w:rPr>
      </w:pPr>
      <w:r>
        <w:rPr>
          <w:rFonts w:eastAsia="Times New Roman"/>
          <w:b/>
          <w:bCs/>
        </w:rPr>
        <w:t>4.9</w:t>
      </w:r>
      <w:r>
        <w:rPr>
          <w:sz w:val="20"/>
          <w:szCs w:val="20"/>
        </w:rPr>
        <w:tab/>
      </w:r>
      <w:r>
        <w:rPr>
          <w:rFonts w:eastAsia="Times New Roman"/>
          <w:b/>
          <w:bCs/>
          <w:sz w:val="21"/>
          <w:szCs w:val="21"/>
        </w:rPr>
        <w:t>Предозиране</w:t>
      </w:r>
    </w:p>
    <w:p w14:paraId="3F946866" w14:textId="77777777" w:rsidR="004A14D0" w:rsidRDefault="004A14D0">
      <w:pPr>
        <w:spacing w:line="250" w:lineRule="exact"/>
        <w:rPr>
          <w:sz w:val="20"/>
          <w:szCs w:val="20"/>
        </w:rPr>
      </w:pPr>
    </w:p>
    <w:p w14:paraId="62BA3445" w14:textId="77777777" w:rsidR="00992061" w:rsidRDefault="00D1402E" w:rsidP="00B37830">
      <w:pPr>
        <w:rPr>
          <w:sz w:val="20"/>
          <w:szCs w:val="20"/>
        </w:rPr>
      </w:pPr>
      <w:r>
        <w:rPr>
          <w:rFonts w:eastAsia="Times New Roman"/>
          <w:u w:val="single"/>
        </w:rPr>
        <w:t>Симптоми</w:t>
      </w:r>
    </w:p>
    <w:p w14:paraId="1C741B0D" w14:textId="77777777" w:rsidR="00992061" w:rsidRDefault="00992061">
      <w:pPr>
        <w:spacing w:line="1" w:lineRule="exact"/>
        <w:rPr>
          <w:sz w:val="20"/>
          <w:szCs w:val="20"/>
        </w:rPr>
      </w:pPr>
    </w:p>
    <w:p w14:paraId="2D3E8F5A" w14:textId="51F142B7" w:rsidR="00992061" w:rsidRPr="00812217" w:rsidRDefault="00142EB1" w:rsidP="00142EB1">
      <w:pPr>
        <w:ind w:right="-442"/>
      </w:pPr>
      <w:r>
        <w:rPr>
          <w:rFonts w:eastAsia="Times New Roman"/>
        </w:rPr>
        <w:t>Единични перорални дози ерлотиниб</w:t>
      </w:r>
      <w:r w:rsidR="00D1402E" w:rsidRPr="00812217">
        <w:rPr>
          <w:rFonts w:eastAsia="Times New Roman"/>
        </w:rPr>
        <w:t xml:space="preserve"> до 1000 mg ерлотиниб при здрави индивиди и до 1600 mg при пациенти с рак са се понасяли добре. Многократно приложение на дози от 200 mg два пъти</w:t>
      </w:r>
      <w:bookmarkStart w:id="12" w:name="page15"/>
      <w:bookmarkEnd w:id="12"/>
      <w:r w:rsidR="00812217">
        <w:rPr>
          <w:lang w:val="bg-BG"/>
        </w:rPr>
        <w:t xml:space="preserve"> д</w:t>
      </w:r>
      <w:r w:rsidR="00D1402E">
        <w:rPr>
          <w:rFonts w:eastAsia="Times New Roman"/>
        </w:rPr>
        <w:t xml:space="preserve">невно при здрави индивиди са се понасяли зле само след няколко дни на приложение. Въз основа на данните от тези проучвания, тежки нежелани </w:t>
      </w:r>
      <w:proofErr w:type="gramStart"/>
      <w:r w:rsidR="00D1402E">
        <w:rPr>
          <w:rFonts w:eastAsia="Times New Roman"/>
        </w:rPr>
        <w:t>реакции ,</w:t>
      </w:r>
      <w:proofErr w:type="gramEnd"/>
      <w:r w:rsidR="00D1402E">
        <w:rPr>
          <w:rFonts w:eastAsia="Times New Roman"/>
        </w:rPr>
        <w:t xml:space="preserve"> като диария, обрив и вероятно повишена активност на чернодробните аминотрансферази може да възникнат при приложение на продукта в дози по-високи от препоръчителната.</w:t>
      </w:r>
    </w:p>
    <w:p w14:paraId="540E2A10" w14:textId="77777777" w:rsidR="00992061" w:rsidRDefault="00992061">
      <w:pPr>
        <w:spacing w:line="196" w:lineRule="exact"/>
        <w:rPr>
          <w:sz w:val="20"/>
          <w:szCs w:val="20"/>
        </w:rPr>
      </w:pPr>
    </w:p>
    <w:p w14:paraId="3E7094C2" w14:textId="77777777" w:rsidR="00992061" w:rsidRDefault="00D1402E">
      <w:pPr>
        <w:ind w:left="4"/>
        <w:rPr>
          <w:sz w:val="20"/>
          <w:szCs w:val="20"/>
        </w:rPr>
      </w:pPr>
      <w:r>
        <w:rPr>
          <w:rFonts w:eastAsia="Times New Roman"/>
          <w:u w:val="single"/>
        </w:rPr>
        <w:t>Овладяване</w:t>
      </w:r>
    </w:p>
    <w:p w14:paraId="0007B45E" w14:textId="77777777" w:rsidR="00992061" w:rsidRDefault="00992061">
      <w:pPr>
        <w:spacing w:line="1" w:lineRule="exact"/>
        <w:rPr>
          <w:sz w:val="20"/>
          <w:szCs w:val="20"/>
        </w:rPr>
      </w:pPr>
    </w:p>
    <w:p w14:paraId="429F1E1D" w14:textId="2BCFB46C" w:rsidR="00992061" w:rsidRDefault="00D1402E" w:rsidP="00142EB1">
      <w:pPr>
        <w:ind w:left="6" w:right="-584"/>
        <w:rPr>
          <w:sz w:val="20"/>
          <w:szCs w:val="20"/>
        </w:rPr>
      </w:pPr>
      <w:r>
        <w:rPr>
          <w:rFonts w:eastAsia="Times New Roman"/>
        </w:rPr>
        <w:t xml:space="preserve">При подозрение за </w:t>
      </w:r>
      <w:r w:rsidR="00142EB1">
        <w:rPr>
          <w:rFonts w:eastAsia="Times New Roman"/>
        </w:rPr>
        <w:t xml:space="preserve">предозиране, лечението с </w:t>
      </w:r>
      <w:r w:rsidR="00142EB1">
        <w:rPr>
          <w:rFonts w:eastAsia="Times New Roman"/>
          <w:lang w:val="bg-BG"/>
        </w:rPr>
        <w:t>ерлотиниб</w:t>
      </w:r>
      <w:r>
        <w:rPr>
          <w:rFonts w:eastAsia="Times New Roman"/>
        </w:rPr>
        <w:t xml:space="preserve"> трябва да се преустанови и да се започне симптоматично лечение.</w:t>
      </w:r>
    </w:p>
    <w:p w14:paraId="6D531F91" w14:textId="77777777" w:rsidR="00992061" w:rsidRDefault="00992061">
      <w:pPr>
        <w:spacing w:line="200" w:lineRule="exact"/>
        <w:rPr>
          <w:sz w:val="20"/>
          <w:szCs w:val="20"/>
        </w:rPr>
      </w:pPr>
    </w:p>
    <w:p w14:paraId="28EEEDC5" w14:textId="77777777" w:rsidR="00992061" w:rsidRDefault="00992061">
      <w:pPr>
        <w:spacing w:line="222" w:lineRule="exact"/>
        <w:rPr>
          <w:sz w:val="20"/>
          <w:szCs w:val="20"/>
        </w:rPr>
      </w:pPr>
    </w:p>
    <w:p w14:paraId="71246E36" w14:textId="77777777" w:rsidR="00992061" w:rsidRDefault="00D1402E">
      <w:pPr>
        <w:numPr>
          <w:ilvl w:val="0"/>
          <w:numId w:val="13"/>
        </w:numPr>
        <w:tabs>
          <w:tab w:val="left" w:pos="564"/>
        </w:tabs>
        <w:ind w:left="564" w:hanging="564"/>
        <w:rPr>
          <w:rFonts w:eastAsia="Times New Roman"/>
          <w:b/>
          <w:bCs/>
        </w:rPr>
      </w:pPr>
      <w:r>
        <w:rPr>
          <w:rFonts w:eastAsia="Times New Roman"/>
          <w:b/>
          <w:bCs/>
        </w:rPr>
        <w:t>ФАРМАКОЛОГИЧНИ СВОЙСТВА</w:t>
      </w:r>
    </w:p>
    <w:p w14:paraId="1DA5110B" w14:textId="77777777" w:rsidR="00992061" w:rsidRDefault="00992061">
      <w:pPr>
        <w:spacing w:line="251" w:lineRule="exact"/>
        <w:rPr>
          <w:sz w:val="20"/>
          <w:szCs w:val="20"/>
        </w:rPr>
      </w:pPr>
    </w:p>
    <w:p w14:paraId="608B9D8C" w14:textId="77777777" w:rsidR="00992061" w:rsidRDefault="00D1402E">
      <w:pPr>
        <w:tabs>
          <w:tab w:val="left" w:pos="543"/>
        </w:tabs>
        <w:ind w:left="4"/>
        <w:rPr>
          <w:sz w:val="20"/>
          <w:szCs w:val="20"/>
        </w:rPr>
      </w:pPr>
      <w:r>
        <w:rPr>
          <w:rFonts w:eastAsia="Times New Roman"/>
          <w:b/>
          <w:bCs/>
        </w:rPr>
        <w:t>5.1</w:t>
      </w:r>
      <w:r>
        <w:rPr>
          <w:sz w:val="20"/>
          <w:szCs w:val="20"/>
        </w:rPr>
        <w:tab/>
      </w:r>
      <w:r>
        <w:rPr>
          <w:rFonts w:eastAsia="Times New Roman"/>
          <w:b/>
          <w:bCs/>
        </w:rPr>
        <w:t>Фармакодинамични свойства</w:t>
      </w:r>
    </w:p>
    <w:p w14:paraId="6727F9CB" w14:textId="77777777" w:rsidR="00992061" w:rsidRDefault="00992061">
      <w:pPr>
        <w:spacing w:line="254" w:lineRule="exact"/>
        <w:rPr>
          <w:sz w:val="20"/>
          <w:szCs w:val="20"/>
        </w:rPr>
      </w:pPr>
    </w:p>
    <w:p w14:paraId="03A6DD35" w14:textId="77777777" w:rsidR="00CB4984" w:rsidRDefault="00D1402E" w:rsidP="00CB4984">
      <w:pPr>
        <w:ind w:left="4" w:right="-584"/>
        <w:rPr>
          <w:rFonts w:eastAsia="Times New Roman"/>
        </w:rPr>
      </w:pPr>
      <w:r w:rsidRPr="00CB4984">
        <w:rPr>
          <w:rFonts w:eastAsia="Times New Roman"/>
        </w:rPr>
        <w:t xml:space="preserve">Фармакотерапевтична група: антинеопластичен продукт, протеин киназен инхибитор, </w:t>
      </w:r>
    </w:p>
    <w:p w14:paraId="3380E26B" w14:textId="77777777" w:rsidR="00992061" w:rsidRPr="00CB4984" w:rsidRDefault="00D1402E" w:rsidP="00142EB1">
      <w:pPr>
        <w:ind w:left="4" w:right="-584"/>
      </w:pPr>
      <w:r w:rsidRPr="00CB4984">
        <w:rPr>
          <w:rFonts w:eastAsia="Times New Roman"/>
        </w:rPr>
        <w:t>ATC код:</w:t>
      </w:r>
      <w:r w:rsidR="00CB4984">
        <w:rPr>
          <w:lang w:val="bg-BG"/>
        </w:rPr>
        <w:t xml:space="preserve"> </w:t>
      </w:r>
      <w:r w:rsidRPr="00CB4984">
        <w:rPr>
          <w:rFonts w:eastAsia="Times New Roman"/>
        </w:rPr>
        <w:t>L01EB02</w:t>
      </w:r>
    </w:p>
    <w:p w14:paraId="727AE422" w14:textId="77777777" w:rsidR="00992061" w:rsidRPr="00CB4984" w:rsidRDefault="00992061">
      <w:pPr>
        <w:spacing w:line="251" w:lineRule="exact"/>
      </w:pPr>
    </w:p>
    <w:p w14:paraId="6F8ECE35" w14:textId="77777777" w:rsidR="00992061" w:rsidRPr="00CB4984" w:rsidRDefault="00D1402E" w:rsidP="00CB4984">
      <w:pPr>
        <w:ind w:left="4" w:right="-584"/>
      </w:pPr>
      <w:r w:rsidRPr="00CB4984">
        <w:rPr>
          <w:rFonts w:eastAsia="Times New Roman"/>
          <w:u w:val="single"/>
        </w:rPr>
        <w:t>Механизъм на действие</w:t>
      </w:r>
    </w:p>
    <w:p w14:paraId="5489A9C9" w14:textId="77777777" w:rsidR="00992061" w:rsidRPr="00CB4984" w:rsidRDefault="00992061">
      <w:pPr>
        <w:spacing w:line="1" w:lineRule="exact"/>
      </w:pPr>
    </w:p>
    <w:p w14:paraId="40435877" w14:textId="77777777" w:rsidR="00992061" w:rsidRPr="00CB4984" w:rsidRDefault="00D1402E" w:rsidP="00142EB1">
      <w:pPr>
        <w:ind w:left="6" w:right="403"/>
      </w:pPr>
      <w:r w:rsidRPr="00CB4984">
        <w:rPr>
          <w:rFonts w:eastAsia="Times New Roman"/>
        </w:rPr>
        <w:t>Ерлотиниб е инхибитор на тирозин киназата на рецептора на епидермалния растежен фактор/ човешкия рецептор на епидермалния растежен фактор тип 1 (EGFR, известен и като HER1). Ерлотиниб мощно инхибира интрацелуларното фосфорилиране на EGFR. EGFR се експресира върху клетъчната повърхност на нормалните и раковите клетки. В неклинични модели инхибирането на фосфотирозина на EGFR води до клетъчна стаза и/или смърт.</w:t>
      </w:r>
    </w:p>
    <w:p w14:paraId="72A59BE7" w14:textId="77777777" w:rsidR="00992061" w:rsidRPr="00CB4984" w:rsidRDefault="00992061">
      <w:pPr>
        <w:spacing w:line="193" w:lineRule="exact"/>
      </w:pPr>
    </w:p>
    <w:p w14:paraId="565AE27B" w14:textId="77777777" w:rsidR="00992061" w:rsidRPr="00CB4984" w:rsidRDefault="00D1402E">
      <w:pPr>
        <w:spacing w:line="245" w:lineRule="auto"/>
        <w:ind w:left="4" w:right="180"/>
      </w:pPr>
      <w:r w:rsidRPr="00CB4984">
        <w:rPr>
          <w:rFonts w:eastAsia="Times New Roman"/>
        </w:rPr>
        <w:t>EGFR мутациите могат да доведат до конститутивно активиране на сигналните пътища на анти-апоптоза и пролиферация. Мощната ефективност на ерлотиниб при блокиране на EGFR-</w:t>
      </w:r>
      <w:r w:rsidRPr="00CB4984">
        <w:rPr>
          <w:rFonts w:eastAsia="Times New Roman"/>
        </w:rPr>
        <w:lastRenderedPageBreak/>
        <w:t>медиираното сигнализиране при тези тумори, положителни за EGFR мутация, се отдава на здравото свързване на ерлотиниб с мястото на свързване на АТФ в мутиралия киназен домейн на EGFR. Поради блокирането на междинното сигнализиране, пролиферацията на клетките се спира и се индуцира клетъчна смърт посредством вътрешно присъщ апоптозен път. Наблюдавана е туморна регресия при модели на мишки с подсилена експресия на тези EGFR активиращи мутации.</w:t>
      </w:r>
    </w:p>
    <w:p w14:paraId="77AF625F" w14:textId="77777777" w:rsidR="00992061" w:rsidRDefault="00992061">
      <w:pPr>
        <w:spacing w:line="210" w:lineRule="exact"/>
        <w:rPr>
          <w:sz w:val="20"/>
          <w:szCs w:val="20"/>
        </w:rPr>
      </w:pPr>
    </w:p>
    <w:p w14:paraId="1E5DC09D" w14:textId="77777777" w:rsidR="00992061" w:rsidRDefault="00D1402E">
      <w:pPr>
        <w:ind w:left="4"/>
        <w:rPr>
          <w:sz w:val="20"/>
          <w:szCs w:val="20"/>
        </w:rPr>
      </w:pPr>
      <w:r>
        <w:rPr>
          <w:rFonts w:eastAsia="Times New Roman"/>
          <w:u w:val="single"/>
        </w:rPr>
        <w:t>Клинична ефикасност</w:t>
      </w:r>
    </w:p>
    <w:p w14:paraId="0DB3024F" w14:textId="77777777" w:rsidR="00992061" w:rsidRDefault="00992061">
      <w:pPr>
        <w:spacing w:line="260" w:lineRule="exact"/>
        <w:rPr>
          <w:sz w:val="20"/>
          <w:szCs w:val="20"/>
        </w:rPr>
      </w:pPr>
    </w:p>
    <w:p w14:paraId="276C37D0" w14:textId="1CF24856" w:rsidR="00992061" w:rsidRPr="00142EB1" w:rsidRDefault="00D1402E">
      <w:pPr>
        <w:spacing w:line="273" w:lineRule="auto"/>
        <w:ind w:left="4" w:right="40"/>
        <w:rPr>
          <w:sz w:val="20"/>
          <w:szCs w:val="20"/>
        </w:rPr>
      </w:pPr>
      <w:r w:rsidRPr="00142EB1">
        <w:rPr>
          <w:rFonts w:eastAsia="Times New Roman"/>
          <w:iCs/>
          <w:u w:val="single"/>
        </w:rPr>
        <w:t xml:space="preserve">Първа линия на лечение на недребноклетъчен рак на белите дробове (НДКРБД) при пациенти с </w:t>
      </w:r>
      <w:r w:rsidR="00142EB1">
        <w:rPr>
          <w:rFonts w:eastAsia="Times New Roman"/>
          <w:iCs/>
          <w:u w:val="single"/>
        </w:rPr>
        <w:t>EGFR активиращи мутации (ерлотиниб</w:t>
      </w:r>
      <w:r w:rsidRPr="00142EB1">
        <w:rPr>
          <w:rFonts w:eastAsia="Times New Roman"/>
          <w:iCs/>
          <w:u w:val="single"/>
        </w:rPr>
        <w:t xml:space="preserve"> приложен като монотерапия)</w:t>
      </w:r>
    </w:p>
    <w:p w14:paraId="7DA5F95B" w14:textId="77777777" w:rsidR="00992061" w:rsidRDefault="00992061">
      <w:pPr>
        <w:spacing w:line="179" w:lineRule="exact"/>
        <w:rPr>
          <w:sz w:val="20"/>
          <w:szCs w:val="20"/>
        </w:rPr>
      </w:pPr>
    </w:p>
    <w:p w14:paraId="635C0D3F" w14:textId="2513878C" w:rsidR="00992061" w:rsidRDefault="00142EB1">
      <w:pPr>
        <w:spacing w:line="245" w:lineRule="auto"/>
        <w:ind w:left="4" w:right="40"/>
        <w:rPr>
          <w:sz w:val="20"/>
          <w:szCs w:val="20"/>
        </w:rPr>
      </w:pPr>
      <w:r>
        <w:rPr>
          <w:rFonts w:eastAsia="Times New Roman"/>
        </w:rPr>
        <w:t>Ефикасността на ерлотиниб</w:t>
      </w:r>
      <w:r w:rsidR="00D1402E">
        <w:rPr>
          <w:rFonts w:eastAsia="Times New Roman"/>
        </w:rPr>
        <w:t xml:space="preserve"> като лечение от първа линия на пациенти с НДКРБД с EGFR активиращи мутации е доказана в едно рандомизирано, открито клинично изпитване фаза III (ML20650, EURTAC). Това проучване е проведено при пациенти от бялата раса с метастазирал или локално авансирал НДКРБД (стадий IIIB и IV), които не са получавали преди това химиотерапия или каквато и да е системна противотуморна терапия за своето напреднало заболяване и които имат мутации в домейна на тирозин киназата на EGFR (делеция на ексон 19 или мутация на ексон 21). Пациентите са рандомизирани 1:1 за получаване на </w:t>
      </w:r>
      <w:r>
        <w:rPr>
          <w:rFonts w:eastAsia="Times New Roman"/>
        </w:rPr>
        <w:t>ерлотиниб</w:t>
      </w:r>
      <w:r w:rsidR="00D1402E">
        <w:rPr>
          <w:rFonts w:eastAsia="Times New Roman"/>
        </w:rPr>
        <w:t xml:space="preserve"> 150 mg дневно или до 4 цикъла дублетна химиотерапия на базата на платина.</w:t>
      </w:r>
    </w:p>
    <w:p w14:paraId="5D750705" w14:textId="77777777" w:rsidR="00992061" w:rsidRDefault="00992061">
      <w:pPr>
        <w:spacing w:line="209" w:lineRule="exact"/>
        <w:rPr>
          <w:sz w:val="20"/>
          <w:szCs w:val="20"/>
        </w:rPr>
      </w:pPr>
    </w:p>
    <w:p w14:paraId="6D9B428D" w14:textId="77777777" w:rsidR="00992061" w:rsidRDefault="00D1402E">
      <w:pPr>
        <w:spacing w:line="281" w:lineRule="auto"/>
        <w:ind w:left="4" w:right="420"/>
        <w:rPr>
          <w:sz w:val="20"/>
          <w:szCs w:val="20"/>
        </w:rPr>
      </w:pPr>
      <w:r>
        <w:rPr>
          <w:rFonts w:eastAsia="Times New Roman"/>
        </w:rPr>
        <w:t>Първичната крайна точка е ПБП, оценена от изследователя. Резултатите от ефикасността са обобщени в Таблица 3.</w:t>
      </w:r>
    </w:p>
    <w:p w14:paraId="7854FF19" w14:textId="77777777" w:rsidR="00992061" w:rsidRDefault="00992061">
      <w:pPr>
        <w:sectPr w:rsidR="00992061">
          <w:footerReference w:type="default" r:id="rId8"/>
          <w:pgSz w:w="11900" w:h="16838"/>
          <w:pgMar w:top="1104" w:right="1429" w:bottom="212" w:left="1416" w:header="0" w:footer="0" w:gutter="0"/>
          <w:cols w:space="720" w:equalWidth="0">
            <w:col w:w="9064"/>
          </w:cols>
        </w:sectPr>
      </w:pPr>
    </w:p>
    <w:p w14:paraId="6FCB673A" w14:textId="77777777" w:rsidR="00992061" w:rsidRDefault="00992061">
      <w:pPr>
        <w:spacing w:line="200" w:lineRule="exact"/>
        <w:rPr>
          <w:sz w:val="20"/>
          <w:szCs w:val="20"/>
        </w:rPr>
      </w:pPr>
    </w:p>
    <w:p w14:paraId="694413BB" w14:textId="77777777" w:rsidR="00992061" w:rsidRDefault="00992061">
      <w:pPr>
        <w:spacing w:line="200" w:lineRule="exact"/>
        <w:rPr>
          <w:sz w:val="20"/>
          <w:szCs w:val="20"/>
        </w:rPr>
      </w:pPr>
    </w:p>
    <w:p w14:paraId="73B5C9EB" w14:textId="77777777" w:rsidR="00992061" w:rsidRDefault="00992061">
      <w:pPr>
        <w:spacing w:line="200" w:lineRule="exact"/>
        <w:rPr>
          <w:sz w:val="20"/>
          <w:szCs w:val="20"/>
        </w:rPr>
      </w:pPr>
    </w:p>
    <w:p w14:paraId="2010262C" w14:textId="77777777" w:rsidR="00992061" w:rsidRDefault="00992061">
      <w:pPr>
        <w:spacing w:line="200" w:lineRule="exact"/>
        <w:rPr>
          <w:sz w:val="20"/>
          <w:szCs w:val="20"/>
        </w:rPr>
      </w:pPr>
    </w:p>
    <w:p w14:paraId="26952BBF" w14:textId="77777777" w:rsidR="00992061" w:rsidRDefault="00992061">
      <w:pPr>
        <w:spacing w:line="200" w:lineRule="exact"/>
        <w:rPr>
          <w:sz w:val="20"/>
          <w:szCs w:val="20"/>
        </w:rPr>
      </w:pPr>
    </w:p>
    <w:p w14:paraId="43BBF5FC" w14:textId="77777777" w:rsidR="00992061" w:rsidRDefault="00992061">
      <w:pPr>
        <w:spacing w:line="200" w:lineRule="exact"/>
        <w:rPr>
          <w:sz w:val="20"/>
          <w:szCs w:val="20"/>
        </w:rPr>
      </w:pPr>
    </w:p>
    <w:p w14:paraId="1CD895D9" w14:textId="77777777" w:rsidR="00992061" w:rsidRDefault="00992061">
      <w:pPr>
        <w:spacing w:line="200" w:lineRule="exact"/>
        <w:rPr>
          <w:sz w:val="20"/>
          <w:szCs w:val="20"/>
        </w:rPr>
      </w:pPr>
    </w:p>
    <w:p w14:paraId="3BF95C61" w14:textId="77777777" w:rsidR="00992061" w:rsidRDefault="00992061">
      <w:pPr>
        <w:sectPr w:rsidR="00992061">
          <w:type w:val="continuous"/>
          <w:pgSz w:w="11900" w:h="16838"/>
          <w:pgMar w:top="1104" w:right="1429" w:bottom="212" w:left="1416" w:header="0" w:footer="0" w:gutter="0"/>
          <w:cols w:space="720" w:equalWidth="0">
            <w:col w:w="9064"/>
          </w:cols>
        </w:sectPr>
      </w:pPr>
    </w:p>
    <w:p w14:paraId="6859D811" w14:textId="11404269" w:rsidR="00992061" w:rsidRDefault="00D1402E">
      <w:pPr>
        <w:rPr>
          <w:sz w:val="20"/>
          <w:szCs w:val="20"/>
        </w:rPr>
      </w:pPr>
      <w:bookmarkStart w:id="13" w:name="page16"/>
      <w:bookmarkEnd w:id="13"/>
      <w:r>
        <w:rPr>
          <w:rFonts w:eastAsia="Times New Roman"/>
          <w:sz w:val="21"/>
          <w:szCs w:val="21"/>
        </w:rPr>
        <w:t>Фигура 1: Крива на Kaplan-Meier за ПБП, оценена от изследователя в клинично изпитване</w:t>
      </w:r>
    </w:p>
    <w:p w14:paraId="59C2F46B" w14:textId="77777777" w:rsidR="00992061" w:rsidRDefault="00992061">
      <w:pPr>
        <w:spacing w:line="13" w:lineRule="exact"/>
        <w:rPr>
          <w:sz w:val="20"/>
          <w:szCs w:val="20"/>
        </w:rPr>
      </w:pPr>
    </w:p>
    <w:p w14:paraId="27278A75" w14:textId="38200CCB" w:rsidR="00992061" w:rsidRDefault="00D1402E">
      <w:pPr>
        <w:rPr>
          <w:rFonts w:eastAsia="Times New Roman"/>
        </w:rPr>
      </w:pPr>
      <w:r>
        <w:rPr>
          <w:rFonts w:eastAsia="Times New Roman"/>
        </w:rPr>
        <w:t>ML20650 (EURTAC) (крайна дата: април 2012 г.)</w:t>
      </w:r>
    </w:p>
    <w:p w14:paraId="0BF693BD" w14:textId="69408318" w:rsidR="00992061" w:rsidRDefault="00D532E2">
      <w:pPr>
        <w:spacing w:line="200" w:lineRule="exact"/>
        <w:rPr>
          <w:sz w:val="20"/>
          <w:szCs w:val="20"/>
        </w:rPr>
      </w:pPr>
      <w:r>
        <w:rPr>
          <w:noProof/>
          <w:sz w:val="20"/>
          <w:szCs w:val="20"/>
          <w:lang w:val="bg-BG" w:eastAsia="bg-BG"/>
        </w:rPr>
        <w:drawing>
          <wp:anchor distT="0" distB="0" distL="114300" distR="114300" simplePos="0" relativeHeight="251658240" behindDoc="0" locked="0" layoutInCell="1" allowOverlap="1" wp14:anchorId="31AE341F" wp14:editId="2CA86D78">
            <wp:simplePos x="0" y="0"/>
            <wp:positionH relativeFrom="margin">
              <wp:align>left</wp:align>
            </wp:positionH>
            <wp:positionV relativeFrom="paragraph">
              <wp:posOffset>13335</wp:posOffset>
            </wp:positionV>
            <wp:extent cx="6035040" cy="4526280"/>
            <wp:effectExtent l="0" t="0" r="381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erlotinib.png"/>
                    <pic:cNvPicPr/>
                  </pic:nvPicPr>
                  <pic:blipFill>
                    <a:blip r:embed="rId9">
                      <a:extLst>
                        <a:ext uri="{28A0092B-C50C-407E-A947-70E740481C1C}">
                          <a14:useLocalDpi xmlns:a14="http://schemas.microsoft.com/office/drawing/2010/main" val="0"/>
                        </a:ext>
                      </a:extLst>
                    </a:blip>
                    <a:stretch>
                      <a:fillRect/>
                    </a:stretch>
                  </pic:blipFill>
                  <pic:spPr>
                    <a:xfrm>
                      <a:off x="0" y="0"/>
                      <a:ext cx="6035040" cy="4526280"/>
                    </a:xfrm>
                    <a:prstGeom prst="rect">
                      <a:avLst/>
                    </a:prstGeom>
                  </pic:spPr>
                </pic:pic>
              </a:graphicData>
            </a:graphic>
            <wp14:sizeRelH relativeFrom="margin">
              <wp14:pctWidth>0</wp14:pctWidth>
            </wp14:sizeRelH>
            <wp14:sizeRelV relativeFrom="margin">
              <wp14:pctHeight>0</wp14:pctHeight>
            </wp14:sizeRelV>
          </wp:anchor>
        </w:drawing>
      </w:r>
    </w:p>
    <w:p w14:paraId="0D8E64D2" w14:textId="77777777" w:rsidR="00992061" w:rsidRDefault="00992061">
      <w:pPr>
        <w:spacing w:line="200" w:lineRule="exact"/>
        <w:rPr>
          <w:sz w:val="20"/>
          <w:szCs w:val="20"/>
        </w:rPr>
      </w:pPr>
    </w:p>
    <w:p w14:paraId="2ABE97BE" w14:textId="77777777" w:rsidR="00992061" w:rsidRDefault="00992061">
      <w:pPr>
        <w:spacing w:line="200" w:lineRule="exact"/>
        <w:rPr>
          <w:sz w:val="20"/>
          <w:szCs w:val="20"/>
        </w:rPr>
      </w:pPr>
    </w:p>
    <w:p w14:paraId="6CD02A7D" w14:textId="77777777" w:rsidR="00992061" w:rsidRDefault="00992061">
      <w:pPr>
        <w:spacing w:line="200" w:lineRule="exact"/>
        <w:rPr>
          <w:sz w:val="20"/>
          <w:szCs w:val="20"/>
        </w:rPr>
      </w:pPr>
    </w:p>
    <w:p w14:paraId="08FAEEC8" w14:textId="77777777" w:rsidR="00992061" w:rsidRDefault="00992061">
      <w:pPr>
        <w:spacing w:line="200" w:lineRule="exact"/>
        <w:rPr>
          <w:sz w:val="20"/>
          <w:szCs w:val="20"/>
        </w:rPr>
      </w:pPr>
    </w:p>
    <w:p w14:paraId="1DA71B64" w14:textId="77777777" w:rsidR="00992061" w:rsidRDefault="00992061">
      <w:pPr>
        <w:spacing w:line="200" w:lineRule="exact"/>
        <w:rPr>
          <w:sz w:val="20"/>
          <w:szCs w:val="20"/>
        </w:rPr>
      </w:pPr>
    </w:p>
    <w:p w14:paraId="2ED28FAA" w14:textId="77777777" w:rsidR="00992061" w:rsidRPr="00D532E2" w:rsidRDefault="00992061">
      <w:pPr>
        <w:spacing w:line="200" w:lineRule="exact"/>
        <w:rPr>
          <w:sz w:val="20"/>
          <w:szCs w:val="20"/>
          <w:lang w:val="mk-MK"/>
        </w:rPr>
      </w:pPr>
    </w:p>
    <w:p w14:paraId="5EDE3968" w14:textId="77777777" w:rsidR="00992061" w:rsidRDefault="00992061">
      <w:pPr>
        <w:spacing w:line="200" w:lineRule="exact"/>
        <w:rPr>
          <w:sz w:val="20"/>
          <w:szCs w:val="20"/>
        </w:rPr>
      </w:pPr>
    </w:p>
    <w:p w14:paraId="0E4D4405" w14:textId="77777777" w:rsidR="00992061" w:rsidRDefault="00992061">
      <w:pPr>
        <w:spacing w:line="200" w:lineRule="exact"/>
        <w:rPr>
          <w:sz w:val="20"/>
          <w:szCs w:val="20"/>
        </w:rPr>
      </w:pPr>
    </w:p>
    <w:p w14:paraId="4537233F" w14:textId="77777777" w:rsidR="00992061" w:rsidRDefault="00992061">
      <w:pPr>
        <w:spacing w:line="200" w:lineRule="exact"/>
        <w:rPr>
          <w:sz w:val="20"/>
          <w:szCs w:val="20"/>
        </w:rPr>
      </w:pPr>
    </w:p>
    <w:p w14:paraId="6F5000E6" w14:textId="77777777" w:rsidR="00992061" w:rsidRDefault="00992061">
      <w:pPr>
        <w:spacing w:line="200" w:lineRule="exact"/>
        <w:rPr>
          <w:sz w:val="20"/>
          <w:szCs w:val="20"/>
        </w:rPr>
      </w:pPr>
    </w:p>
    <w:p w14:paraId="6B3F6FAA" w14:textId="77777777" w:rsidR="00992061" w:rsidRDefault="00CB4984" w:rsidP="00CB4984">
      <w:pPr>
        <w:tabs>
          <w:tab w:val="left" w:pos="3390"/>
        </w:tabs>
        <w:spacing w:line="200" w:lineRule="exact"/>
        <w:rPr>
          <w:sz w:val="20"/>
          <w:szCs w:val="20"/>
        </w:rPr>
      </w:pPr>
      <w:r>
        <w:rPr>
          <w:sz w:val="20"/>
          <w:szCs w:val="20"/>
        </w:rPr>
        <w:tab/>
      </w:r>
    </w:p>
    <w:p w14:paraId="7BABAD30" w14:textId="77777777" w:rsidR="00992061" w:rsidRDefault="00CB4984" w:rsidP="00CB4984">
      <w:pPr>
        <w:tabs>
          <w:tab w:val="left" w:pos="3390"/>
        </w:tabs>
        <w:spacing w:line="200" w:lineRule="exact"/>
        <w:rPr>
          <w:sz w:val="20"/>
          <w:szCs w:val="20"/>
        </w:rPr>
      </w:pPr>
      <w:r>
        <w:rPr>
          <w:sz w:val="20"/>
          <w:szCs w:val="20"/>
        </w:rPr>
        <w:tab/>
      </w:r>
    </w:p>
    <w:p w14:paraId="042001F4" w14:textId="77777777" w:rsidR="00992061" w:rsidRDefault="00992061">
      <w:pPr>
        <w:spacing w:line="200" w:lineRule="exact"/>
        <w:rPr>
          <w:sz w:val="20"/>
          <w:szCs w:val="20"/>
        </w:rPr>
      </w:pPr>
    </w:p>
    <w:p w14:paraId="5AF79653" w14:textId="77777777" w:rsidR="00992061" w:rsidRDefault="00992061">
      <w:pPr>
        <w:spacing w:line="200" w:lineRule="exact"/>
        <w:rPr>
          <w:sz w:val="20"/>
          <w:szCs w:val="20"/>
        </w:rPr>
      </w:pPr>
    </w:p>
    <w:p w14:paraId="674EE031" w14:textId="77777777" w:rsidR="00992061" w:rsidRDefault="00992061">
      <w:pPr>
        <w:spacing w:line="200" w:lineRule="exact"/>
        <w:rPr>
          <w:sz w:val="20"/>
          <w:szCs w:val="20"/>
        </w:rPr>
      </w:pPr>
    </w:p>
    <w:p w14:paraId="57FBA32C" w14:textId="77777777" w:rsidR="00992061" w:rsidRDefault="00992061">
      <w:pPr>
        <w:spacing w:line="200" w:lineRule="exact"/>
        <w:rPr>
          <w:sz w:val="20"/>
          <w:szCs w:val="20"/>
        </w:rPr>
      </w:pPr>
    </w:p>
    <w:p w14:paraId="6BAFB3FC" w14:textId="77777777" w:rsidR="00992061" w:rsidRDefault="00992061">
      <w:pPr>
        <w:spacing w:line="200" w:lineRule="exact"/>
        <w:rPr>
          <w:sz w:val="20"/>
          <w:szCs w:val="20"/>
        </w:rPr>
      </w:pPr>
    </w:p>
    <w:p w14:paraId="4E98C50E" w14:textId="77777777" w:rsidR="00992061" w:rsidRDefault="00992061">
      <w:pPr>
        <w:spacing w:line="200" w:lineRule="exact"/>
        <w:rPr>
          <w:sz w:val="20"/>
          <w:szCs w:val="20"/>
        </w:rPr>
      </w:pPr>
    </w:p>
    <w:p w14:paraId="55CC8353" w14:textId="77777777" w:rsidR="00992061" w:rsidRDefault="00992061">
      <w:pPr>
        <w:spacing w:line="200" w:lineRule="exact"/>
        <w:rPr>
          <w:sz w:val="20"/>
          <w:szCs w:val="20"/>
        </w:rPr>
      </w:pPr>
    </w:p>
    <w:p w14:paraId="21D6EDCE" w14:textId="77777777" w:rsidR="00992061" w:rsidRDefault="00992061">
      <w:pPr>
        <w:spacing w:line="200" w:lineRule="exact"/>
        <w:rPr>
          <w:sz w:val="20"/>
          <w:szCs w:val="20"/>
        </w:rPr>
      </w:pPr>
    </w:p>
    <w:p w14:paraId="4D6DCBD4" w14:textId="77777777" w:rsidR="00992061" w:rsidRDefault="00992061">
      <w:pPr>
        <w:spacing w:line="200" w:lineRule="exact"/>
        <w:rPr>
          <w:sz w:val="20"/>
          <w:szCs w:val="20"/>
        </w:rPr>
      </w:pPr>
    </w:p>
    <w:p w14:paraId="0831759C" w14:textId="77777777" w:rsidR="00992061" w:rsidRDefault="00992061">
      <w:pPr>
        <w:spacing w:line="200" w:lineRule="exact"/>
        <w:rPr>
          <w:sz w:val="20"/>
          <w:szCs w:val="20"/>
        </w:rPr>
      </w:pPr>
    </w:p>
    <w:p w14:paraId="6C79A33B" w14:textId="77777777" w:rsidR="00992061" w:rsidRDefault="00992061">
      <w:pPr>
        <w:spacing w:line="200" w:lineRule="exact"/>
        <w:rPr>
          <w:sz w:val="20"/>
          <w:szCs w:val="20"/>
        </w:rPr>
      </w:pPr>
    </w:p>
    <w:p w14:paraId="11780C2B" w14:textId="77777777" w:rsidR="00992061" w:rsidRDefault="00992061">
      <w:pPr>
        <w:spacing w:line="200" w:lineRule="exact"/>
        <w:rPr>
          <w:sz w:val="20"/>
          <w:szCs w:val="20"/>
        </w:rPr>
      </w:pPr>
    </w:p>
    <w:p w14:paraId="4577794E" w14:textId="77777777" w:rsidR="00992061" w:rsidRDefault="00992061">
      <w:pPr>
        <w:spacing w:line="200" w:lineRule="exact"/>
        <w:rPr>
          <w:sz w:val="20"/>
          <w:szCs w:val="20"/>
        </w:rPr>
      </w:pPr>
    </w:p>
    <w:p w14:paraId="13757B35" w14:textId="77777777" w:rsidR="00992061" w:rsidRDefault="00992061">
      <w:pPr>
        <w:spacing w:line="200" w:lineRule="exact"/>
        <w:rPr>
          <w:sz w:val="20"/>
          <w:szCs w:val="20"/>
        </w:rPr>
      </w:pPr>
    </w:p>
    <w:p w14:paraId="1D0459E0" w14:textId="77777777" w:rsidR="00992061" w:rsidRDefault="00992061">
      <w:pPr>
        <w:spacing w:line="200" w:lineRule="exact"/>
        <w:rPr>
          <w:sz w:val="20"/>
          <w:szCs w:val="20"/>
        </w:rPr>
      </w:pPr>
    </w:p>
    <w:p w14:paraId="4AF8B400" w14:textId="77777777" w:rsidR="00992061" w:rsidRDefault="00CB4984">
      <w:pPr>
        <w:spacing w:line="200" w:lineRule="exact"/>
        <w:rPr>
          <w:sz w:val="20"/>
          <w:szCs w:val="20"/>
        </w:rPr>
      </w:pPr>
      <w:r>
        <w:rPr>
          <w:noProof/>
          <w:lang w:val="bg-BG" w:eastAsia="bg-BG"/>
        </w:rPr>
        <w:drawing>
          <wp:inline distT="0" distB="0" distL="0" distR="0" wp14:anchorId="22698861" wp14:editId="45A1BCEA">
            <wp:extent cx="5600700" cy="363855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9890" t="28633" r="34132" b="33859"/>
                    <a:stretch>
                      <a:fillRect/>
                    </a:stretch>
                  </pic:blipFill>
                  <pic:spPr bwMode="auto">
                    <a:xfrm>
                      <a:off x="0" y="0"/>
                      <a:ext cx="5600700" cy="3638550"/>
                    </a:xfrm>
                    <a:prstGeom prst="rect">
                      <a:avLst/>
                    </a:prstGeom>
                    <a:noFill/>
                    <a:ln>
                      <a:noFill/>
                    </a:ln>
                  </pic:spPr>
                </pic:pic>
              </a:graphicData>
            </a:graphic>
          </wp:inline>
        </w:drawing>
      </w:r>
    </w:p>
    <w:p w14:paraId="421E44BC" w14:textId="77777777" w:rsidR="00992061" w:rsidRDefault="00992061">
      <w:pPr>
        <w:spacing w:line="200" w:lineRule="exact"/>
        <w:rPr>
          <w:sz w:val="20"/>
          <w:szCs w:val="20"/>
        </w:rPr>
      </w:pPr>
    </w:p>
    <w:p w14:paraId="1E3FA6E2" w14:textId="77777777" w:rsidR="00992061" w:rsidRDefault="00992061">
      <w:pPr>
        <w:spacing w:line="200" w:lineRule="exact"/>
        <w:rPr>
          <w:sz w:val="20"/>
          <w:szCs w:val="20"/>
        </w:rPr>
      </w:pPr>
    </w:p>
    <w:p w14:paraId="0AF1E3A1" w14:textId="77777777" w:rsidR="00992061" w:rsidRDefault="00992061">
      <w:pPr>
        <w:spacing w:line="200" w:lineRule="exact"/>
        <w:rPr>
          <w:sz w:val="20"/>
          <w:szCs w:val="20"/>
        </w:rPr>
      </w:pPr>
    </w:p>
    <w:p w14:paraId="7CB63B73" w14:textId="77777777" w:rsidR="00992061" w:rsidRDefault="00992061">
      <w:pPr>
        <w:spacing w:line="200" w:lineRule="exact"/>
        <w:rPr>
          <w:sz w:val="20"/>
          <w:szCs w:val="20"/>
        </w:rPr>
      </w:pPr>
    </w:p>
    <w:p w14:paraId="7613B22B" w14:textId="77777777" w:rsidR="00992061" w:rsidRDefault="00992061">
      <w:pPr>
        <w:spacing w:line="200" w:lineRule="exact"/>
        <w:rPr>
          <w:sz w:val="20"/>
          <w:szCs w:val="20"/>
        </w:rPr>
      </w:pPr>
    </w:p>
    <w:p w14:paraId="6CA72483" w14:textId="77777777" w:rsidR="00992061" w:rsidRDefault="00992061">
      <w:pPr>
        <w:spacing w:line="200" w:lineRule="exact"/>
        <w:rPr>
          <w:sz w:val="20"/>
          <w:szCs w:val="20"/>
        </w:rPr>
      </w:pPr>
    </w:p>
    <w:p w14:paraId="6330B065" w14:textId="77777777" w:rsidR="00992061" w:rsidRDefault="00992061">
      <w:pPr>
        <w:spacing w:line="200" w:lineRule="exact"/>
        <w:rPr>
          <w:sz w:val="20"/>
          <w:szCs w:val="20"/>
        </w:rPr>
      </w:pPr>
    </w:p>
    <w:p w14:paraId="5DEC07CE" w14:textId="77777777" w:rsidR="00992061" w:rsidRDefault="00992061">
      <w:pPr>
        <w:spacing w:line="200" w:lineRule="exact"/>
        <w:rPr>
          <w:sz w:val="20"/>
          <w:szCs w:val="20"/>
        </w:rPr>
      </w:pPr>
    </w:p>
    <w:p w14:paraId="06F3A647" w14:textId="34598686" w:rsidR="00992061" w:rsidRDefault="00992061">
      <w:pPr>
        <w:sectPr w:rsidR="00992061">
          <w:type w:val="continuous"/>
          <w:pgSz w:w="11900" w:h="16838"/>
          <w:pgMar w:top="1104" w:right="1440" w:bottom="212" w:left="1420" w:header="0" w:footer="0" w:gutter="0"/>
          <w:cols w:space="720" w:equalWidth="0">
            <w:col w:w="9049"/>
          </w:cols>
        </w:sectPr>
      </w:pPr>
    </w:p>
    <w:p w14:paraId="1241C9D0" w14:textId="106D2976" w:rsidR="0038500A" w:rsidRDefault="00D1402E" w:rsidP="0038500A">
      <w:pPr>
        <w:spacing w:line="281" w:lineRule="auto"/>
        <w:ind w:left="120" w:right="-905"/>
      </w:pPr>
      <w:bookmarkStart w:id="14" w:name="page17"/>
      <w:bookmarkEnd w:id="14"/>
      <w:r>
        <w:rPr>
          <w:rFonts w:eastAsia="Times New Roman"/>
        </w:rPr>
        <w:lastRenderedPageBreak/>
        <w:t>Таблица 3: Резу</w:t>
      </w:r>
      <w:r w:rsidR="0038500A">
        <w:rPr>
          <w:rFonts w:eastAsia="Times New Roman"/>
        </w:rPr>
        <w:t>лтати от ефикасността на ерлотиниб</w:t>
      </w:r>
      <w:r>
        <w:rPr>
          <w:rFonts w:eastAsia="Times New Roman"/>
        </w:rPr>
        <w:t xml:space="preserve"> сравнено с химиотерапия при изпитване ML20650 (EURTAC)</w:t>
      </w:r>
    </w:p>
    <w:tbl>
      <w:tblPr>
        <w:tblW w:w="9917" w:type="dxa"/>
        <w:tblInd w:w="3" w:type="dxa"/>
        <w:tblLayout w:type="fixed"/>
        <w:tblCellMar>
          <w:left w:w="0" w:type="dxa"/>
          <w:right w:w="0" w:type="dxa"/>
        </w:tblCellMar>
        <w:tblLook w:val="01E0" w:firstRow="1" w:lastRow="1" w:firstColumn="1" w:lastColumn="1" w:noHBand="0" w:noVBand="0"/>
      </w:tblPr>
      <w:tblGrid>
        <w:gridCol w:w="1742"/>
        <w:gridCol w:w="2835"/>
        <w:gridCol w:w="1276"/>
        <w:gridCol w:w="1276"/>
        <w:gridCol w:w="1559"/>
        <w:gridCol w:w="1229"/>
      </w:tblGrid>
      <w:tr w:rsidR="0038500A" w:rsidRPr="00D03BD0" w14:paraId="51BB822C" w14:textId="77777777" w:rsidTr="00B37830">
        <w:trPr>
          <w:trHeight w:hRule="exact" w:val="486"/>
        </w:trPr>
        <w:tc>
          <w:tcPr>
            <w:tcW w:w="1742" w:type="dxa"/>
            <w:tcBorders>
              <w:top w:val="single" w:sz="2" w:space="0" w:color="000000"/>
              <w:left w:val="single" w:sz="2" w:space="0" w:color="000000"/>
              <w:bottom w:val="single" w:sz="2" w:space="0" w:color="000000"/>
              <w:right w:val="single" w:sz="2" w:space="0" w:color="000000"/>
            </w:tcBorders>
          </w:tcPr>
          <w:p w14:paraId="00E7E10C"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tcPr>
          <w:p w14:paraId="5AB12A7A" w14:textId="77777777" w:rsidR="0038500A" w:rsidRPr="00D03BD0" w:rsidRDefault="0038500A" w:rsidP="00007066"/>
        </w:tc>
        <w:tc>
          <w:tcPr>
            <w:tcW w:w="1276" w:type="dxa"/>
            <w:tcBorders>
              <w:top w:val="single" w:sz="2" w:space="0" w:color="000000"/>
              <w:left w:val="single" w:sz="2" w:space="0" w:color="000000"/>
              <w:bottom w:val="single" w:sz="2" w:space="0" w:color="000000"/>
              <w:right w:val="single" w:sz="2" w:space="0" w:color="000000"/>
            </w:tcBorders>
            <w:vAlign w:val="center"/>
          </w:tcPr>
          <w:p w14:paraId="59B76F19" w14:textId="6D34B1AC" w:rsidR="0038500A" w:rsidRDefault="0038500A" w:rsidP="00007066">
            <w:pPr>
              <w:spacing w:line="205" w:lineRule="exact"/>
              <w:ind w:right="-20"/>
              <w:jc w:val="center"/>
            </w:pPr>
            <w:r>
              <w:rPr>
                <w:b/>
                <w:bCs/>
              </w:rPr>
              <w:t>Eрлотиниб</w:t>
            </w:r>
          </w:p>
          <w:p w14:paraId="6D2E0325" w14:textId="77777777" w:rsidR="0038500A" w:rsidRPr="0085502A" w:rsidRDefault="0038500A" w:rsidP="00007066">
            <w:pPr>
              <w:tabs>
                <w:tab w:val="left" w:pos="1200"/>
              </w:tabs>
              <w:jc w:val="center"/>
            </w:pPr>
          </w:p>
        </w:tc>
        <w:tc>
          <w:tcPr>
            <w:tcW w:w="1276" w:type="dxa"/>
            <w:tcBorders>
              <w:top w:val="single" w:sz="2" w:space="0" w:color="000000"/>
              <w:left w:val="single" w:sz="2" w:space="0" w:color="000000"/>
              <w:bottom w:val="single" w:sz="2" w:space="0" w:color="000000"/>
              <w:right w:val="single" w:sz="2" w:space="0" w:color="000000"/>
            </w:tcBorders>
            <w:vAlign w:val="center"/>
          </w:tcPr>
          <w:p w14:paraId="03F0E3C6" w14:textId="77777777" w:rsidR="0038500A" w:rsidRDefault="0038500A" w:rsidP="0038500A">
            <w:pPr>
              <w:spacing w:line="205" w:lineRule="exact"/>
              <w:ind w:right="-20"/>
              <w:jc w:val="center"/>
              <w:rPr>
                <w:b/>
                <w:bCs/>
              </w:rPr>
            </w:pPr>
            <w:r>
              <w:rPr>
                <w:b/>
                <w:bCs/>
              </w:rPr>
              <w:t>Химио-</w:t>
            </w:r>
          </w:p>
          <w:p w14:paraId="20683F47" w14:textId="0FC6D172" w:rsidR="0038500A" w:rsidRPr="0038500A" w:rsidRDefault="0038500A" w:rsidP="0038500A">
            <w:pPr>
              <w:spacing w:line="205" w:lineRule="exact"/>
              <w:ind w:right="-20"/>
              <w:jc w:val="center"/>
              <w:rPr>
                <w:lang w:val="bg-BG"/>
              </w:rPr>
            </w:pPr>
            <w:r>
              <w:rPr>
                <w:b/>
                <w:bCs/>
                <w:lang w:val="bg-BG"/>
              </w:rPr>
              <w:t>терапия</w:t>
            </w:r>
          </w:p>
        </w:tc>
        <w:tc>
          <w:tcPr>
            <w:tcW w:w="1559" w:type="dxa"/>
            <w:tcBorders>
              <w:top w:val="single" w:sz="2" w:space="0" w:color="000000"/>
              <w:left w:val="single" w:sz="2" w:space="0" w:color="000000"/>
              <w:bottom w:val="single" w:sz="2" w:space="0" w:color="000000"/>
              <w:right w:val="single" w:sz="2" w:space="0" w:color="000000"/>
            </w:tcBorders>
            <w:vAlign w:val="center"/>
          </w:tcPr>
          <w:p w14:paraId="5A505611" w14:textId="596018A7" w:rsidR="0038500A" w:rsidRPr="00D03BD0" w:rsidRDefault="00AE56ED" w:rsidP="00007066">
            <w:pPr>
              <w:spacing w:line="205" w:lineRule="exact"/>
              <w:ind w:right="59"/>
              <w:jc w:val="center"/>
            </w:pPr>
            <w:r>
              <w:rPr>
                <w:b/>
              </w:rPr>
              <w:t>HR</w:t>
            </w:r>
          </w:p>
          <w:p w14:paraId="5702AAC2" w14:textId="77777777" w:rsidR="0038500A" w:rsidRPr="00D03BD0" w:rsidRDefault="0038500A" w:rsidP="00007066">
            <w:pPr>
              <w:spacing w:line="207" w:lineRule="exact"/>
              <w:ind w:right="220"/>
              <w:jc w:val="center"/>
            </w:pPr>
            <w:r w:rsidRPr="00D03BD0">
              <w:rPr>
                <w:b/>
              </w:rPr>
              <w:t>(95%</w:t>
            </w:r>
            <w:r w:rsidRPr="00D03BD0">
              <w:rPr>
                <w:b/>
                <w:spacing w:val="-1"/>
              </w:rPr>
              <w:t xml:space="preserve"> </w:t>
            </w:r>
            <w:r w:rsidRPr="00D03BD0">
              <w:rPr>
                <w:b/>
              </w:rPr>
              <w:t>CI)</w:t>
            </w:r>
          </w:p>
        </w:tc>
        <w:tc>
          <w:tcPr>
            <w:tcW w:w="1229" w:type="dxa"/>
            <w:tcBorders>
              <w:top w:val="single" w:sz="2" w:space="0" w:color="000000"/>
              <w:left w:val="single" w:sz="2" w:space="0" w:color="000000"/>
              <w:bottom w:val="single" w:sz="2" w:space="0" w:color="000000"/>
              <w:right w:val="single" w:sz="2" w:space="0" w:color="000000"/>
            </w:tcBorders>
            <w:vAlign w:val="center"/>
          </w:tcPr>
          <w:p w14:paraId="1C5DB37D" w14:textId="6875584A" w:rsidR="0038500A" w:rsidRPr="00D03BD0" w:rsidRDefault="00AE56ED" w:rsidP="00007066">
            <w:pPr>
              <w:spacing w:line="205" w:lineRule="exact"/>
              <w:ind w:right="-20"/>
              <w:jc w:val="center"/>
            </w:pPr>
            <w:r>
              <w:rPr>
                <w:b/>
              </w:rPr>
              <w:t>p-стойност</w:t>
            </w:r>
          </w:p>
        </w:tc>
      </w:tr>
      <w:tr w:rsidR="0038500A" w:rsidRPr="00D03BD0" w14:paraId="1DE8A59F" w14:textId="77777777" w:rsidTr="00B37830">
        <w:trPr>
          <w:trHeight w:hRule="exact" w:val="385"/>
        </w:trPr>
        <w:tc>
          <w:tcPr>
            <w:tcW w:w="1742" w:type="dxa"/>
            <w:vMerge w:val="restart"/>
            <w:tcBorders>
              <w:top w:val="single" w:sz="2" w:space="0" w:color="000000"/>
              <w:left w:val="single" w:sz="2" w:space="0" w:color="000000"/>
              <w:right w:val="single" w:sz="2" w:space="0" w:color="000000"/>
            </w:tcBorders>
          </w:tcPr>
          <w:p w14:paraId="0C3643A2" w14:textId="77777777" w:rsidR="00AE56ED" w:rsidRDefault="00AE56ED" w:rsidP="0038500A">
            <w:pPr>
              <w:spacing w:line="201" w:lineRule="exact"/>
              <w:ind w:left="105" w:right="-20"/>
            </w:pPr>
          </w:p>
          <w:p w14:paraId="7085892C" w14:textId="26F12572" w:rsidR="0038500A" w:rsidRPr="00D03BD0" w:rsidRDefault="0038500A" w:rsidP="0038500A">
            <w:pPr>
              <w:spacing w:line="201" w:lineRule="exact"/>
              <w:ind w:left="105" w:right="-20"/>
            </w:pPr>
            <w:r>
              <w:t>Предварителен планиран междинен</w:t>
            </w:r>
            <w:r>
              <w:rPr>
                <w:lang w:val="bg-BG"/>
              </w:rPr>
              <w:t xml:space="preserve"> анализ </w:t>
            </w:r>
            <w:r w:rsidRPr="00D03BD0">
              <w:t>(35%</w:t>
            </w:r>
            <w:r w:rsidRPr="00D03BD0">
              <w:rPr>
                <w:spacing w:val="1"/>
              </w:rPr>
              <w:t xml:space="preserve"> </w:t>
            </w:r>
            <w:r>
              <w:t>OП зрялост</w:t>
            </w:r>
            <w:r w:rsidRPr="00D03BD0">
              <w:t>) (n=153)</w:t>
            </w:r>
          </w:p>
          <w:p w14:paraId="4DEC4249" w14:textId="77777777" w:rsidR="0038500A" w:rsidRPr="00D03BD0" w:rsidRDefault="0038500A" w:rsidP="00007066">
            <w:pPr>
              <w:spacing w:before="9" w:line="200" w:lineRule="exact"/>
            </w:pPr>
          </w:p>
          <w:p w14:paraId="7BB7DA89" w14:textId="16BC9056" w:rsidR="0038500A" w:rsidRPr="00D03BD0" w:rsidRDefault="0038500A" w:rsidP="0038500A">
            <w:pPr>
              <w:ind w:left="105" w:right="-20"/>
            </w:pPr>
            <w:r>
              <w:rPr>
                <w:sz w:val="14"/>
              </w:rPr>
              <w:t>Крайна дата</w:t>
            </w:r>
            <w:r w:rsidRPr="0085502A">
              <w:rPr>
                <w:sz w:val="14"/>
              </w:rPr>
              <w:t>:</w:t>
            </w:r>
            <w:r w:rsidRPr="0085502A">
              <w:rPr>
                <w:spacing w:val="-1"/>
                <w:sz w:val="14"/>
              </w:rPr>
              <w:t xml:space="preserve"> </w:t>
            </w:r>
            <w:r>
              <w:rPr>
                <w:spacing w:val="-1"/>
                <w:sz w:val="14"/>
                <w:lang w:val="bg-BG"/>
              </w:rPr>
              <w:t>Август</w:t>
            </w:r>
            <w:r w:rsidRPr="0085502A">
              <w:rPr>
                <w:spacing w:val="-2"/>
                <w:sz w:val="14"/>
              </w:rPr>
              <w:t xml:space="preserve"> </w:t>
            </w:r>
            <w:r w:rsidRPr="0085502A">
              <w:rPr>
                <w:spacing w:val="1"/>
                <w:sz w:val="14"/>
              </w:rPr>
              <w:t>2010</w:t>
            </w:r>
          </w:p>
        </w:tc>
        <w:tc>
          <w:tcPr>
            <w:tcW w:w="2835" w:type="dxa"/>
            <w:tcBorders>
              <w:top w:val="single" w:sz="2" w:space="0" w:color="000000"/>
              <w:left w:val="single" w:sz="2" w:space="0" w:color="000000"/>
              <w:bottom w:val="single" w:sz="2" w:space="0" w:color="000000"/>
              <w:right w:val="single" w:sz="2" w:space="0" w:color="000000"/>
            </w:tcBorders>
          </w:tcPr>
          <w:p w14:paraId="5747A8D0" w14:textId="77777777" w:rsidR="0038500A" w:rsidRPr="00D03BD0" w:rsidRDefault="0038500A" w:rsidP="00007066"/>
        </w:tc>
        <w:tc>
          <w:tcPr>
            <w:tcW w:w="1276" w:type="dxa"/>
            <w:tcBorders>
              <w:top w:val="single" w:sz="2" w:space="0" w:color="000000"/>
              <w:left w:val="single" w:sz="2" w:space="0" w:color="000000"/>
              <w:bottom w:val="single" w:sz="2" w:space="0" w:color="000000"/>
              <w:right w:val="single" w:sz="2" w:space="0" w:color="000000"/>
            </w:tcBorders>
          </w:tcPr>
          <w:p w14:paraId="732414E4" w14:textId="77777777" w:rsidR="0038500A" w:rsidRPr="00D03BD0" w:rsidRDefault="0038500A" w:rsidP="00007066">
            <w:pPr>
              <w:spacing w:before="45"/>
              <w:ind w:left="414" w:right="397"/>
              <w:jc w:val="center"/>
            </w:pPr>
            <w:r w:rsidRPr="00D03BD0">
              <w:t>n=77</w:t>
            </w:r>
          </w:p>
        </w:tc>
        <w:tc>
          <w:tcPr>
            <w:tcW w:w="1276" w:type="dxa"/>
            <w:tcBorders>
              <w:top w:val="single" w:sz="2" w:space="0" w:color="000000"/>
              <w:left w:val="single" w:sz="2" w:space="0" w:color="000000"/>
              <w:bottom w:val="single" w:sz="2" w:space="0" w:color="000000"/>
              <w:right w:val="single" w:sz="2" w:space="0" w:color="000000"/>
            </w:tcBorders>
          </w:tcPr>
          <w:p w14:paraId="4A426D28" w14:textId="77777777" w:rsidR="0038500A" w:rsidRPr="00D03BD0" w:rsidRDefault="0038500A" w:rsidP="00007066">
            <w:pPr>
              <w:spacing w:before="45"/>
              <w:ind w:left="410" w:right="392"/>
              <w:jc w:val="center"/>
            </w:pPr>
            <w:r w:rsidRPr="00D03BD0">
              <w:t>n=76</w:t>
            </w:r>
          </w:p>
        </w:tc>
        <w:tc>
          <w:tcPr>
            <w:tcW w:w="1559" w:type="dxa"/>
            <w:tcBorders>
              <w:top w:val="single" w:sz="2" w:space="0" w:color="000000"/>
              <w:left w:val="single" w:sz="2" w:space="0" w:color="000000"/>
              <w:bottom w:val="single" w:sz="2" w:space="0" w:color="000000"/>
              <w:right w:val="single" w:sz="2" w:space="0" w:color="000000"/>
            </w:tcBorders>
          </w:tcPr>
          <w:p w14:paraId="71627AF5" w14:textId="77777777" w:rsidR="0038500A" w:rsidRPr="00D03BD0" w:rsidRDefault="0038500A" w:rsidP="00007066"/>
        </w:tc>
        <w:tc>
          <w:tcPr>
            <w:tcW w:w="1229" w:type="dxa"/>
            <w:tcBorders>
              <w:top w:val="single" w:sz="2" w:space="0" w:color="000000"/>
              <w:left w:val="single" w:sz="2" w:space="0" w:color="000000"/>
              <w:bottom w:val="single" w:sz="2" w:space="0" w:color="000000"/>
              <w:right w:val="single" w:sz="2" w:space="0" w:color="000000"/>
            </w:tcBorders>
          </w:tcPr>
          <w:p w14:paraId="6A140AA1" w14:textId="77777777" w:rsidR="0038500A" w:rsidRPr="00D03BD0" w:rsidRDefault="0038500A" w:rsidP="00007066"/>
        </w:tc>
      </w:tr>
      <w:tr w:rsidR="0038500A" w:rsidRPr="00D03BD0" w14:paraId="73AC54B2" w14:textId="77777777" w:rsidTr="00B37830">
        <w:trPr>
          <w:trHeight w:hRule="exact" w:val="2142"/>
        </w:trPr>
        <w:tc>
          <w:tcPr>
            <w:tcW w:w="1742" w:type="dxa"/>
            <w:vMerge/>
            <w:tcBorders>
              <w:left w:val="single" w:sz="2" w:space="0" w:color="000000"/>
              <w:right w:val="single" w:sz="2" w:space="0" w:color="000000"/>
            </w:tcBorders>
          </w:tcPr>
          <w:p w14:paraId="01268428"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vAlign w:val="center"/>
          </w:tcPr>
          <w:p w14:paraId="3DA89945" w14:textId="138E456F" w:rsidR="0038500A" w:rsidRPr="00D03BD0" w:rsidRDefault="0038500A" w:rsidP="0038500A">
            <w:pPr>
              <w:ind w:right="-20"/>
            </w:pPr>
            <w:r>
              <w:t>Първична крайна точ</w:t>
            </w:r>
            <w:r>
              <w:rPr>
                <w:lang w:val="bg-BG"/>
              </w:rPr>
              <w:t>ка</w:t>
            </w:r>
            <w:r w:rsidRPr="00D03BD0">
              <w:t>:</w:t>
            </w:r>
          </w:p>
          <w:p w14:paraId="080CC264" w14:textId="53714265" w:rsidR="0038500A" w:rsidRPr="00D03BD0" w:rsidRDefault="0038500A" w:rsidP="0038500A">
            <w:pPr>
              <w:ind w:right="-98"/>
            </w:pPr>
            <w:r>
              <w:t>Преживяемост без прогресия</w:t>
            </w:r>
          </w:p>
          <w:p w14:paraId="560C2C90" w14:textId="77777777" w:rsidR="0038500A" w:rsidRDefault="0038500A" w:rsidP="0038500A">
            <w:pPr>
              <w:spacing w:before="4"/>
              <w:ind w:right="185"/>
            </w:pPr>
            <w:r>
              <w:t>(ПБП</w:t>
            </w:r>
            <w:r w:rsidRPr="00D03BD0">
              <w:t>,</w:t>
            </w:r>
            <w:r w:rsidRPr="00D03BD0">
              <w:rPr>
                <w:spacing w:val="1"/>
              </w:rPr>
              <w:t xml:space="preserve"> </w:t>
            </w:r>
            <w:r>
              <w:rPr>
                <w:spacing w:val="1"/>
                <w:lang w:val="bg-BG"/>
              </w:rPr>
              <w:t>медиана в месеци</w:t>
            </w:r>
            <w:r w:rsidRPr="00D03BD0">
              <w:t xml:space="preserve">)* </w:t>
            </w:r>
          </w:p>
          <w:p w14:paraId="08DA9363" w14:textId="11E1D3F4" w:rsidR="0038500A" w:rsidRDefault="0038500A" w:rsidP="0038500A">
            <w:pPr>
              <w:spacing w:before="4"/>
              <w:ind w:right="44"/>
            </w:pPr>
            <w:r>
              <w:rPr>
                <w:spacing w:val="1"/>
                <w:lang w:val="bg-BG"/>
              </w:rPr>
              <w:t>Оценка от изследователя</w:t>
            </w:r>
            <w:r w:rsidRPr="00D03BD0">
              <w:rPr>
                <w:spacing w:val="1"/>
              </w:rPr>
              <w:t xml:space="preserve"> </w:t>
            </w:r>
            <w:r w:rsidRPr="00D03BD0">
              <w:t>**</w:t>
            </w:r>
          </w:p>
          <w:p w14:paraId="1F8D03D8" w14:textId="77777777" w:rsidR="0038500A" w:rsidRPr="00D03BD0" w:rsidRDefault="0038500A" w:rsidP="0038500A">
            <w:pPr>
              <w:spacing w:before="4"/>
              <w:ind w:left="105" w:right="360"/>
            </w:pPr>
          </w:p>
          <w:p w14:paraId="4454E8F3" w14:textId="29F3998C" w:rsidR="0038500A" w:rsidRPr="00D03BD0" w:rsidRDefault="0038500A" w:rsidP="0038500A">
            <w:pPr>
              <w:ind w:right="142"/>
            </w:pPr>
            <w:r>
              <w:rPr>
                <w:spacing w:val="1"/>
                <w:lang w:val="bg-BG"/>
              </w:rPr>
              <w:t>Независим преглед</w:t>
            </w:r>
            <w:r w:rsidRPr="00D03BD0">
              <w:rPr>
                <w:spacing w:val="1"/>
              </w:rPr>
              <w:t xml:space="preserve"> </w:t>
            </w:r>
            <w:r w:rsidRPr="00D03BD0">
              <w:t>**</w:t>
            </w:r>
          </w:p>
        </w:tc>
        <w:tc>
          <w:tcPr>
            <w:tcW w:w="1276" w:type="dxa"/>
            <w:tcBorders>
              <w:top w:val="single" w:sz="2" w:space="0" w:color="000000"/>
              <w:left w:val="single" w:sz="2" w:space="0" w:color="000000"/>
              <w:bottom w:val="single" w:sz="2" w:space="0" w:color="000000"/>
              <w:right w:val="single" w:sz="2" w:space="0" w:color="000000"/>
            </w:tcBorders>
          </w:tcPr>
          <w:p w14:paraId="08797DA9" w14:textId="77777777" w:rsidR="0038500A" w:rsidRPr="00D03BD0" w:rsidRDefault="0038500A" w:rsidP="00007066"/>
          <w:p w14:paraId="37D66588" w14:textId="77777777" w:rsidR="0038500A" w:rsidRPr="00D03BD0" w:rsidRDefault="0038500A" w:rsidP="00007066"/>
          <w:p w14:paraId="3701E188" w14:textId="77777777" w:rsidR="0038500A" w:rsidRPr="00D03BD0" w:rsidRDefault="0038500A" w:rsidP="00007066">
            <w:pPr>
              <w:spacing w:before="15"/>
            </w:pPr>
          </w:p>
          <w:p w14:paraId="5E35F10D" w14:textId="4F55E0FD" w:rsidR="0038500A" w:rsidRPr="00D03BD0" w:rsidRDefault="0038500A" w:rsidP="00007066">
            <w:pPr>
              <w:ind w:right="470"/>
              <w:jc w:val="center"/>
            </w:pPr>
            <w:r>
              <w:t xml:space="preserve">        </w:t>
            </w:r>
            <w:r w:rsidRPr="00D03BD0">
              <w:t>9</w:t>
            </w:r>
            <w:r w:rsidR="00AE56ED">
              <w:rPr>
                <w:lang w:val="bg-BG"/>
              </w:rPr>
              <w:t>,</w:t>
            </w:r>
            <w:r w:rsidRPr="00D03BD0">
              <w:t>4</w:t>
            </w:r>
          </w:p>
          <w:p w14:paraId="566D66F9" w14:textId="77777777" w:rsidR="0038500A" w:rsidRPr="00D03BD0" w:rsidRDefault="0038500A" w:rsidP="00007066">
            <w:pPr>
              <w:spacing w:before="7"/>
              <w:jc w:val="center"/>
            </w:pPr>
          </w:p>
          <w:p w14:paraId="3E1443D6" w14:textId="77777777" w:rsidR="0038500A" w:rsidRDefault="0038500A" w:rsidP="00007066">
            <w:pPr>
              <w:ind w:left="443" w:right="424"/>
              <w:jc w:val="center"/>
            </w:pPr>
          </w:p>
          <w:p w14:paraId="1DEE3C04" w14:textId="77777777" w:rsidR="0038500A" w:rsidRDefault="0038500A" w:rsidP="00007066">
            <w:pPr>
              <w:ind w:left="443" w:right="424"/>
              <w:jc w:val="center"/>
            </w:pPr>
          </w:p>
          <w:p w14:paraId="2A7B395E" w14:textId="5504E8EA" w:rsidR="0038500A" w:rsidRDefault="0038500A" w:rsidP="00AE56ED">
            <w:pPr>
              <w:ind w:left="443" w:right="424"/>
              <w:jc w:val="center"/>
            </w:pPr>
            <w:r w:rsidRPr="00D03BD0">
              <w:t>10</w:t>
            </w:r>
            <w:r w:rsidR="00AE56ED">
              <w:rPr>
                <w:lang w:val="bg-BG"/>
              </w:rPr>
              <w:t>,</w:t>
            </w:r>
            <w:r w:rsidRPr="00D03BD0">
              <w:t>4</w:t>
            </w:r>
          </w:p>
        </w:tc>
        <w:tc>
          <w:tcPr>
            <w:tcW w:w="1276" w:type="dxa"/>
            <w:tcBorders>
              <w:top w:val="single" w:sz="2" w:space="0" w:color="000000"/>
              <w:left w:val="single" w:sz="2" w:space="0" w:color="000000"/>
              <w:bottom w:val="single" w:sz="2" w:space="0" w:color="000000"/>
              <w:right w:val="single" w:sz="2" w:space="0" w:color="000000"/>
            </w:tcBorders>
          </w:tcPr>
          <w:p w14:paraId="54548FB5" w14:textId="77777777" w:rsidR="0038500A" w:rsidRPr="00D03BD0" w:rsidRDefault="0038500A" w:rsidP="00007066"/>
          <w:p w14:paraId="4B19F44F" w14:textId="77777777" w:rsidR="0038500A" w:rsidRPr="00D03BD0" w:rsidRDefault="0038500A" w:rsidP="00007066"/>
          <w:p w14:paraId="3DBE6792" w14:textId="77777777" w:rsidR="0038500A" w:rsidRPr="00D03BD0" w:rsidRDefault="0038500A" w:rsidP="00007066">
            <w:pPr>
              <w:spacing w:before="15"/>
            </w:pPr>
          </w:p>
          <w:p w14:paraId="4C9822F5" w14:textId="03B0D7AB" w:rsidR="0038500A" w:rsidRPr="00D03BD0" w:rsidRDefault="0038500A" w:rsidP="00007066">
            <w:pPr>
              <w:ind w:left="487" w:right="469"/>
              <w:jc w:val="center"/>
            </w:pPr>
            <w:r w:rsidRPr="00D03BD0">
              <w:t>5</w:t>
            </w:r>
            <w:r w:rsidR="00AE56ED">
              <w:rPr>
                <w:lang w:val="bg-BG"/>
              </w:rPr>
              <w:t>,</w:t>
            </w:r>
            <w:r w:rsidRPr="00D03BD0">
              <w:t>2</w:t>
            </w:r>
          </w:p>
          <w:p w14:paraId="0381DF75" w14:textId="77777777" w:rsidR="0038500A" w:rsidRPr="00D03BD0" w:rsidRDefault="0038500A" w:rsidP="00007066">
            <w:pPr>
              <w:spacing w:before="7"/>
            </w:pPr>
          </w:p>
          <w:p w14:paraId="286645CD" w14:textId="77777777" w:rsidR="0038500A" w:rsidRDefault="0038500A" w:rsidP="00007066">
            <w:pPr>
              <w:ind w:left="487" w:right="469"/>
              <w:jc w:val="center"/>
            </w:pPr>
          </w:p>
          <w:p w14:paraId="66F1AD09" w14:textId="77777777" w:rsidR="0038500A" w:rsidRDefault="0038500A" w:rsidP="00007066">
            <w:pPr>
              <w:ind w:left="487" w:right="469"/>
              <w:jc w:val="center"/>
            </w:pPr>
          </w:p>
          <w:p w14:paraId="76908915" w14:textId="558202BB" w:rsidR="0038500A" w:rsidRPr="00D03BD0" w:rsidRDefault="0038500A" w:rsidP="00AE56ED">
            <w:pPr>
              <w:ind w:left="487" w:right="469"/>
              <w:jc w:val="center"/>
            </w:pPr>
            <w:r w:rsidRPr="00D03BD0">
              <w:t>5</w:t>
            </w:r>
            <w:r w:rsidR="00AE56ED">
              <w:rPr>
                <w:lang w:val="bg-BG"/>
              </w:rPr>
              <w:t>,</w:t>
            </w:r>
            <w:r w:rsidRPr="00D03BD0">
              <w:t>4</w:t>
            </w:r>
          </w:p>
        </w:tc>
        <w:tc>
          <w:tcPr>
            <w:tcW w:w="1559" w:type="dxa"/>
            <w:tcBorders>
              <w:top w:val="single" w:sz="2" w:space="0" w:color="000000"/>
              <w:left w:val="single" w:sz="2" w:space="0" w:color="000000"/>
              <w:bottom w:val="single" w:sz="2" w:space="0" w:color="000000"/>
              <w:right w:val="single" w:sz="2" w:space="0" w:color="000000"/>
            </w:tcBorders>
          </w:tcPr>
          <w:p w14:paraId="21E7F300" w14:textId="77777777" w:rsidR="0038500A" w:rsidRPr="00D03BD0" w:rsidRDefault="0038500A" w:rsidP="00007066"/>
          <w:p w14:paraId="5A6210F4" w14:textId="77777777" w:rsidR="0038500A" w:rsidRPr="00D03BD0" w:rsidRDefault="0038500A" w:rsidP="00007066"/>
          <w:p w14:paraId="7F314531" w14:textId="77777777" w:rsidR="0038500A" w:rsidRPr="00D03BD0" w:rsidRDefault="0038500A" w:rsidP="00007066">
            <w:pPr>
              <w:spacing w:before="15"/>
            </w:pPr>
          </w:p>
          <w:p w14:paraId="20385FDD" w14:textId="1601FF0A" w:rsidR="0038500A" w:rsidRPr="00D03BD0" w:rsidRDefault="00AE56ED" w:rsidP="00007066">
            <w:pPr>
              <w:ind w:left="228" w:right="178" w:firstLine="247"/>
            </w:pPr>
            <w:r>
              <w:t>0,42 [0,27-0,</w:t>
            </w:r>
            <w:r w:rsidR="0038500A" w:rsidRPr="00D03BD0">
              <w:t>64]</w:t>
            </w:r>
          </w:p>
          <w:p w14:paraId="2DC26CE4" w14:textId="77777777" w:rsidR="0038500A" w:rsidRDefault="0038500A" w:rsidP="00007066">
            <w:pPr>
              <w:ind w:left="228" w:right="178" w:firstLine="247"/>
            </w:pPr>
          </w:p>
          <w:p w14:paraId="16D824DF" w14:textId="6A66F918" w:rsidR="0038500A" w:rsidRPr="00D03BD0" w:rsidRDefault="00AE56ED" w:rsidP="00007066">
            <w:pPr>
              <w:ind w:left="228" w:right="178" w:firstLine="247"/>
            </w:pPr>
            <w:r>
              <w:t>0,47 [0,27-0,</w:t>
            </w:r>
            <w:r w:rsidR="0038500A" w:rsidRPr="00D03BD0">
              <w:t>78]</w:t>
            </w:r>
          </w:p>
        </w:tc>
        <w:tc>
          <w:tcPr>
            <w:tcW w:w="1229" w:type="dxa"/>
            <w:tcBorders>
              <w:top w:val="single" w:sz="2" w:space="0" w:color="000000"/>
              <w:left w:val="single" w:sz="2" w:space="0" w:color="000000"/>
              <w:bottom w:val="single" w:sz="2" w:space="0" w:color="000000"/>
              <w:right w:val="single" w:sz="2" w:space="0" w:color="000000"/>
            </w:tcBorders>
          </w:tcPr>
          <w:p w14:paraId="7D0B41C5" w14:textId="77777777" w:rsidR="0038500A" w:rsidRPr="00D03BD0" w:rsidRDefault="0038500A" w:rsidP="00007066"/>
          <w:p w14:paraId="33E71CB3" w14:textId="77777777" w:rsidR="0038500A" w:rsidRPr="00D03BD0" w:rsidRDefault="0038500A" w:rsidP="00007066"/>
          <w:p w14:paraId="4444DBDD" w14:textId="77777777" w:rsidR="0038500A" w:rsidRPr="00D03BD0" w:rsidRDefault="0038500A" w:rsidP="00007066">
            <w:pPr>
              <w:spacing w:before="15"/>
            </w:pPr>
          </w:p>
          <w:p w14:paraId="20B38926" w14:textId="7E24AF70" w:rsidR="0038500A" w:rsidRDefault="00060ABE" w:rsidP="00B37830">
            <w:pPr>
              <w:ind w:right="228"/>
            </w:pPr>
            <w:r>
              <w:t xml:space="preserve">  </w:t>
            </w:r>
            <w:r w:rsidR="0038500A" w:rsidRPr="00D03BD0">
              <w:t>p&lt;0</w:t>
            </w:r>
            <w:r w:rsidR="00AE56ED">
              <w:rPr>
                <w:lang w:val="bg-BG"/>
              </w:rPr>
              <w:t>,</w:t>
            </w:r>
            <w:r w:rsidR="0038500A" w:rsidRPr="00D03BD0">
              <w:t xml:space="preserve">0001 </w:t>
            </w:r>
          </w:p>
          <w:p w14:paraId="22A144CF" w14:textId="77777777" w:rsidR="0038500A" w:rsidRDefault="0038500A" w:rsidP="00007066">
            <w:pPr>
              <w:ind w:right="228"/>
            </w:pPr>
          </w:p>
          <w:p w14:paraId="1FD9700D" w14:textId="57E7413A" w:rsidR="0038500A" w:rsidRPr="00D03BD0" w:rsidRDefault="00AE56ED" w:rsidP="00007066">
            <w:pPr>
              <w:ind w:right="228"/>
              <w:jc w:val="center"/>
            </w:pPr>
            <w:r>
              <w:t>p=0,</w:t>
            </w:r>
            <w:r w:rsidR="0038500A" w:rsidRPr="00D03BD0">
              <w:t>003</w:t>
            </w:r>
          </w:p>
        </w:tc>
      </w:tr>
      <w:tr w:rsidR="0038500A" w:rsidRPr="00D03BD0" w14:paraId="7DC00003" w14:textId="77777777" w:rsidTr="00B37830">
        <w:trPr>
          <w:trHeight w:hRule="exact" w:val="570"/>
        </w:trPr>
        <w:tc>
          <w:tcPr>
            <w:tcW w:w="1742" w:type="dxa"/>
            <w:tcBorders>
              <w:left w:val="single" w:sz="2" w:space="0" w:color="000000"/>
              <w:right w:val="single" w:sz="2" w:space="0" w:color="000000"/>
            </w:tcBorders>
          </w:tcPr>
          <w:p w14:paraId="353A36C9"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vAlign w:val="center"/>
          </w:tcPr>
          <w:p w14:paraId="15549C42" w14:textId="27753F24" w:rsidR="0038500A" w:rsidRPr="00D03BD0" w:rsidRDefault="00AE56ED" w:rsidP="00AE56ED">
            <w:pPr>
              <w:spacing w:line="201" w:lineRule="exact"/>
              <w:ind w:right="142"/>
            </w:pPr>
            <w:r>
              <w:rPr>
                <w:lang w:val="bg-BG"/>
              </w:rPr>
              <w:t>Най-добро ниво на отговорност</w:t>
            </w:r>
            <w:r w:rsidR="0038500A">
              <w:t xml:space="preserve"> </w:t>
            </w:r>
            <w:r w:rsidR="0038500A" w:rsidRPr="00D03BD0">
              <w:t>(CR/PR)</w:t>
            </w:r>
          </w:p>
        </w:tc>
        <w:tc>
          <w:tcPr>
            <w:tcW w:w="1276" w:type="dxa"/>
            <w:tcBorders>
              <w:top w:val="single" w:sz="2" w:space="0" w:color="000000"/>
              <w:left w:val="single" w:sz="2" w:space="0" w:color="000000"/>
              <w:bottom w:val="single" w:sz="2" w:space="0" w:color="000000"/>
              <w:right w:val="single" w:sz="2" w:space="0" w:color="000000"/>
            </w:tcBorders>
          </w:tcPr>
          <w:p w14:paraId="69FB3E48" w14:textId="675DC8AF" w:rsidR="0038500A" w:rsidRPr="00D03BD0" w:rsidRDefault="0038500A" w:rsidP="00AE56ED">
            <w:pPr>
              <w:spacing w:before="97"/>
              <w:ind w:left="401" w:right="-20"/>
            </w:pPr>
            <w:r w:rsidRPr="00D03BD0">
              <w:t>54</w:t>
            </w:r>
            <w:r w:rsidR="00AE56ED">
              <w:rPr>
                <w:lang w:val="bg-BG"/>
              </w:rPr>
              <w:t>,</w:t>
            </w:r>
            <w:r w:rsidRPr="00D03BD0">
              <w:t>5%</w:t>
            </w:r>
          </w:p>
        </w:tc>
        <w:tc>
          <w:tcPr>
            <w:tcW w:w="1276" w:type="dxa"/>
            <w:tcBorders>
              <w:top w:val="single" w:sz="2" w:space="0" w:color="000000"/>
              <w:left w:val="single" w:sz="2" w:space="0" w:color="000000"/>
              <w:bottom w:val="single" w:sz="2" w:space="0" w:color="000000"/>
              <w:right w:val="single" w:sz="2" w:space="0" w:color="000000"/>
            </w:tcBorders>
          </w:tcPr>
          <w:p w14:paraId="669133BC" w14:textId="01B529D2" w:rsidR="0038500A" w:rsidRPr="00D03BD0" w:rsidRDefault="0038500A" w:rsidP="00AE56ED">
            <w:pPr>
              <w:spacing w:before="97"/>
              <w:ind w:left="401" w:right="-20"/>
            </w:pPr>
            <w:r w:rsidRPr="00D03BD0">
              <w:t>10</w:t>
            </w:r>
            <w:r w:rsidR="00AE56ED">
              <w:rPr>
                <w:lang w:val="bg-BG"/>
              </w:rPr>
              <w:t>,</w:t>
            </w:r>
            <w:r w:rsidRPr="00D03BD0">
              <w:t>5%</w:t>
            </w:r>
          </w:p>
        </w:tc>
        <w:tc>
          <w:tcPr>
            <w:tcW w:w="1559" w:type="dxa"/>
            <w:tcBorders>
              <w:top w:val="single" w:sz="2" w:space="0" w:color="000000"/>
              <w:left w:val="single" w:sz="2" w:space="0" w:color="000000"/>
              <w:bottom w:val="single" w:sz="2" w:space="0" w:color="000000"/>
              <w:right w:val="single" w:sz="2" w:space="0" w:color="000000"/>
            </w:tcBorders>
          </w:tcPr>
          <w:p w14:paraId="6B7A9C7E" w14:textId="77777777" w:rsidR="0038500A" w:rsidRPr="00D03BD0" w:rsidRDefault="0038500A" w:rsidP="00007066"/>
        </w:tc>
        <w:tc>
          <w:tcPr>
            <w:tcW w:w="1229" w:type="dxa"/>
            <w:tcBorders>
              <w:top w:val="single" w:sz="2" w:space="0" w:color="000000"/>
              <w:left w:val="single" w:sz="2" w:space="0" w:color="000000"/>
              <w:bottom w:val="single" w:sz="2" w:space="0" w:color="000000"/>
              <w:right w:val="single" w:sz="2" w:space="0" w:color="000000"/>
            </w:tcBorders>
          </w:tcPr>
          <w:p w14:paraId="59D28EE0" w14:textId="10329485" w:rsidR="0038500A" w:rsidRPr="00D03BD0" w:rsidRDefault="00AE56ED" w:rsidP="00007066">
            <w:pPr>
              <w:spacing w:before="97"/>
              <w:ind w:left="290" w:right="-20"/>
            </w:pPr>
            <w:r>
              <w:t>p&lt;0,</w:t>
            </w:r>
            <w:r w:rsidR="0038500A" w:rsidRPr="00D03BD0">
              <w:t>0001</w:t>
            </w:r>
          </w:p>
        </w:tc>
      </w:tr>
      <w:tr w:rsidR="0038500A" w:rsidRPr="00D03BD0" w14:paraId="0A4C1390" w14:textId="77777777" w:rsidTr="00B37830">
        <w:trPr>
          <w:trHeight w:hRule="exact" w:val="543"/>
        </w:trPr>
        <w:tc>
          <w:tcPr>
            <w:tcW w:w="1742" w:type="dxa"/>
            <w:tcBorders>
              <w:left w:val="single" w:sz="2" w:space="0" w:color="000000"/>
              <w:bottom w:val="single" w:sz="2" w:space="0" w:color="000000"/>
              <w:right w:val="single" w:sz="2" w:space="0" w:color="000000"/>
            </w:tcBorders>
          </w:tcPr>
          <w:p w14:paraId="49CD6EB9"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vAlign w:val="center"/>
          </w:tcPr>
          <w:p w14:paraId="691D7DF4" w14:textId="35258D0C" w:rsidR="0038500A" w:rsidRPr="00D03BD0" w:rsidRDefault="00AE56ED" w:rsidP="00AE56ED">
            <w:pPr>
              <w:spacing w:before="9" w:line="206" w:lineRule="exact"/>
              <w:ind w:right="657"/>
            </w:pPr>
            <w:r>
              <w:rPr>
                <w:lang w:val="bg-BG"/>
              </w:rPr>
              <w:t>Обща преживяемост</w:t>
            </w:r>
            <w:r w:rsidR="0038500A">
              <w:t xml:space="preserve"> </w:t>
            </w:r>
            <w:r w:rsidR="0038500A" w:rsidRPr="00D03BD0">
              <w:t>(O</w:t>
            </w:r>
            <w:r>
              <w:rPr>
                <w:spacing w:val="-1"/>
              </w:rPr>
              <w:t>П</w:t>
            </w:r>
            <w:r>
              <w:t>) (месеци</w:t>
            </w:r>
            <w:r w:rsidR="0038500A" w:rsidRPr="00D03BD0">
              <w:t>)</w:t>
            </w:r>
          </w:p>
        </w:tc>
        <w:tc>
          <w:tcPr>
            <w:tcW w:w="1276" w:type="dxa"/>
            <w:tcBorders>
              <w:top w:val="single" w:sz="2" w:space="0" w:color="000000"/>
              <w:left w:val="single" w:sz="2" w:space="0" w:color="000000"/>
              <w:bottom w:val="single" w:sz="2" w:space="0" w:color="000000"/>
              <w:right w:val="single" w:sz="2" w:space="0" w:color="000000"/>
            </w:tcBorders>
            <w:vAlign w:val="center"/>
          </w:tcPr>
          <w:p w14:paraId="2B75F62C" w14:textId="1BD0E1E5" w:rsidR="0038500A" w:rsidRPr="00D03BD0" w:rsidRDefault="0038500A" w:rsidP="00AE56ED">
            <w:pPr>
              <w:spacing w:line="201" w:lineRule="exact"/>
              <w:ind w:left="443" w:right="424"/>
              <w:jc w:val="center"/>
            </w:pPr>
            <w:r w:rsidRPr="00D03BD0">
              <w:t>22</w:t>
            </w:r>
            <w:r w:rsidR="00AE56ED">
              <w:rPr>
                <w:lang w:val="bg-BG"/>
              </w:rPr>
              <w:t>,</w:t>
            </w:r>
            <w:r w:rsidRPr="00D03BD0">
              <w:t>9</w:t>
            </w:r>
          </w:p>
        </w:tc>
        <w:tc>
          <w:tcPr>
            <w:tcW w:w="1276" w:type="dxa"/>
            <w:tcBorders>
              <w:top w:val="single" w:sz="2" w:space="0" w:color="000000"/>
              <w:left w:val="single" w:sz="2" w:space="0" w:color="000000"/>
              <w:bottom w:val="single" w:sz="2" w:space="0" w:color="000000"/>
              <w:right w:val="single" w:sz="2" w:space="0" w:color="000000"/>
            </w:tcBorders>
            <w:vAlign w:val="center"/>
          </w:tcPr>
          <w:p w14:paraId="6771CB7A" w14:textId="77203467" w:rsidR="0038500A" w:rsidRPr="00D03BD0" w:rsidRDefault="0038500A" w:rsidP="00AE56ED">
            <w:pPr>
              <w:spacing w:line="201" w:lineRule="exact"/>
              <w:ind w:left="443" w:right="423"/>
              <w:jc w:val="center"/>
            </w:pPr>
            <w:r w:rsidRPr="00D03BD0">
              <w:t>18</w:t>
            </w:r>
            <w:r w:rsidR="00AE56ED">
              <w:rPr>
                <w:lang w:val="bg-BG"/>
              </w:rPr>
              <w:t>,</w:t>
            </w:r>
            <w:r w:rsidRPr="00D03BD0">
              <w:t>8</w:t>
            </w:r>
          </w:p>
        </w:tc>
        <w:tc>
          <w:tcPr>
            <w:tcW w:w="1559" w:type="dxa"/>
            <w:tcBorders>
              <w:top w:val="single" w:sz="2" w:space="0" w:color="000000"/>
              <w:left w:val="single" w:sz="2" w:space="0" w:color="000000"/>
              <w:bottom w:val="single" w:sz="2" w:space="0" w:color="000000"/>
              <w:right w:val="single" w:sz="2" w:space="0" w:color="000000"/>
            </w:tcBorders>
            <w:vAlign w:val="center"/>
          </w:tcPr>
          <w:p w14:paraId="1397EAD4" w14:textId="1D4FFAD2" w:rsidR="0038500A" w:rsidRPr="00D03BD0" w:rsidRDefault="00AE56ED" w:rsidP="00AE56ED">
            <w:pPr>
              <w:spacing w:before="9" w:line="206" w:lineRule="exact"/>
              <w:ind w:left="228" w:right="178" w:firstLine="247"/>
              <w:jc w:val="center"/>
            </w:pPr>
            <w:r>
              <w:t>0,</w:t>
            </w:r>
            <w:r w:rsidR="0038500A" w:rsidRPr="00D03BD0">
              <w:t>80 [0</w:t>
            </w:r>
            <w:r>
              <w:rPr>
                <w:lang w:val="bg-BG"/>
              </w:rPr>
              <w:t>,</w:t>
            </w:r>
            <w:r w:rsidR="0038500A" w:rsidRPr="00D03BD0">
              <w:t>47-1</w:t>
            </w:r>
            <w:r>
              <w:rPr>
                <w:lang w:val="bg-BG"/>
              </w:rPr>
              <w:t>,</w:t>
            </w:r>
            <w:r w:rsidR="0038500A" w:rsidRPr="00D03BD0">
              <w:t>37]</w:t>
            </w:r>
          </w:p>
        </w:tc>
        <w:tc>
          <w:tcPr>
            <w:tcW w:w="1229" w:type="dxa"/>
            <w:tcBorders>
              <w:top w:val="single" w:sz="2" w:space="0" w:color="000000"/>
              <w:left w:val="single" w:sz="2" w:space="0" w:color="000000"/>
              <w:bottom w:val="single" w:sz="2" w:space="0" w:color="000000"/>
              <w:right w:val="single" w:sz="2" w:space="0" w:color="000000"/>
            </w:tcBorders>
            <w:vAlign w:val="center"/>
          </w:tcPr>
          <w:p w14:paraId="461882E2" w14:textId="77777777" w:rsidR="0038500A" w:rsidRPr="00D03BD0" w:rsidRDefault="0038500A" w:rsidP="00007066">
            <w:pPr>
              <w:spacing w:before="10" w:line="100" w:lineRule="exact"/>
              <w:jc w:val="center"/>
            </w:pPr>
          </w:p>
          <w:p w14:paraId="3561F6F6" w14:textId="33D6FA6A" w:rsidR="0038500A" w:rsidRPr="00D03BD0" w:rsidRDefault="00AE56ED" w:rsidP="00007066">
            <w:pPr>
              <w:ind w:left="290" w:right="-20"/>
              <w:jc w:val="center"/>
            </w:pPr>
            <w:r>
              <w:t>p=0,</w:t>
            </w:r>
            <w:r w:rsidR="0038500A" w:rsidRPr="00D03BD0">
              <w:t>4170</w:t>
            </w:r>
          </w:p>
        </w:tc>
      </w:tr>
      <w:tr w:rsidR="0038500A" w:rsidRPr="00D03BD0" w14:paraId="637D76F3" w14:textId="77777777" w:rsidTr="00B37830">
        <w:trPr>
          <w:trHeight w:hRule="exact" w:val="483"/>
        </w:trPr>
        <w:tc>
          <w:tcPr>
            <w:tcW w:w="1742" w:type="dxa"/>
            <w:vMerge w:val="restart"/>
            <w:tcBorders>
              <w:top w:val="single" w:sz="2" w:space="0" w:color="000000"/>
              <w:left w:val="single" w:sz="2" w:space="0" w:color="000000"/>
              <w:right w:val="single" w:sz="2" w:space="0" w:color="000000"/>
            </w:tcBorders>
          </w:tcPr>
          <w:p w14:paraId="239726C6" w14:textId="597EC591" w:rsidR="0038500A" w:rsidRPr="00D03BD0" w:rsidRDefault="00AE56ED" w:rsidP="00AE56ED">
            <w:pPr>
              <w:spacing w:line="201" w:lineRule="exact"/>
              <w:ind w:left="105" w:right="49"/>
            </w:pPr>
            <w:r>
              <w:t>Експлоративен</w:t>
            </w:r>
          </w:p>
          <w:p w14:paraId="78B73AE4" w14:textId="39F2D5E7" w:rsidR="0038500A" w:rsidRPr="00D03BD0" w:rsidRDefault="00AE56ED" w:rsidP="00007066">
            <w:pPr>
              <w:spacing w:line="239" w:lineRule="auto"/>
              <w:ind w:left="105" w:right="408"/>
            </w:pPr>
            <w:r>
              <w:t>анализ</w:t>
            </w:r>
            <w:r w:rsidR="0038500A" w:rsidRPr="00D03BD0">
              <w:t xml:space="preserve"> (40% O</w:t>
            </w:r>
            <w:r>
              <w:rPr>
                <w:lang w:val="bg-BG"/>
              </w:rPr>
              <w:t>П зрялост</w:t>
            </w:r>
            <w:r w:rsidR="0038500A" w:rsidRPr="00D03BD0">
              <w:t>) (n=173)</w:t>
            </w:r>
          </w:p>
          <w:p w14:paraId="285B292D" w14:textId="77777777" w:rsidR="0038500A" w:rsidRPr="00D03BD0" w:rsidRDefault="0038500A" w:rsidP="00007066">
            <w:pPr>
              <w:spacing w:before="9" w:line="200" w:lineRule="exact"/>
            </w:pPr>
          </w:p>
          <w:p w14:paraId="4C477000" w14:textId="7B9C1E74" w:rsidR="0038500A" w:rsidRPr="00D03BD0" w:rsidRDefault="00AE56ED" w:rsidP="00AE56ED">
            <w:pPr>
              <w:ind w:left="105" w:right="198"/>
            </w:pPr>
            <w:r>
              <w:rPr>
                <w:sz w:val="14"/>
              </w:rPr>
              <w:t>Крайна дата</w:t>
            </w:r>
            <w:r w:rsidR="0038500A" w:rsidRPr="00DC0338">
              <w:rPr>
                <w:sz w:val="14"/>
              </w:rPr>
              <w:t>:</w:t>
            </w:r>
            <w:r w:rsidR="0038500A" w:rsidRPr="00DC0338">
              <w:rPr>
                <w:spacing w:val="-2"/>
                <w:sz w:val="14"/>
              </w:rPr>
              <w:t xml:space="preserve"> </w:t>
            </w:r>
            <w:r>
              <w:rPr>
                <w:spacing w:val="-2"/>
                <w:sz w:val="14"/>
                <w:lang w:val="bg-BG"/>
              </w:rPr>
              <w:t>Януари</w:t>
            </w:r>
            <w:r w:rsidR="0038500A" w:rsidRPr="00DC0338">
              <w:rPr>
                <w:spacing w:val="-1"/>
                <w:sz w:val="14"/>
              </w:rPr>
              <w:t xml:space="preserve"> </w:t>
            </w:r>
            <w:r w:rsidR="0038500A" w:rsidRPr="00DC0338">
              <w:rPr>
                <w:spacing w:val="1"/>
                <w:sz w:val="14"/>
              </w:rPr>
              <w:t>2011</w:t>
            </w:r>
          </w:p>
        </w:tc>
        <w:tc>
          <w:tcPr>
            <w:tcW w:w="2835" w:type="dxa"/>
            <w:tcBorders>
              <w:top w:val="single" w:sz="2" w:space="0" w:color="000000"/>
              <w:left w:val="single" w:sz="2" w:space="0" w:color="000000"/>
              <w:bottom w:val="single" w:sz="2" w:space="0" w:color="000000"/>
              <w:right w:val="single" w:sz="2" w:space="0" w:color="000000"/>
            </w:tcBorders>
            <w:vAlign w:val="center"/>
          </w:tcPr>
          <w:p w14:paraId="6BA082DE" w14:textId="77777777" w:rsidR="0038500A" w:rsidRPr="00D03BD0" w:rsidRDefault="0038500A" w:rsidP="00007066">
            <w:pPr>
              <w:jc w:val="center"/>
            </w:pPr>
          </w:p>
        </w:tc>
        <w:tc>
          <w:tcPr>
            <w:tcW w:w="1276" w:type="dxa"/>
            <w:tcBorders>
              <w:top w:val="single" w:sz="2" w:space="0" w:color="000000"/>
              <w:left w:val="single" w:sz="2" w:space="0" w:color="000000"/>
              <w:bottom w:val="single" w:sz="2" w:space="0" w:color="000000"/>
              <w:right w:val="single" w:sz="2" w:space="0" w:color="000000"/>
            </w:tcBorders>
            <w:vAlign w:val="center"/>
          </w:tcPr>
          <w:p w14:paraId="07C97ACF" w14:textId="77777777" w:rsidR="0038500A" w:rsidRPr="00D03BD0" w:rsidRDefault="0038500A" w:rsidP="00007066">
            <w:pPr>
              <w:spacing w:before="84"/>
              <w:ind w:left="414" w:right="397"/>
              <w:jc w:val="center"/>
            </w:pPr>
            <w:r w:rsidRPr="00D03BD0">
              <w:t>n=86</w:t>
            </w:r>
          </w:p>
        </w:tc>
        <w:tc>
          <w:tcPr>
            <w:tcW w:w="1276" w:type="dxa"/>
            <w:tcBorders>
              <w:top w:val="single" w:sz="2" w:space="0" w:color="000000"/>
              <w:left w:val="single" w:sz="2" w:space="0" w:color="000000"/>
              <w:bottom w:val="single" w:sz="2" w:space="0" w:color="000000"/>
              <w:right w:val="single" w:sz="2" w:space="0" w:color="000000"/>
            </w:tcBorders>
            <w:vAlign w:val="center"/>
          </w:tcPr>
          <w:p w14:paraId="577909ED" w14:textId="77777777" w:rsidR="0038500A" w:rsidRPr="00D03BD0" w:rsidRDefault="0038500A" w:rsidP="00007066">
            <w:pPr>
              <w:spacing w:before="84"/>
              <w:ind w:left="407" w:right="389"/>
              <w:jc w:val="center"/>
            </w:pPr>
            <w:r w:rsidRPr="00D03BD0">
              <w:t>n=87</w:t>
            </w:r>
          </w:p>
        </w:tc>
        <w:tc>
          <w:tcPr>
            <w:tcW w:w="1559" w:type="dxa"/>
            <w:tcBorders>
              <w:top w:val="single" w:sz="2" w:space="0" w:color="000000"/>
              <w:left w:val="single" w:sz="2" w:space="0" w:color="000000"/>
              <w:bottom w:val="single" w:sz="2" w:space="0" w:color="000000"/>
              <w:right w:val="single" w:sz="2" w:space="0" w:color="000000"/>
            </w:tcBorders>
            <w:vAlign w:val="center"/>
          </w:tcPr>
          <w:p w14:paraId="597EA1D0" w14:textId="77777777" w:rsidR="0038500A" w:rsidRPr="00D03BD0" w:rsidRDefault="0038500A" w:rsidP="00007066">
            <w:pPr>
              <w:jc w:val="center"/>
            </w:pPr>
          </w:p>
        </w:tc>
        <w:tc>
          <w:tcPr>
            <w:tcW w:w="1229" w:type="dxa"/>
            <w:tcBorders>
              <w:top w:val="single" w:sz="2" w:space="0" w:color="000000"/>
              <w:left w:val="single" w:sz="2" w:space="0" w:color="000000"/>
              <w:bottom w:val="single" w:sz="2" w:space="0" w:color="000000"/>
              <w:right w:val="single" w:sz="2" w:space="0" w:color="000000"/>
            </w:tcBorders>
            <w:vAlign w:val="center"/>
          </w:tcPr>
          <w:p w14:paraId="6A1284CC" w14:textId="77777777" w:rsidR="0038500A" w:rsidRPr="00D03BD0" w:rsidRDefault="0038500A" w:rsidP="00007066">
            <w:pPr>
              <w:jc w:val="center"/>
            </w:pPr>
          </w:p>
        </w:tc>
      </w:tr>
      <w:tr w:rsidR="0038500A" w:rsidRPr="00D03BD0" w14:paraId="639FE2C2" w14:textId="77777777" w:rsidTr="00B37830">
        <w:trPr>
          <w:trHeight w:hRule="exact" w:val="536"/>
        </w:trPr>
        <w:tc>
          <w:tcPr>
            <w:tcW w:w="1742" w:type="dxa"/>
            <w:vMerge/>
            <w:tcBorders>
              <w:left w:val="single" w:sz="2" w:space="0" w:color="000000"/>
              <w:right w:val="single" w:sz="2" w:space="0" w:color="000000"/>
            </w:tcBorders>
          </w:tcPr>
          <w:p w14:paraId="5F49373F"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vAlign w:val="center"/>
          </w:tcPr>
          <w:p w14:paraId="16D9461A" w14:textId="1EBA79DB" w:rsidR="0038500A" w:rsidRPr="00AE56ED" w:rsidRDefault="00AE56ED" w:rsidP="00AE56ED">
            <w:pPr>
              <w:spacing w:before="14" w:line="206" w:lineRule="exact"/>
              <w:ind w:right="448"/>
              <w:rPr>
                <w:lang w:val="bg-BG"/>
              </w:rPr>
            </w:pPr>
            <w:r>
              <w:rPr>
                <w:lang w:val="bg-BG"/>
              </w:rPr>
              <w:t>ПБП</w:t>
            </w:r>
            <w:r>
              <w:t xml:space="preserve"> (медиана в месеци</w:t>
            </w:r>
            <w:r w:rsidR="0038500A" w:rsidRPr="00D03BD0">
              <w:t xml:space="preserve">), </w:t>
            </w:r>
            <w:r>
              <w:rPr>
                <w:lang w:val="bg-BG"/>
              </w:rPr>
              <w:t>Оценка на изследователя</w:t>
            </w:r>
          </w:p>
        </w:tc>
        <w:tc>
          <w:tcPr>
            <w:tcW w:w="1276" w:type="dxa"/>
            <w:tcBorders>
              <w:top w:val="single" w:sz="2" w:space="0" w:color="000000"/>
              <w:left w:val="single" w:sz="2" w:space="0" w:color="000000"/>
              <w:bottom w:val="single" w:sz="2" w:space="0" w:color="000000"/>
              <w:right w:val="single" w:sz="2" w:space="0" w:color="000000"/>
            </w:tcBorders>
            <w:vAlign w:val="center"/>
          </w:tcPr>
          <w:p w14:paraId="28632199" w14:textId="77777777" w:rsidR="0038500A" w:rsidRPr="00D03BD0" w:rsidRDefault="0038500A" w:rsidP="00007066">
            <w:pPr>
              <w:spacing w:before="4" w:line="110" w:lineRule="exact"/>
              <w:jc w:val="center"/>
            </w:pPr>
          </w:p>
          <w:p w14:paraId="7E0CAF5D" w14:textId="11D63CB4" w:rsidR="0038500A" w:rsidRPr="00D03BD0" w:rsidRDefault="0038500A" w:rsidP="00AE56ED">
            <w:pPr>
              <w:ind w:left="487" w:right="470"/>
              <w:jc w:val="center"/>
            </w:pPr>
            <w:r w:rsidRPr="00D03BD0">
              <w:t>9</w:t>
            </w:r>
            <w:r w:rsidR="00AE56ED">
              <w:rPr>
                <w:lang w:val="bg-BG"/>
              </w:rPr>
              <w:t>,</w:t>
            </w:r>
            <w:r w:rsidRPr="00D03BD0">
              <w:t>7</w:t>
            </w:r>
          </w:p>
        </w:tc>
        <w:tc>
          <w:tcPr>
            <w:tcW w:w="1276" w:type="dxa"/>
            <w:tcBorders>
              <w:top w:val="single" w:sz="2" w:space="0" w:color="000000"/>
              <w:left w:val="single" w:sz="2" w:space="0" w:color="000000"/>
              <w:bottom w:val="single" w:sz="2" w:space="0" w:color="000000"/>
              <w:right w:val="single" w:sz="2" w:space="0" w:color="000000"/>
            </w:tcBorders>
            <w:vAlign w:val="center"/>
          </w:tcPr>
          <w:p w14:paraId="47B0793F" w14:textId="77777777" w:rsidR="0038500A" w:rsidRPr="00D03BD0" w:rsidRDefault="0038500A" w:rsidP="00007066">
            <w:pPr>
              <w:spacing w:before="4" w:line="110" w:lineRule="exact"/>
              <w:jc w:val="center"/>
            </w:pPr>
          </w:p>
          <w:p w14:paraId="58284678" w14:textId="15E03C68" w:rsidR="0038500A" w:rsidRPr="00D03BD0" w:rsidRDefault="0038500A" w:rsidP="00AE56ED">
            <w:pPr>
              <w:ind w:left="487" w:right="469"/>
              <w:jc w:val="center"/>
            </w:pPr>
            <w:r w:rsidRPr="00D03BD0">
              <w:t>5</w:t>
            </w:r>
            <w:r w:rsidR="00AE56ED">
              <w:rPr>
                <w:lang w:val="bg-BG"/>
              </w:rPr>
              <w:t>,</w:t>
            </w:r>
            <w:r w:rsidRPr="00D03BD0">
              <w:t>2</w:t>
            </w:r>
          </w:p>
        </w:tc>
        <w:tc>
          <w:tcPr>
            <w:tcW w:w="1559" w:type="dxa"/>
            <w:tcBorders>
              <w:top w:val="single" w:sz="2" w:space="0" w:color="000000"/>
              <w:left w:val="single" w:sz="2" w:space="0" w:color="000000"/>
              <w:bottom w:val="single" w:sz="2" w:space="0" w:color="000000"/>
              <w:right w:val="single" w:sz="2" w:space="0" w:color="000000"/>
            </w:tcBorders>
            <w:vAlign w:val="center"/>
          </w:tcPr>
          <w:p w14:paraId="1C24489B" w14:textId="27959123" w:rsidR="0038500A" w:rsidRPr="00D03BD0" w:rsidRDefault="00AE56ED" w:rsidP="00AE56ED">
            <w:pPr>
              <w:spacing w:before="14" w:line="206" w:lineRule="exact"/>
              <w:ind w:left="228" w:right="178" w:firstLine="247"/>
              <w:jc w:val="center"/>
            </w:pPr>
            <w:r>
              <w:t>0,37 [0</w:t>
            </w:r>
            <w:r>
              <w:rPr>
                <w:lang w:val="bg-BG"/>
              </w:rPr>
              <w:t>,</w:t>
            </w:r>
            <w:r>
              <w:t>27-0,</w:t>
            </w:r>
            <w:r w:rsidR="0038500A" w:rsidRPr="00D03BD0">
              <w:t>54]</w:t>
            </w:r>
          </w:p>
        </w:tc>
        <w:tc>
          <w:tcPr>
            <w:tcW w:w="1229" w:type="dxa"/>
            <w:tcBorders>
              <w:top w:val="single" w:sz="2" w:space="0" w:color="000000"/>
              <w:left w:val="single" w:sz="2" w:space="0" w:color="000000"/>
              <w:bottom w:val="single" w:sz="2" w:space="0" w:color="000000"/>
              <w:right w:val="single" w:sz="2" w:space="0" w:color="000000"/>
            </w:tcBorders>
            <w:vAlign w:val="center"/>
          </w:tcPr>
          <w:p w14:paraId="37022213" w14:textId="77777777" w:rsidR="0038500A" w:rsidRPr="00D03BD0" w:rsidRDefault="0038500A" w:rsidP="00007066">
            <w:pPr>
              <w:spacing w:before="4" w:line="110" w:lineRule="exact"/>
              <w:jc w:val="center"/>
            </w:pPr>
          </w:p>
          <w:p w14:paraId="67E1FC7B" w14:textId="6977B54B" w:rsidR="0038500A" w:rsidRPr="00D03BD0" w:rsidRDefault="00AE56ED" w:rsidP="00007066">
            <w:pPr>
              <w:ind w:left="291" w:right="-20"/>
              <w:jc w:val="center"/>
            </w:pPr>
            <w:r>
              <w:t>p&lt;0,</w:t>
            </w:r>
            <w:r w:rsidR="0038500A" w:rsidRPr="00D03BD0">
              <w:t>0001</w:t>
            </w:r>
          </w:p>
        </w:tc>
      </w:tr>
      <w:tr w:rsidR="0038500A" w:rsidRPr="00D03BD0" w14:paraId="22690A4A" w14:textId="77777777" w:rsidTr="00B37830">
        <w:trPr>
          <w:trHeight w:hRule="exact" w:val="574"/>
        </w:trPr>
        <w:tc>
          <w:tcPr>
            <w:tcW w:w="1742" w:type="dxa"/>
            <w:vMerge/>
            <w:tcBorders>
              <w:left w:val="single" w:sz="2" w:space="0" w:color="000000"/>
              <w:right w:val="single" w:sz="2" w:space="0" w:color="000000"/>
            </w:tcBorders>
          </w:tcPr>
          <w:p w14:paraId="07CB11C9"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vAlign w:val="center"/>
          </w:tcPr>
          <w:p w14:paraId="0B6A98BF" w14:textId="0589A044" w:rsidR="0038500A" w:rsidRPr="00D03BD0" w:rsidRDefault="00AE56ED" w:rsidP="00AE56ED">
            <w:pPr>
              <w:ind w:right="-20"/>
            </w:pPr>
            <w:r>
              <w:rPr>
                <w:lang w:val="bg-BG"/>
              </w:rPr>
              <w:t>Най-добро ниво на отговорност</w:t>
            </w:r>
            <w:r>
              <w:t xml:space="preserve"> </w:t>
            </w:r>
            <w:r w:rsidRPr="00D03BD0">
              <w:t>(CR/PR)</w:t>
            </w:r>
          </w:p>
        </w:tc>
        <w:tc>
          <w:tcPr>
            <w:tcW w:w="1276" w:type="dxa"/>
            <w:tcBorders>
              <w:top w:val="single" w:sz="2" w:space="0" w:color="000000"/>
              <w:left w:val="single" w:sz="2" w:space="0" w:color="000000"/>
              <w:bottom w:val="single" w:sz="2" w:space="0" w:color="000000"/>
              <w:right w:val="single" w:sz="2" w:space="0" w:color="000000"/>
            </w:tcBorders>
            <w:vAlign w:val="center"/>
          </w:tcPr>
          <w:p w14:paraId="13729235" w14:textId="3B06123A" w:rsidR="0038500A" w:rsidRPr="00D03BD0" w:rsidRDefault="0038500A" w:rsidP="00AE56ED">
            <w:pPr>
              <w:spacing w:before="97"/>
              <w:ind w:left="401" w:right="-20"/>
              <w:jc w:val="center"/>
            </w:pPr>
            <w:r w:rsidRPr="00D03BD0">
              <w:t>58</w:t>
            </w:r>
            <w:r w:rsidR="00AE56ED">
              <w:rPr>
                <w:lang w:val="bg-BG"/>
              </w:rPr>
              <w:t>,</w:t>
            </w:r>
            <w:r w:rsidRPr="00D03BD0">
              <w:t>1%</w:t>
            </w:r>
          </w:p>
        </w:tc>
        <w:tc>
          <w:tcPr>
            <w:tcW w:w="1276" w:type="dxa"/>
            <w:tcBorders>
              <w:top w:val="single" w:sz="2" w:space="0" w:color="000000"/>
              <w:left w:val="single" w:sz="2" w:space="0" w:color="000000"/>
              <w:bottom w:val="single" w:sz="2" w:space="0" w:color="000000"/>
              <w:right w:val="single" w:sz="2" w:space="0" w:color="000000"/>
            </w:tcBorders>
            <w:vAlign w:val="center"/>
          </w:tcPr>
          <w:p w14:paraId="2D5FC549" w14:textId="77777777" w:rsidR="0038500A" w:rsidRPr="00D03BD0" w:rsidRDefault="0038500A" w:rsidP="00007066">
            <w:pPr>
              <w:spacing w:before="97"/>
              <w:ind w:left="401" w:right="-20"/>
              <w:jc w:val="center"/>
            </w:pPr>
            <w:r w:rsidRPr="00D03BD0">
              <w:t>14.9%</w:t>
            </w:r>
          </w:p>
        </w:tc>
        <w:tc>
          <w:tcPr>
            <w:tcW w:w="1559" w:type="dxa"/>
            <w:tcBorders>
              <w:top w:val="single" w:sz="2" w:space="0" w:color="000000"/>
              <w:left w:val="single" w:sz="2" w:space="0" w:color="000000"/>
              <w:bottom w:val="single" w:sz="2" w:space="0" w:color="000000"/>
              <w:right w:val="single" w:sz="2" w:space="0" w:color="000000"/>
            </w:tcBorders>
            <w:vAlign w:val="center"/>
          </w:tcPr>
          <w:p w14:paraId="4E2046AE" w14:textId="77777777" w:rsidR="0038500A" w:rsidRPr="00D03BD0" w:rsidRDefault="0038500A" w:rsidP="00007066">
            <w:pPr>
              <w:jc w:val="center"/>
            </w:pPr>
          </w:p>
        </w:tc>
        <w:tc>
          <w:tcPr>
            <w:tcW w:w="1229" w:type="dxa"/>
            <w:tcBorders>
              <w:top w:val="single" w:sz="2" w:space="0" w:color="000000"/>
              <w:left w:val="single" w:sz="2" w:space="0" w:color="000000"/>
              <w:bottom w:val="single" w:sz="2" w:space="0" w:color="000000"/>
              <w:right w:val="single" w:sz="2" w:space="0" w:color="000000"/>
            </w:tcBorders>
            <w:vAlign w:val="center"/>
          </w:tcPr>
          <w:p w14:paraId="47444DCA" w14:textId="5B45FA49" w:rsidR="0038500A" w:rsidRPr="00D03BD0" w:rsidRDefault="0038500A" w:rsidP="00AE56ED">
            <w:pPr>
              <w:spacing w:before="97"/>
              <w:ind w:left="290" w:right="-20"/>
              <w:jc w:val="center"/>
            </w:pPr>
            <w:r w:rsidRPr="00D03BD0">
              <w:t>p&lt;0</w:t>
            </w:r>
            <w:r w:rsidR="00AE56ED">
              <w:rPr>
                <w:lang w:val="bg-BG"/>
              </w:rPr>
              <w:t>,</w:t>
            </w:r>
            <w:r w:rsidRPr="00D03BD0">
              <w:t>0001</w:t>
            </w:r>
          </w:p>
        </w:tc>
      </w:tr>
      <w:tr w:rsidR="0038500A" w:rsidRPr="00D03BD0" w14:paraId="568110E6" w14:textId="77777777" w:rsidTr="00B37830">
        <w:trPr>
          <w:trHeight w:hRule="exact" w:val="584"/>
        </w:trPr>
        <w:tc>
          <w:tcPr>
            <w:tcW w:w="1742" w:type="dxa"/>
            <w:vMerge/>
            <w:tcBorders>
              <w:left w:val="single" w:sz="2" w:space="0" w:color="000000"/>
              <w:bottom w:val="single" w:sz="2" w:space="0" w:color="000000"/>
              <w:right w:val="single" w:sz="2" w:space="0" w:color="000000"/>
            </w:tcBorders>
          </w:tcPr>
          <w:p w14:paraId="32BC6C6F"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vAlign w:val="center"/>
          </w:tcPr>
          <w:p w14:paraId="0198B6F8" w14:textId="34420B8D" w:rsidR="0038500A" w:rsidRPr="00D03BD0" w:rsidRDefault="00AE56ED" w:rsidP="00AE56ED">
            <w:pPr>
              <w:spacing w:before="97"/>
              <w:ind w:right="-20"/>
            </w:pPr>
            <w:r>
              <w:t>OП</w:t>
            </w:r>
            <w:r w:rsidR="0038500A" w:rsidRPr="00D03BD0">
              <w:rPr>
                <w:spacing w:val="1"/>
              </w:rPr>
              <w:t xml:space="preserve"> </w:t>
            </w:r>
            <w:r>
              <w:t>(месеци</w:t>
            </w:r>
            <w:r w:rsidR="0038500A" w:rsidRPr="00D03BD0">
              <w:t>)</w:t>
            </w:r>
          </w:p>
        </w:tc>
        <w:tc>
          <w:tcPr>
            <w:tcW w:w="1276" w:type="dxa"/>
            <w:tcBorders>
              <w:top w:val="single" w:sz="2" w:space="0" w:color="000000"/>
              <w:left w:val="single" w:sz="2" w:space="0" w:color="000000"/>
              <w:bottom w:val="single" w:sz="2" w:space="0" w:color="000000"/>
              <w:right w:val="single" w:sz="2" w:space="0" w:color="000000"/>
            </w:tcBorders>
            <w:vAlign w:val="center"/>
          </w:tcPr>
          <w:p w14:paraId="5AAFF6FF" w14:textId="105AD44B" w:rsidR="0038500A" w:rsidRPr="00D03BD0" w:rsidRDefault="0038500A" w:rsidP="00AE56ED">
            <w:pPr>
              <w:spacing w:before="97"/>
              <w:ind w:left="445" w:right="423"/>
              <w:jc w:val="center"/>
            </w:pPr>
            <w:r w:rsidRPr="00D03BD0">
              <w:t>19</w:t>
            </w:r>
            <w:r w:rsidR="00AE56ED">
              <w:rPr>
                <w:lang w:val="bg-BG"/>
              </w:rPr>
              <w:t>,</w:t>
            </w:r>
            <w:r w:rsidRPr="00D03BD0">
              <w:t>3</w:t>
            </w:r>
          </w:p>
        </w:tc>
        <w:tc>
          <w:tcPr>
            <w:tcW w:w="1276" w:type="dxa"/>
            <w:tcBorders>
              <w:top w:val="single" w:sz="2" w:space="0" w:color="000000"/>
              <w:left w:val="single" w:sz="2" w:space="0" w:color="000000"/>
              <w:bottom w:val="single" w:sz="2" w:space="0" w:color="000000"/>
              <w:right w:val="single" w:sz="2" w:space="0" w:color="000000"/>
            </w:tcBorders>
            <w:vAlign w:val="center"/>
          </w:tcPr>
          <w:p w14:paraId="2BA3899A" w14:textId="1F52F53E" w:rsidR="0038500A" w:rsidRPr="00D03BD0" w:rsidRDefault="0038500A" w:rsidP="00AE56ED">
            <w:pPr>
              <w:spacing w:before="97"/>
              <w:ind w:left="444" w:right="423"/>
              <w:jc w:val="center"/>
            </w:pPr>
            <w:r w:rsidRPr="00D03BD0">
              <w:t>19</w:t>
            </w:r>
            <w:r w:rsidR="00AE56ED">
              <w:rPr>
                <w:lang w:val="bg-BG"/>
              </w:rPr>
              <w:t>,</w:t>
            </w:r>
            <w:r w:rsidRPr="00D03BD0">
              <w:t>5</w:t>
            </w:r>
          </w:p>
        </w:tc>
        <w:tc>
          <w:tcPr>
            <w:tcW w:w="1559" w:type="dxa"/>
            <w:tcBorders>
              <w:top w:val="single" w:sz="2" w:space="0" w:color="000000"/>
              <w:left w:val="single" w:sz="2" w:space="0" w:color="000000"/>
              <w:bottom w:val="single" w:sz="2" w:space="0" w:color="000000"/>
              <w:right w:val="single" w:sz="2" w:space="0" w:color="000000"/>
            </w:tcBorders>
            <w:vAlign w:val="center"/>
          </w:tcPr>
          <w:p w14:paraId="3BE2ACA4" w14:textId="1F7C4544" w:rsidR="0038500A" w:rsidRPr="00D03BD0" w:rsidRDefault="00AE56ED" w:rsidP="00007066">
            <w:pPr>
              <w:spacing w:line="201" w:lineRule="exact"/>
              <w:ind w:left="442" w:right="424"/>
              <w:jc w:val="center"/>
            </w:pPr>
            <w:r>
              <w:t>1,</w:t>
            </w:r>
            <w:r w:rsidR="0038500A" w:rsidRPr="00D03BD0">
              <w:t>04</w:t>
            </w:r>
          </w:p>
          <w:p w14:paraId="0205E54D" w14:textId="1CA90D60" w:rsidR="0038500A" w:rsidRPr="00D03BD0" w:rsidRDefault="00AE56ED" w:rsidP="00007066">
            <w:pPr>
              <w:ind w:left="195" w:right="176"/>
              <w:jc w:val="center"/>
            </w:pPr>
            <w:r>
              <w:t>[0,65-1,</w:t>
            </w:r>
            <w:r w:rsidR="0038500A" w:rsidRPr="00D03BD0">
              <w:t>68]</w:t>
            </w:r>
          </w:p>
        </w:tc>
        <w:tc>
          <w:tcPr>
            <w:tcW w:w="1229" w:type="dxa"/>
            <w:tcBorders>
              <w:top w:val="single" w:sz="2" w:space="0" w:color="000000"/>
              <w:left w:val="single" w:sz="2" w:space="0" w:color="000000"/>
              <w:bottom w:val="single" w:sz="2" w:space="0" w:color="000000"/>
              <w:right w:val="single" w:sz="2" w:space="0" w:color="000000"/>
            </w:tcBorders>
            <w:vAlign w:val="center"/>
          </w:tcPr>
          <w:p w14:paraId="373A66A8" w14:textId="7CEDEF9C" w:rsidR="0038500A" w:rsidRPr="00D03BD0" w:rsidRDefault="00AE56ED" w:rsidP="00007066">
            <w:pPr>
              <w:spacing w:before="97"/>
              <w:ind w:left="291" w:right="-20"/>
              <w:jc w:val="center"/>
            </w:pPr>
            <w:r>
              <w:t>p=0,</w:t>
            </w:r>
            <w:r w:rsidR="0038500A" w:rsidRPr="00D03BD0">
              <w:t>8702</w:t>
            </w:r>
          </w:p>
        </w:tc>
      </w:tr>
      <w:tr w:rsidR="0038500A" w:rsidRPr="00D03BD0" w14:paraId="4D324C6F" w14:textId="77777777" w:rsidTr="00B37830">
        <w:trPr>
          <w:trHeight w:hRule="exact" w:val="454"/>
        </w:trPr>
        <w:tc>
          <w:tcPr>
            <w:tcW w:w="1742" w:type="dxa"/>
            <w:vMerge w:val="restart"/>
            <w:tcBorders>
              <w:top w:val="single" w:sz="2" w:space="0" w:color="000000"/>
              <w:left w:val="single" w:sz="2" w:space="0" w:color="000000"/>
              <w:right w:val="single" w:sz="2" w:space="0" w:color="000000"/>
            </w:tcBorders>
          </w:tcPr>
          <w:p w14:paraId="30723E8B" w14:textId="587055CD" w:rsidR="0038500A" w:rsidRPr="00AE56ED" w:rsidRDefault="00AE56ED" w:rsidP="00AE56ED">
            <w:pPr>
              <w:spacing w:line="201" w:lineRule="exact"/>
              <w:ind w:left="105" w:right="190"/>
              <w:rPr>
                <w:lang w:val="bg-BG"/>
              </w:rPr>
            </w:pPr>
            <w:r>
              <w:rPr>
                <w:lang w:val="bg-BG"/>
              </w:rPr>
              <w:t>Актуализиран</w:t>
            </w:r>
          </w:p>
          <w:p w14:paraId="29D61F0F" w14:textId="2A3FB2E8" w:rsidR="0038500A" w:rsidRPr="00D03BD0" w:rsidRDefault="00AE56ED" w:rsidP="00007066">
            <w:pPr>
              <w:spacing w:line="239" w:lineRule="auto"/>
              <w:ind w:left="105" w:right="408"/>
            </w:pPr>
            <w:r>
              <w:t>анализ (62% OП зрялост</w:t>
            </w:r>
            <w:r w:rsidR="0038500A" w:rsidRPr="00D03BD0">
              <w:t>) (n=173)</w:t>
            </w:r>
          </w:p>
          <w:p w14:paraId="16723DA5" w14:textId="77777777" w:rsidR="0038500A" w:rsidRPr="00D03BD0" w:rsidRDefault="0038500A" w:rsidP="00007066">
            <w:pPr>
              <w:spacing w:before="9" w:line="200" w:lineRule="exact"/>
            </w:pPr>
          </w:p>
          <w:p w14:paraId="37B3A973" w14:textId="523CF196" w:rsidR="0038500A" w:rsidRPr="00D03BD0" w:rsidRDefault="00AE56ED" w:rsidP="00007066">
            <w:pPr>
              <w:ind w:left="105" w:right="120"/>
            </w:pPr>
            <w:r>
              <w:rPr>
                <w:sz w:val="14"/>
              </w:rPr>
              <w:t>Крайна дата</w:t>
            </w:r>
            <w:r w:rsidR="0038500A" w:rsidRPr="00DC0338">
              <w:rPr>
                <w:sz w:val="14"/>
              </w:rPr>
              <w:t>:</w:t>
            </w:r>
            <w:r>
              <w:rPr>
                <w:spacing w:val="-1"/>
                <w:sz w:val="14"/>
              </w:rPr>
              <w:t xml:space="preserve"> Април</w:t>
            </w:r>
            <w:r w:rsidR="0038500A" w:rsidRPr="00DC0338">
              <w:rPr>
                <w:spacing w:val="-2"/>
                <w:sz w:val="14"/>
              </w:rPr>
              <w:t xml:space="preserve"> </w:t>
            </w:r>
            <w:r w:rsidR="0038500A" w:rsidRPr="00DC0338">
              <w:rPr>
                <w:spacing w:val="1"/>
                <w:sz w:val="14"/>
              </w:rPr>
              <w:t>2012</w:t>
            </w:r>
          </w:p>
        </w:tc>
        <w:tc>
          <w:tcPr>
            <w:tcW w:w="2835" w:type="dxa"/>
            <w:tcBorders>
              <w:top w:val="single" w:sz="2" w:space="0" w:color="000000"/>
              <w:left w:val="single" w:sz="2" w:space="0" w:color="000000"/>
              <w:bottom w:val="single" w:sz="2" w:space="0" w:color="000000"/>
              <w:right w:val="single" w:sz="2" w:space="0" w:color="000000"/>
            </w:tcBorders>
            <w:vAlign w:val="center"/>
          </w:tcPr>
          <w:p w14:paraId="027877B3" w14:textId="77777777" w:rsidR="0038500A" w:rsidRPr="00D03BD0" w:rsidRDefault="0038500A" w:rsidP="00007066">
            <w:pPr>
              <w:jc w:val="center"/>
            </w:pPr>
          </w:p>
        </w:tc>
        <w:tc>
          <w:tcPr>
            <w:tcW w:w="1276" w:type="dxa"/>
            <w:tcBorders>
              <w:top w:val="single" w:sz="2" w:space="0" w:color="000000"/>
              <w:left w:val="single" w:sz="2" w:space="0" w:color="000000"/>
              <w:bottom w:val="single" w:sz="2" w:space="0" w:color="000000"/>
              <w:right w:val="single" w:sz="2" w:space="0" w:color="000000"/>
            </w:tcBorders>
            <w:vAlign w:val="center"/>
          </w:tcPr>
          <w:p w14:paraId="6294B61D" w14:textId="77777777" w:rsidR="0038500A" w:rsidRPr="00D03BD0" w:rsidRDefault="0038500A" w:rsidP="00007066">
            <w:pPr>
              <w:spacing w:before="72"/>
              <w:ind w:left="414" w:right="397"/>
              <w:jc w:val="center"/>
            </w:pPr>
            <w:r w:rsidRPr="00D03BD0">
              <w:t>n=86</w:t>
            </w:r>
          </w:p>
        </w:tc>
        <w:tc>
          <w:tcPr>
            <w:tcW w:w="1276" w:type="dxa"/>
            <w:tcBorders>
              <w:top w:val="single" w:sz="2" w:space="0" w:color="000000"/>
              <w:left w:val="single" w:sz="2" w:space="0" w:color="000000"/>
              <w:bottom w:val="single" w:sz="2" w:space="0" w:color="000000"/>
              <w:right w:val="single" w:sz="2" w:space="0" w:color="000000"/>
            </w:tcBorders>
            <w:vAlign w:val="center"/>
          </w:tcPr>
          <w:p w14:paraId="7E1B5731" w14:textId="77777777" w:rsidR="0038500A" w:rsidRPr="00D03BD0" w:rsidRDefault="0038500A" w:rsidP="00007066">
            <w:pPr>
              <w:spacing w:before="72"/>
              <w:ind w:left="408" w:right="390"/>
              <w:jc w:val="center"/>
            </w:pPr>
            <w:r w:rsidRPr="00D03BD0">
              <w:t>n=87</w:t>
            </w:r>
          </w:p>
        </w:tc>
        <w:tc>
          <w:tcPr>
            <w:tcW w:w="1559" w:type="dxa"/>
            <w:tcBorders>
              <w:top w:val="single" w:sz="2" w:space="0" w:color="000000"/>
              <w:left w:val="single" w:sz="2" w:space="0" w:color="000000"/>
              <w:bottom w:val="single" w:sz="2" w:space="0" w:color="000000"/>
              <w:right w:val="single" w:sz="2" w:space="0" w:color="000000"/>
            </w:tcBorders>
            <w:vAlign w:val="center"/>
          </w:tcPr>
          <w:p w14:paraId="79ECEFC7" w14:textId="77777777" w:rsidR="0038500A" w:rsidRPr="00D03BD0" w:rsidRDefault="0038500A" w:rsidP="00007066">
            <w:pPr>
              <w:jc w:val="center"/>
            </w:pPr>
          </w:p>
        </w:tc>
        <w:tc>
          <w:tcPr>
            <w:tcW w:w="1229" w:type="dxa"/>
            <w:tcBorders>
              <w:top w:val="single" w:sz="2" w:space="0" w:color="000000"/>
              <w:left w:val="single" w:sz="2" w:space="0" w:color="000000"/>
              <w:bottom w:val="single" w:sz="2" w:space="0" w:color="000000"/>
              <w:right w:val="single" w:sz="2" w:space="0" w:color="000000"/>
            </w:tcBorders>
            <w:vAlign w:val="center"/>
          </w:tcPr>
          <w:p w14:paraId="11B7A499" w14:textId="77777777" w:rsidR="0038500A" w:rsidRPr="00D03BD0" w:rsidRDefault="0038500A" w:rsidP="00007066">
            <w:pPr>
              <w:jc w:val="center"/>
            </w:pPr>
          </w:p>
        </w:tc>
      </w:tr>
      <w:tr w:rsidR="0038500A" w:rsidRPr="00D03BD0" w14:paraId="285EAF90" w14:textId="77777777" w:rsidTr="00B37830">
        <w:trPr>
          <w:trHeight w:hRule="exact" w:val="511"/>
        </w:trPr>
        <w:tc>
          <w:tcPr>
            <w:tcW w:w="1742" w:type="dxa"/>
            <w:vMerge/>
            <w:tcBorders>
              <w:left w:val="single" w:sz="2" w:space="0" w:color="000000"/>
              <w:right w:val="single" w:sz="2" w:space="0" w:color="000000"/>
            </w:tcBorders>
          </w:tcPr>
          <w:p w14:paraId="1DAB29C6"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tcPr>
          <w:p w14:paraId="4A6E568A" w14:textId="7C59E3B8" w:rsidR="0038500A" w:rsidRPr="00D03BD0" w:rsidRDefault="00AE56ED" w:rsidP="00007066">
            <w:pPr>
              <w:spacing w:before="97"/>
              <w:ind w:left="105" w:right="-20"/>
            </w:pPr>
            <w:r>
              <w:t>ПБП</w:t>
            </w:r>
            <w:r w:rsidR="0038500A" w:rsidRPr="00D03BD0">
              <w:rPr>
                <w:spacing w:val="1"/>
              </w:rPr>
              <w:t xml:space="preserve"> </w:t>
            </w:r>
            <w:r>
              <w:t>(медиана в месеци</w:t>
            </w:r>
            <w:r w:rsidR="0038500A" w:rsidRPr="00D03BD0">
              <w:t>)</w:t>
            </w:r>
          </w:p>
        </w:tc>
        <w:tc>
          <w:tcPr>
            <w:tcW w:w="1276" w:type="dxa"/>
            <w:tcBorders>
              <w:top w:val="single" w:sz="2" w:space="0" w:color="000000"/>
              <w:left w:val="single" w:sz="2" w:space="0" w:color="000000"/>
              <w:bottom w:val="single" w:sz="2" w:space="0" w:color="000000"/>
              <w:right w:val="single" w:sz="2" w:space="0" w:color="000000"/>
            </w:tcBorders>
            <w:vAlign w:val="center"/>
          </w:tcPr>
          <w:p w14:paraId="05FABC29" w14:textId="759C48F4" w:rsidR="0038500A" w:rsidRPr="00D03BD0" w:rsidRDefault="0038500A" w:rsidP="00AE56ED">
            <w:pPr>
              <w:spacing w:before="97"/>
              <w:ind w:left="444" w:right="424"/>
              <w:jc w:val="center"/>
            </w:pPr>
            <w:r w:rsidRPr="00D03BD0">
              <w:t>10</w:t>
            </w:r>
            <w:r w:rsidR="00AE56ED">
              <w:rPr>
                <w:spacing w:val="1"/>
                <w:lang w:val="bg-BG"/>
              </w:rPr>
              <w:t>,</w:t>
            </w:r>
            <w:r w:rsidRPr="00D03BD0">
              <w:t>4</w:t>
            </w:r>
          </w:p>
        </w:tc>
        <w:tc>
          <w:tcPr>
            <w:tcW w:w="1276" w:type="dxa"/>
            <w:tcBorders>
              <w:top w:val="single" w:sz="2" w:space="0" w:color="000000"/>
              <w:left w:val="single" w:sz="2" w:space="0" w:color="000000"/>
              <w:bottom w:val="single" w:sz="2" w:space="0" w:color="000000"/>
              <w:right w:val="single" w:sz="2" w:space="0" w:color="000000"/>
            </w:tcBorders>
            <w:vAlign w:val="center"/>
          </w:tcPr>
          <w:p w14:paraId="7F112411" w14:textId="7C044A65" w:rsidR="0038500A" w:rsidRPr="00D03BD0" w:rsidRDefault="0038500A" w:rsidP="00AE56ED">
            <w:pPr>
              <w:spacing w:before="97"/>
              <w:ind w:left="488" w:right="468"/>
              <w:jc w:val="center"/>
            </w:pPr>
            <w:r w:rsidRPr="00D03BD0">
              <w:t>5</w:t>
            </w:r>
            <w:r w:rsidR="00AE56ED">
              <w:rPr>
                <w:spacing w:val="1"/>
                <w:lang w:val="bg-BG"/>
              </w:rPr>
              <w:t>,</w:t>
            </w:r>
            <w:r w:rsidRPr="00D03BD0">
              <w:t>1</w:t>
            </w:r>
          </w:p>
        </w:tc>
        <w:tc>
          <w:tcPr>
            <w:tcW w:w="1559" w:type="dxa"/>
            <w:tcBorders>
              <w:top w:val="single" w:sz="2" w:space="0" w:color="000000"/>
              <w:left w:val="single" w:sz="2" w:space="0" w:color="000000"/>
              <w:bottom w:val="single" w:sz="2" w:space="0" w:color="000000"/>
              <w:right w:val="single" w:sz="2" w:space="0" w:color="000000"/>
            </w:tcBorders>
            <w:vAlign w:val="center"/>
          </w:tcPr>
          <w:p w14:paraId="4FA1A2B3" w14:textId="2E9F47F4" w:rsidR="0038500A" w:rsidRPr="00D03BD0" w:rsidRDefault="00AE56ED" w:rsidP="00007066">
            <w:pPr>
              <w:spacing w:line="201" w:lineRule="exact"/>
              <w:ind w:left="442" w:right="424"/>
              <w:jc w:val="center"/>
            </w:pPr>
            <w:r>
              <w:t>0,</w:t>
            </w:r>
            <w:r w:rsidR="0038500A" w:rsidRPr="00D03BD0">
              <w:t>34</w:t>
            </w:r>
          </w:p>
          <w:p w14:paraId="06EB970E" w14:textId="1D0E21F0" w:rsidR="0038500A" w:rsidRPr="00D03BD0" w:rsidRDefault="00AE56ED" w:rsidP="00AE56ED">
            <w:pPr>
              <w:spacing w:line="206" w:lineRule="exact"/>
              <w:ind w:left="191" w:right="172"/>
              <w:jc w:val="center"/>
            </w:pPr>
            <w:r>
              <w:t>[0</w:t>
            </w:r>
            <w:r>
              <w:rPr>
                <w:lang w:val="bg-BG"/>
              </w:rPr>
              <w:t>,</w:t>
            </w:r>
            <w:r w:rsidR="0038500A" w:rsidRPr="00D03BD0">
              <w:t>23-0</w:t>
            </w:r>
            <w:r>
              <w:rPr>
                <w:lang w:val="bg-BG"/>
              </w:rPr>
              <w:t>,</w:t>
            </w:r>
            <w:r w:rsidR="0038500A" w:rsidRPr="00D03BD0">
              <w:t>49]</w:t>
            </w:r>
          </w:p>
        </w:tc>
        <w:tc>
          <w:tcPr>
            <w:tcW w:w="1229" w:type="dxa"/>
            <w:tcBorders>
              <w:top w:val="single" w:sz="2" w:space="0" w:color="000000"/>
              <w:left w:val="single" w:sz="2" w:space="0" w:color="000000"/>
              <w:bottom w:val="single" w:sz="2" w:space="0" w:color="000000"/>
              <w:right w:val="single" w:sz="2" w:space="0" w:color="000000"/>
            </w:tcBorders>
            <w:vAlign w:val="center"/>
          </w:tcPr>
          <w:p w14:paraId="170EA864" w14:textId="3C5ED799" w:rsidR="0038500A" w:rsidRPr="00D03BD0" w:rsidRDefault="00AE56ED" w:rsidP="00007066">
            <w:pPr>
              <w:spacing w:before="97"/>
              <w:ind w:left="291" w:right="-20"/>
              <w:jc w:val="center"/>
            </w:pPr>
            <w:r>
              <w:t>p&lt;0,</w:t>
            </w:r>
            <w:r w:rsidR="0038500A" w:rsidRPr="00D03BD0">
              <w:t>0001</w:t>
            </w:r>
          </w:p>
        </w:tc>
      </w:tr>
      <w:tr w:rsidR="0038500A" w:rsidRPr="00D03BD0" w14:paraId="4D1D837C" w14:textId="77777777" w:rsidTr="00B37830">
        <w:trPr>
          <w:trHeight w:hRule="exact" w:val="844"/>
        </w:trPr>
        <w:tc>
          <w:tcPr>
            <w:tcW w:w="1742" w:type="dxa"/>
            <w:vMerge/>
            <w:tcBorders>
              <w:left w:val="single" w:sz="2" w:space="0" w:color="000000"/>
              <w:bottom w:val="single" w:sz="2" w:space="0" w:color="000000"/>
              <w:right w:val="single" w:sz="2" w:space="0" w:color="000000"/>
            </w:tcBorders>
          </w:tcPr>
          <w:p w14:paraId="5381F9BC" w14:textId="77777777" w:rsidR="0038500A" w:rsidRPr="00D03BD0" w:rsidRDefault="0038500A" w:rsidP="00007066"/>
        </w:tc>
        <w:tc>
          <w:tcPr>
            <w:tcW w:w="2835" w:type="dxa"/>
            <w:tcBorders>
              <w:top w:val="single" w:sz="2" w:space="0" w:color="000000"/>
              <w:left w:val="single" w:sz="2" w:space="0" w:color="000000"/>
              <w:bottom w:val="single" w:sz="2" w:space="0" w:color="000000"/>
              <w:right w:val="single" w:sz="2" w:space="0" w:color="000000"/>
            </w:tcBorders>
          </w:tcPr>
          <w:p w14:paraId="3C5673A5" w14:textId="77777777" w:rsidR="0038500A" w:rsidRPr="00D03BD0" w:rsidRDefault="0038500A" w:rsidP="00007066">
            <w:pPr>
              <w:spacing w:before="19"/>
            </w:pPr>
          </w:p>
          <w:p w14:paraId="5B9F4C51" w14:textId="353EAB21" w:rsidR="0038500A" w:rsidRPr="00D03BD0" w:rsidRDefault="00AE56ED" w:rsidP="00007066">
            <w:pPr>
              <w:ind w:left="105" w:right="-20"/>
            </w:pPr>
            <w:r>
              <w:t>OП*** (месеци</w:t>
            </w:r>
            <w:r w:rsidR="0038500A" w:rsidRPr="00D03BD0">
              <w:t>)</w:t>
            </w:r>
          </w:p>
        </w:tc>
        <w:tc>
          <w:tcPr>
            <w:tcW w:w="1276" w:type="dxa"/>
            <w:tcBorders>
              <w:top w:val="single" w:sz="2" w:space="0" w:color="000000"/>
              <w:left w:val="single" w:sz="2" w:space="0" w:color="000000"/>
              <w:bottom w:val="single" w:sz="2" w:space="0" w:color="000000"/>
              <w:right w:val="single" w:sz="2" w:space="0" w:color="000000"/>
            </w:tcBorders>
            <w:vAlign w:val="center"/>
          </w:tcPr>
          <w:p w14:paraId="093FB54B" w14:textId="77777777" w:rsidR="0038500A" w:rsidRPr="00D03BD0" w:rsidRDefault="0038500A" w:rsidP="00007066">
            <w:pPr>
              <w:spacing w:before="3" w:line="160" w:lineRule="exact"/>
              <w:jc w:val="center"/>
              <w:rPr>
                <w:rFonts w:eastAsia="MS Mincho"/>
              </w:rPr>
            </w:pPr>
          </w:p>
          <w:p w14:paraId="6C1AA701" w14:textId="1FB07580" w:rsidR="0038500A" w:rsidRPr="00D03BD0" w:rsidRDefault="0038500A" w:rsidP="00AE56ED">
            <w:pPr>
              <w:ind w:left="443" w:right="424"/>
              <w:jc w:val="center"/>
            </w:pPr>
            <w:r w:rsidRPr="00D03BD0">
              <w:t>22</w:t>
            </w:r>
            <w:r w:rsidR="00AE56ED">
              <w:rPr>
                <w:lang w:val="bg-BG"/>
              </w:rPr>
              <w:t>,</w:t>
            </w:r>
            <w:r w:rsidRPr="00D03BD0">
              <w:t>9</w:t>
            </w:r>
          </w:p>
        </w:tc>
        <w:tc>
          <w:tcPr>
            <w:tcW w:w="1276" w:type="dxa"/>
            <w:tcBorders>
              <w:top w:val="single" w:sz="2" w:space="0" w:color="000000"/>
              <w:left w:val="single" w:sz="2" w:space="0" w:color="000000"/>
              <w:bottom w:val="single" w:sz="2" w:space="0" w:color="000000"/>
              <w:right w:val="single" w:sz="2" w:space="0" w:color="000000"/>
            </w:tcBorders>
            <w:vAlign w:val="center"/>
          </w:tcPr>
          <w:p w14:paraId="5585CA5F" w14:textId="77777777" w:rsidR="0038500A" w:rsidRPr="00D03BD0" w:rsidRDefault="0038500A" w:rsidP="00007066">
            <w:pPr>
              <w:spacing w:before="3" w:line="160" w:lineRule="exact"/>
              <w:jc w:val="center"/>
            </w:pPr>
          </w:p>
          <w:p w14:paraId="08B185D7" w14:textId="62D273DF" w:rsidR="0038500A" w:rsidRPr="00D03BD0" w:rsidRDefault="0038500A" w:rsidP="00AE56ED">
            <w:pPr>
              <w:ind w:left="443" w:right="423"/>
              <w:jc w:val="center"/>
            </w:pPr>
            <w:r w:rsidRPr="00D03BD0">
              <w:t>20</w:t>
            </w:r>
            <w:r w:rsidR="00AE56ED">
              <w:rPr>
                <w:lang w:val="bg-BG"/>
              </w:rPr>
              <w:t>,</w:t>
            </w:r>
            <w:r w:rsidRPr="00D03BD0">
              <w:t>8</w:t>
            </w:r>
          </w:p>
        </w:tc>
        <w:tc>
          <w:tcPr>
            <w:tcW w:w="1559" w:type="dxa"/>
            <w:tcBorders>
              <w:top w:val="single" w:sz="2" w:space="0" w:color="000000"/>
              <w:left w:val="single" w:sz="2" w:space="0" w:color="000000"/>
              <w:bottom w:val="single" w:sz="2" w:space="0" w:color="000000"/>
              <w:right w:val="single" w:sz="2" w:space="0" w:color="000000"/>
            </w:tcBorders>
            <w:vAlign w:val="center"/>
          </w:tcPr>
          <w:p w14:paraId="1D684F17" w14:textId="77777777" w:rsidR="0038500A" w:rsidRPr="00D03BD0" w:rsidRDefault="0038500A" w:rsidP="00007066">
            <w:pPr>
              <w:spacing w:before="5" w:line="170" w:lineRule="exact"/>
              <w:jc w:val="center"/>
            </w:pPr>
          </w:p>
          <w:p w14:paraId="45AEF1DB" w14:textId="0939C3C3" w:rsidR="0038500A" w:rsidRPr="00D03BD0" w:rsidRDefault="0038500A" w:rsidP="00AE56ED">
            <w:pPr>
              <w:ind w:left="228" w:right="178" w:firstLine="247"/>
              <w:jc w:val="center"/>
            </w:pPr>
            <w:r w:rsidRPr="00D03BD0">
              <w:t>0.93 [0</w:t>
            </w:r>
            <w:r w:rsidR="00AE56ED">
              <w:rPr>
                <w:lang w:val="bg-BG"/>
              </w:rPr>
              <w:t>,</w:t>
            </w:r>
            <w:r w:rsidRPr="00D03BD0">
              <w:t>64-1</w:t>
            </w:r>
            <w:r w:rsidR="00AE56ED">
              <w:rPr>
                <w:lang w:val="bg-BG"/>
              </w:rPr>
              <w:t>,</w:t>
            </w:r>
            <w:r w:rsidRPr="00D03BD0">
              <w:t>36]</w:t>
            </w:r>
          </w:p>
        </w:tc>
        <w:tc>
          <w:tcPr>
            <w:tcW w:w="1229" w:type="dxa"/>
            <w:tcBorders>
              <w:top w:val="single" w:sz="2" w:space="0" w:color="000000"/>
              <w:left w:val="single" w:sz="2" w:space="0" w:color="000000"/>
              <w:bottom w:val="single" w:sz="2" w:space="0" w:color="000000"/>
              <w:right w:val="single" w:sz="2" w:space="0" w:color="000000"/>
            </w:tcBorders>
            <w:vAlign w:val="center"/>
          </w:tcPr>
          <w:p w14:paraId="638149DB" w14:textId="08EF3DE7" w:rsidR="0038500A" w:rsidRPr="00D03BD0" w:rsidRDefault="0038500A" w:rsidP="00007066">
            <w:pPr>
              <w:spacing w:before="19"/>
              <w:jc w:val="center"/>
            </w:pPr>
          </w:p>
          <w:p w14:paraId="71FB3497" w14:textId="43A75FBB" w:rsidR="0038500A" w:rsidRPr="00D03BD0" w:rsidRDefault="00AE56ED" w:rsidP="00007066">
            <w:pPr>
              <w:ind w:left="290" w:right="-20"/>
              <w:jc w:val="center"/>
            </w:pPr>
            <w:r>
              <w:t>p=0,</w:t>
            </w:r>
            <w:r w:rsidR="0038500A" w:rsidRPr="00D03BD0">
              <w:t>7149</w:t>
            </w:r>
          </w:p>
        </w:tc>
      </w:tr>
    </w:tbl>
    <w:p w14:paraId="4429C90C" w14:textId="1EFDE69E" w:rsidR="00992061" w:rsidRDefault="00C3362F" w:rsidP="00C3362F">
      <w:pPr>
        <w:rPr>
          <w:rFonts w:eastAsia="Times New Roman"/>
        </w:rPr>
      </w:pPr>
      <w:r w:rsidRPr="00C3362F">
        <w:rPr>
          <w:rFonts w:eastAsia="Times New Roman"/>
        </w:rPr>
        <w:t>C</w:t>
      </w:r>
      <w:r w:rsidR="00D1402E" w:rsidRPr="00C3362F">
        <w:rPr>
          <w:rFonts w:eastAsia="Times New Roman"/>
        </w:rPr>
        <w:t>R=пълен отговор; PR=частичен отговор</w:t>
      </w:r>
    </w:p>
    <w:p w14:paraId="56510A5B" w14:textId="77777777" w:rsidR="00C3362F" w:rsidRPr="00C3362F" w:rsidRDefault="00C3362F">
      <w:pPr>
        <w:ind w:left="120"/>
      </w:pPr>
    </w:p>
    <w:p w14:paraId="1212995E" w14:textId="491E03C4" w:rsidR="00992061" w:rsidRPr="00C3362F" w:rsidRDefault="00992061">
      <w:pPr>
        <w:spacing w:line="20" w:lineRule="exact"/>
      </w:pPr>
    </w:p>
    <w:p w14:paraId="6E9273FA" w14:textId="77777777" w:rsidR="00992061" w:rsidRPr="00C3362F" w:rsidRDefault="00D1402E">
      <w:pPr>
        <w:numPr>
          <w:ilvl w:val="0"/>
          <w:numId w:val="14"/>
        </w:numPr>
        <w:tabs>
          <w:tab w:val="left" w:pos="480"/>
        </w:tabs>
        <w:ind w:left="480" w:hanging="364"/>
        <w:rPr>
          <w:rFonts w:eastAsia="Times New Roman"/>
        </w:rPr>
      </w:pPr>
      <w:r w:rsidRPr="00C3362F">
        <w:rPr>
          <w:rFonts w:eastAsia="Times New Roman"/>
        </w:rPr>
        <w:t>Наблюдавано е намаление с 58% на риска от заболяване или смърт</w:t>
      </w:r>
    </w:p>
    <w:p w14:paraId="03782CF1" w14:textId="77777777" w:rsidR="00992061" w:rsidRPr="00C3362F" w:rsidRDefault="00D1402E">
      <w:pPr>
        <w:numPr>
          <w:ilvl w:val="0"/>
          <w:numId w:val="15"/>
        </w:numPr>
        <w:tabs>
          <w:tab w:val="left" w:pos="480"/>
        </w:tabs>
        <w:ind w:left="480" w:hanging="364"/>
        <w:rPr>
          <w:rFonts w:eastAsia="Times New Roman"/>
        </w:rPr>
      </w:pPr>
      <w:r w:rsidRPr="00C3362F">
        <w:rPr>
          <w:rFonts w:eastAsia="Times New Roman"/>
        </w:rPr>
        <w:t>Обща съгласувана честота между изследователя и IRC оценка е била 70%.</w:t>
      </w:r>
    </w:p>
    <w:p w14:paraId="576DB28D" w14:textId="51560AC0" w:rsidR="0038500A" w:rsidRPr="00C3362F" w:rsidRDefault="00D1402E" w:rsidP="00C3362F">
      <w:pPr>
        <w:numPr>
          <w:ilvl w:val="0"/>
          <w:numId w:val="16"/>
        </w:numPr>
        <w:tabs>
          <w:tab w:val="left" w:pos="475"/>
        </w:tabs>
        <w:spacing w:line="278" w:lineRule="auto"/>
        <w:ind w:left="120" w:right="-585" w:hanging="4"/>
      </w:pPr>
      <w:r w:rsidRPr="00C3362F">
        <w:rPr>
          <w:rFonts w:eastAsia="Times New Roman"/>
        </w:rPr>
        <w:t xml:space="preserve">Наблюдавана е висок кросоувър при 82% от пациентите в рамото с химиотерапия, които получават допълваща теарпия с EGFR тирозин-киназен инхибитор и всички, с изключение на двама пациенти </w:t>
      </w:r>
      <w:r w:rsidR="00C3362F" w:rsidRPr="00C3362F">
        <w:rPr>
          <w:rFonts w:eastAsia="Times New Roman"/>
        </w:rPr>
        <w:t>са приемали в допълнение ерлотиниб</w:t>
      </w:r>
      <w:r w:rsidRPr="00C3362F">
        <w:rPr>
          <w:rFonts w:eastAsia="Times New Roman"/>
        </w:rPr>
        <w:t>.</w:t>
      </w:r>
      <w:bookmarkStart w:id="15" w:name="page18"/>
      <w:bookmarkEnd w:id="15"/>
    </w:p>
    <w:p w14:paraId="0A430711" w14:textId="77777777" w:rsidR="0038500A" w:rsidRDefault="0038500A" w:rsidP="0038500A">
      <w:pPr>
        <w:tabs>
          <w:tab w:val="left" w:pos="475"/>
        </w:tabs>
        <w:spacing w:line="278" w:lineRule="auto"/>
        <w:ind w:left="120" w:right="360" w:hanging="120"/>
        <w:rPr>
          <w:rFonts w:eastAsia="Times New Roman"/>
          <w:sz w:val="20"/>
          <w:szCs w:val="20"/>
        </w:rPr>
      </w:pPr>
    </w:p>
    <w:p w14:paraId="78F2EA6B" w14:textId="7A722611" w:rsidR="00992061" w:rsidRPr="0038500A" w:rsidRDefault="00D1402E" w:rsidP="00C3362F">
      <w:pPr>
        <w:tabs>
          <w:tab w:val="left" w:pos="475"/>
        </w:tabs>
        <w:spacing w:line="278" w:lineRule="auto"/>
        <w:ind w:right="-727"/>
        <w:rPr>
          <w:sz w:val="20"/>
          <w:szCs w:val="20"/>
          <w:u w:val="single"/>
        </w:rPr>
      </w:pPr>
      <w:r w:rsidRPr="0038500A">
        <w:rPr>
          <w:rFonts w:eastAsia="Times New Roman"/>
          <w:iCs/>
          <w:u w:val="single"/>
        </w:rPr>
        <w:t>Поддържащо лечение на НДКРБД след п</w:t>
      </w:r>
      <w:r w:rsidR="0038500A">
        <w:rPr>
          <w:rFonts w:eastAsia="Times New Roman"/>
          <w:iCs/>
          <w:u w:val="single"/>
        </w:rPr>
        <w:t>ърва линия химиотерапия (ерлотиниб</w:t>
      </w:r>
      <w:r w:rsidRPr="0038500A">
        <w:rPr>
          <w:rFonts w:eastAsia="Times New Roman"/>
          <w:iCs/>
          <w:u w:val="single"/>
        </w:rPr>
        <w:t xml:space="preserve"> приложен като монотерапия)</w:t>
      </w:r>
    </w:p>
    <w:p w14:paraId="1A17FAD1" w14:textId="77777777" w:rsidR="00992061" w:rsidRDefault="00992061">
      <w:pPr>
        <w:spacing w:line="169" w:lineRule="exact"/>
        <w:rPr>
          <w:sz w:val="20"/>
          <w:szCs w:val="20"/>
        </w:rPr>
      </w:pPr>
    </w:p>
    <w:p w14:paraId="24FDE5CA" w14:textId="1202B339" w:rsidR="00992061" w:rsidRPr="00C3362F" w:rsidRDefault="00D1402E" w:rsidP="00C3362F">
      <w:pPr>
        <w:spacing w:line="251" w:lineRule="auto"/>
        <w:ind w:left="3" w:right="-444"/>
      </w:pPr>
      <w:r w:rsidRPr="00C3362F">
        <w:rPr>
          <w:rFonts w:eastAsia="Times New Roman"/>
        </w:rPr>
        <w:t xml:space="preserve">Ефикасността и безопасността на </w:t>
      </w:r>
      <w:r w:rsidR="00C3362F">
        <w:rPr>
          <w:rFonts w:eastAsia="Times New Roman"/>
          <w:lang w:val="bg-BG"/>
        </w:rPr>
        <w:t>ерлотиниб</w:t>
      </w:r>
      <w:r w:rsidRPr="00C3362F">
        <w:rPr>
          <w:rFonts w:eastAsia="Times New Roman"/>
        </w:rPr>
        <w:t xml:space="preserve"> като поддържащо лечение след първа линия на химиотерапия при НДКРБД са изследвани при едно рандомизирано, двойно-сляпо, плацебо-контролирано клинично изпитване (BO18192, SATURN). Това проучване е проведено при</w:t>
      </w:r>
    </w:p>
    <w:p w14:paraId="3B654343" w14:textId="77777777" w:rsidR="00992061" w:rsidRPr="00C3362F" w:rsidRDefault="00992061" w:rsidP="00C3362F">
      <w:pPr>
        <w:spacing w:line="1" w:lineRule="exact"/>
        <w:ind w:right="-444"/>
      </w:pPr>
    </w:p>
    <w:p w14:paraId="36D222C1" w14:textId="390589AB" w:rsidR="00992061" w:rsidRPr="00C3362F" w:rsidRDefault="00D1402E" w:rsidP="00C3362F">
      <w:pPr>
        <w:spacing w:line="245" w:lineRule="auto"/>
        <w:ind w:left="3" w:right="-444"/>
      </w:pPr>
      <w:r w:rsidRPr="00C3362F">
        <w:rPr>
          <w:rFonts w:eastAsia="Times New Roman"/>
        </w:rPr>
        <w:t xml:space="preserve">889 пациенти с локално авансирал или метастазирал НДКРБД, който не е прогресирал след 4 цикъла на химиотерапия на базата на платина. Пациентите са рандомизирани 1:1 за получаване на </w:t>
      </w:r>
      <w:r w:rsidR="00C3362F">
        <w:rPr>
          <w:rFonts w:eastAsia="Times New Roman"/>
          <w:lang w:val="bg-BG"/>
        </w:rPr>
        <w:t>ерлотиниб</w:t>
      </w:r>
      <w:r w:rsidRPr="00C3362F">
        <w:rPr>
          <w:rFonts w:eastAsia="Times New Roman"/>
        </w:rPr>
        <w:t xml:space="preserve"> 150 mg или плацебо веднъж дневно перорално до прогресия на заболяването. Първичната крайна точка на проучването е включвала преживяемост без прогресия (ПБП) при всички пациенти. Изходните демографски характеристики и характеристиките на заболяването са добре балансирани в двете рамена на лечение. Пациенти с ECOG PS &gt; 1, значими чернодробни или бъбречни съпътстващи заболявания не са включени в проучването.</w:t>
      </w:r>
    </w:p>
    <w:p w14:paraId="368C0F8B" w14:textId="77777777" w:rsidR="00992061" w:rsidRDefault="00992061">
      <w:pPr>
        <w:spacing w:line="200" w:lineRule="exact"/>
        <w:rPr>
          <w:sz w:val="20"/>
          <w:szCs w:val="20"/>
        </w:rPr>
      </w:pPr>
    </w:p>
    <w:p w14:paraId="363D21A3" w14:textId="77777777" w:rsidR="00992061" w:rsidRDefault="00992061">
      <w:pPr>
        <w:spacing w:line="272" w:lineRule="exact"/>
        <w:rPr>
          <w:sz w:val="20"/>
          <w:szCs w:val="20"/>
        </w:rPr>
      </w:pPr>
    </w:p>
    <w:p w14:paraId="62403165" w14:textId="77777777" w:rsidR="00992061" w:rsidRDefault="00D1402E" w:rsidP="00C3362F">
      <w:pPr>
        <w:numPr>
          <w:ilvl w:val="0"/>
          <w:numId w:val="17"/>
        </w:numPr>
        <w:tabs>
          <w:tab w:val="left" w:pos="206"/>
        </w:tabs>
        <w:spacing w:line="246" w:lineRule="auto"/>
        <w:ind w:left="3" w:right="-566" w:hanging="3"/>
        <w:rPr>
          <w:rFonts w:eastAsia="Times New Roman"/>
        </w:rPr>
      </w:pPr>
      <w:r>
        <w:rPr>
          <w:rFonts w:eastAsia="Times New Roman"/>
        </w:rPr>
        <w:lastRenderedPageBreak/>
        <w:t>това проучване в общата популация се наблюдава полза по отношение на първичната крайна точка на ПБП (HR= 0,71 p&lt; 0,0001) и вторичната крайна точка ОП (HR= 0,81 p= 0,0088). Най-голяма полза обаче е наблюдавана в предварително определения експлораторен анализ при пациенти с EGFR активиращи мутации (n= 49), като е показана значителна полза по отношение на ПБП (HR=0,10, 95% CI, 0,04 до 0,25; p&lt;0,0001) и общата преживяемост (HR от 0,83, 95% CI, 0,34 до 2,02). 67% от пациентите на плацебо в подгрупата, положителна за EGFR мутации, са получили втора и последващи линии на лечение с EGFR-ТКИ.</w:t>
      </w:r>
    </w:p>
    <w:p w14:paraId="53B3DEF6" w14:textId="77777777" w:rsidR="00992061" w:rsidRDefault="00992061">
      <w:pPr>
        <w:spacing w:line="205" w:lineRule="exact"/>
        <w:rPr>
          <w:sz w:val="20"/>
          <w:szCs w:val="20"/>
        </w:rPr>
      </w:pPr>
    </w:p>
    <w:p w14:paraId="367D5318" w14:textId="77777777" w:rsidR="00992061" w:rsidRDefault="00D1402E">
      <w:pPr>
        <w:spacing w:line="253" w:lineRule="auto"/>
        <w:ind w:left="3"/>
        <w:rPr>
          <w:sz w:val="20"/>
          <w:szCs w:val="20"/>
        </w:rPr>
      </w:pPr>
      <w:r>
        <w:rPr>
          <w:rFonts w:eastAsia="Times New Roman"/>
        </w:rPr>
        <w:t>Проучването BO25460 (IUNO) е проведено при 643 пациенти с авансирал НДКРБД, чиито тумори нямат EGFR активираща мутация (делеция в екзон 19 или L858R мутация в екзон 21) и които не са получили прогресия на заболяването след четири цикъла на химиотерапия на базата на платина.</w:t>
      </w:r>
    </w:p>
    <w:p w14:paraId="00E97D64" w14:textId="77777777" w:rsidR="00992061" w:rsidRDefault="00992061">
      <w:pPr>
        <w:spacing w:line="200" w:lineRule="exact"/>
        <w:rPr>
          <w:sz w:val="20"/>
          <w:szCs w:val="20"/>
        </w:rPr>
      </w:pPr>
    </w:p>
    <w:p w14:paraId="187C0540" w14:textId="295CDBEB" w:rsidR="00992061" w:rsidRDefault="00D1402E" w:rsidP="00C3362F">
      <w:pPr>
        <w:spacing w:line="246" w:lineRule="auto"/>
        <w:ind w:left="3" w:right="-425"/>
        <w:rPr>
          <w:sz w:val="20"/>
          <w:szCs w:val="20"/>
        </w:rPr>
      </w:pPr>
      <w:r>
        <w:rPr>
          <w:rFonts w:eastAsia="Times New Roman"/>
        </w:rPr>
        <w:t>Целта на проучването е да се сравни общата преживяемост при първа линия на поддържаща терапия с ерлотиниб спрямо ерлотиниб, приложен по време на прогресия на заболяването. Проучването не пос</w:t>
      </w:r>
      <w:r w:rsidR="00007066">
        <w:rPr>
          <w:rFonts w:eastAsia="Times New Roman"/>
        </w:rPr>
        <w:t>тига първичната си крайна точка</w:t>
      </w:r>
      <w:r>
        <w:rPr>
          <w:rFonts w:eastAsia="Times New Roman"/>
        </w:rPr>
        <w:t xml:space="preserve">. ОП на </w:t>
      </w:r>
      <w:r w:rsidR="00007066">
        <w:rPr>
          <w:rFonts w:eastAsia="Times New Roman"/>
        </w:rPr>
        <w:t>ерлотиниб</w:t>
      </w:r>
      <w:r>
        <w:rPr>
          <w:rFonts w:eastAsia="Times New Roman"/>
        </w:rPr>
        <w:t xml:space="preserve"> при първа линия на поддържащо л</w:t>
      </w:r>
      <w:r w:rsidR="00C3362F">
        <w:rPr>
          <w:rFonts w:eastAsia="Times New Roman"/>
        </w:rPr>
        <w:t>ечение не е по-висока от ерлотиниб</w:t>
      </w:r>
      <w:r>
        <w:rPr>
          <w:rFonts w:eastAsia="Times New Roman"/>
        </w:rPr>
        <w:t xml:space="preserve"> като втора линия на лечение при пациенти, при които туморите нямат EGFR активираща мутация (HR= 1,02, 95% CI, 0,85 до 1,22, p=0,82). Вторичната крайна точка ПБП не показва разлика между </w:t>
      </w:r>
      <w:r w:rsidR="00007066">
        <w:rPr>
          <w:rFonts w:eastAsia="Times New Roman"/>
        </w:rPr>
        <w:t>ерлотиниб</w:t>
      </w:r>
      <w:r>
        <w:rPr>
          <w:rFonts w:eastAsia="Times New Roman"/>
        </w:rPr>
        <w:t xml:space="preserve"> и плацебо при поддържащо лечение (HR=0,94, 95% CI, 0,80 до 1,11; p=0,48).</w:t>
      </w:r>
    </w:p>
    <w:p w14:paraId="68E22A43" w14:textId="77777777" w:rsidR="00992061" w:rsidRDefault="00992061">
      <w:pPr>
        <w:spacing w:line="207" w:lineRule="exact"/>
        <w:rPr>
          <w:sz w:val="20"/>
          <w:szCs w:val="20"/>
        </w:rPr>
      </w:pPr>
    </w:p>
    <w:p w14:paraId="477C32A7" w14:textId="2247380A" w:rsidR="00992061" w:rsidRDefault="00D1402E" w:rsidP="00007066">
      <w:pPr>
        <w:spacing w:line="261" w:lineRule="auto"/>
        <w:ind w:left="3" w:right="-283"/>
        <w:jc w:val="both"/>
        <w:rPr>
          <w:sz w:val="20"/>
          <w:szCs w:val="20"/>
        </w:rPr>
      </w:pPr>
      <w:r>
        <w:rPr>
          <w:rFonts w:eastAsia="Times New Roman"/>
        </w:rPr>
        <w:t xml:space="preserve">Въз основа на данните от проучването BO25460 (IUNO) не се препоръчва употребата на </w:t>
      </w:r>
      <w:r w:rsidR="00007066">
        <w:rPr>
          <w:rFonts w:eastAsia="Times New Roman"/>
        </w:rPr>
        <w:t>ерлотиниб</w:t>
      </w:r>
      <w:r>
        <w:rPr>
          <w:rFonts w:eastAsia="Times New Roman"/>
        </w:rPr>
        <w:t xml:space="preserve"> като първа линия на поддържащо лечение при пациенти без EGFR активираща мутация.</w:t>
      </w:r>
    </w:p>
    <w:p w14:paraId="02B01ED1" w14:textId="77777777" w:rsidR="00992061" w:rsidRDefault="00992061">
      <w:pPr>
        <w:spacing w:line="191" w:lineRule="exact"/>
        <w:rPr>
          <w:sz w:val="20"/>
          <w:szCs w:val="20"/>
        </w:rPr>
      </w:pPr>
    </w:p>
    <w:p w14:paraId="399AEBDA" w14:textId="160ABE82" w:rsidR="00992061" w:rsidRPr="00007066" w:rsidRDefault="00D1402E" w:rsidP="00007066">
      <w:pPr>
        <w:spacing w:line="278" w:lineRule="auto"/>
        <w:ind w:left="3" w:right="-425"/>
        <w:rPr>
          <w:sz w:val="20"/>
          <w:szCs w:val="20"/>
        </w:rPr>
      </w:pPr>
      <w:r w:rsidRPr="00007066">
        <w:rPr>
          <w:rFonts w:eastAsia="Times New Roman"/>
          <w:iCs/>
          <w:u w:val="single"/>
        </w:rPr>
        <w:t>Лечение на НДКРБД след неуспех на поне една предшестваща схема на химиотерапия (</w:t>
      </w:r>
      <w:r w:rsidR="00007066" w:rsidRPr="00007066">
        <w:rPr>
          <w:rFonts w:eastAsia="Times New Roman"/>
          <w:iCs/>
          <w:u w:val="single"/>
        </w:rPr>
        <w:t>ерлотиниб</w:t>
      </w:r>
      <w:r w:rsidRPr="00007066">
        <w:rPr>
          <w:rFonts w:eastAsia="Times New Roman"/>
          <w:iCs/>
          <w:u w:val="single"/>
        </w:rPr>
        <w:t xml:space="preserve"> приложен като монотерапия)</w:t>
      </w:r>
    </w:p>
    <w:p w14:paraId="0756DF52" w14:textId="77777777" w:rsidR="00992061" w:rsidRDefault="00992061">
      <w:pPr>
        <w:spacing w:line="169" w:lineRule="exact"/>
        <w:rPr>
          <w:sz w:val="20"/>
          <w:szCs w:val="20"/>
        </w:rPr>
      </w:pPr>
    </w:p>
    <w:p w14:paraId="2AC1FE18" w14:textId="6F24D96A" w:rsidR="00992061" w:rsidRDefault="00D1402E" w:rsidP="00007066">
      <w:pPr>
        <w:spacing w:line="241" w:lineRule="auto"/>
        <w:ind w:left="3" w:right="-708"/>
        <w:rPr>
          <w:sz w:val="20"/>
          <w:szCs w:val="20"/>
        </w:rPr>
      </w:pPr>
      <w:r>
        <w:rPr>
          <w:rFonts w:eastAsia="Times New Roman"/>
        </w:rPr>
        <w:t xml:space="preserve">Ефикасността и безопасността на </w:t>
      </w:r>
      <w:r w:rsidR="00007066">
        <w:rPr>
          <w:rFonts w:eastAsia="Times New Roman"/>
        </w:rPr>
        <w:t>ерлотиниб</w:t>
      </w:r>
      <w:r>
        <w:rPr>
          <w:rFonts w:eastAsia="Times New Roman"/>
        </w:rPr>
        <w:t xml:space="preserve"> като втора/трета линия на лечение са доказани в едно рандомизирано, двойно-сляпо, плацебо-контролирано клинично изпитване (BR.21), при</w:t>
      </w:r>
    </w:p>
    <w:p w14:paraId="6F3DA61F" w14:textId="77777777" w:rsidR="00992061" w:rsidRDefault="00992061" w:rsidP="00007066">
      <w:pPr>
        <w:spacing w:line="1" w:lineRule="exact"/>
        <w:ind w:right="-708"/>
        <w:rPr>
          <w:sz w:val="20"/>
          <w:szCs w:val="20"/>
        </w:rPr>
      </w:pPr>
    </w:p>
    <w:p w14:paraId="2B1AF770" w14:textId="04D06527" w:rsidR="00992061" w:rsidRDefault="00D1402E" w:rsidP="00007066">
      <w:pPr>
        <w:spacing w:line="247" w:lineRule="auto"/>
        <w:ind w:left="3" w:right="-708"/>
        <w:rPr>
          <w:sz w:val="20"/>
          <w:szCs w:val="20"/>
        </w:rPr>
      </w:pPr>
      <w:r>
        <w:rPr>
          <w:rFonts w:eastAsia="Times New Roman"/>
        </w:rPr>
        <w:t xml:space="preserve">731 пациенти с локално авансирал или метастазирал НДКРБД след неуспех на поне една схема на химиотерапия. Пациентите са рандомизирани 2:1 да получават перорално </w:t>
      </w:r>
      <w:r w:rsidR="00007066">
        <w:rPr>
          <w:rFonts w:eastAsia="Times New Roman"/>
        </w:rPr>
        <w:t>ерлотиниб</w:t>
      </w:r>
      <w:r>
        <w:rPr>
          <w:rFonts w:eastAsia="Times New Roman"/>
        </w:rPr>
        <w:t xml:space="preserve"> 150 mg или плацебо веднъж дневно. Крайните точки на проучването включват обща преживяемост, преживяемост без прогресиране на заболяването (ПБП), степен на отговор, продължителност на отговора, време до влошаване на симптомите, свързани с белодробния рак (кашлица, диспнея и болка), и безопасност. Първичната крайна точка е преживяемостта.</w:t>
      </w:r>
    </w:p>
    <w:p w14:paraId="4493470C" w14:textId="77777777" w:rsidR="00992061" w:rsidRDefault="00992061">
      <w:pPr>
        <w:spacing w:line="209" w:lineRule="exact"/>
        <w:rPr>
          <w:sz w:val="20"/>
          <w:szCs w:val="20"/>
        </w:rPr>
      </w:pPr>
    </w:p>
    <w:p w14:paraId="6004DD8C" w14:textId="6BD2A083" w:rsidR="00992061" w:rsidRDefault="00D1402E" w:rsidP="00007066">
      <w:pPr>
        <w:spacing w:line="253" w:lineRule="auto"/>
        <w:ind w:left="3" w:right="-583"/>
        <w:rPr>
          <w:sz w:val="20"/>
          <w:szCs w:val="20"/>
        </w:rPr>
      </w:pPr>
      <w:r>
        <w:rPr>
          <w:rFonts w:eastAsia="Times New Roman"/>
        </w:rPr>
        <w:t xml:space="preserve">Демографските характеристики са добре балансирани между двете групи на лечение. Около две трети от пациентите са били мъже и приблизително една трета са имали в началото статус на представяне (СП) на ECOG - 2, а 9% са имали на изходно ниво СП на ECOG - 3. Деветдесет и три процента и 92% от всички пациенти в групите с </w:t>
      </w:r>
      <w:r w:rsidR="00007066">
        <w:rPr>
          <w:rFonts w:eastAsia="Times New Roman"/>
        </w:rPr>
        <w:t>ерлотиниб</w:t>
      </w:r>
      <w:r>
        <w:rPr>
          <w:rFonts w:eastAsia="Times New Roman"/>
        </w:rPr>
        <w:t xml:space="preserve"> и плацебо съответно, са лекувани</w:t>
      </w:r>
      <w:bookmarkStart w:id="16" w:name="page19"/>
      <w:bookmarkEnd w:id="16"/>
      <w:r w:rsidR="00007066">
        <w:rPr>
          <w:rFonts w:eastAsia="Times New Roman"/>
          <w:lang w:val="bg-BG"/>
        </w:rPr>
        <w:t xml:space="preserve"> </w:t>
      </w:r>
      <w:r>
        <w:rPr>
          <w:rFonts w:eastAsia="Times New Roman"/>
        </w:rPr>
        <w:t>преди това със схема на лечение, съдържаща платина, а съответно 36% и 37% от всички пациенти са получили преди това терапия с таксан.</w:t>
      </w:r>
    </w:p>
    <w:p w14:paraId="35B432FB" w14:textId="77777777" w:rsidR="00992061" w:rsidRDefault="00992061">
      <w:pPr>
        <w:spacing w:line="166" w:lineRule="exact"/>
        <w:rPr>
          <w:sz w:val="20"/>
          <w:szCs w:val="20"/>
        </w:rPr>
      </w:pPr>
    </w:p>
    <w:p w14:paraId="5D1488F8" w14:textId="2BC3B1D5" w:rsidR="00992061" w:rsidRDefault="00D1402E" w:rsidP="00007066">
      <w:pPr>
        <w:spacing w:line="250" w:lineRule="auto"/>
        <w:ind w:left="5" w:right="-583"/>
        <w:rPr>
          <w:sz w:val="20"/>
          <w:szCs w:val="20"/>
        </w:rPr>
      </w:pPr>
      <w:r>
        <w:rPr>
          <w:rFonts w:eastAsia="Times New Roman"/>
        </w:rPr>
        <w:t xml:space="preserve">Стандартизираният рисков коефициент (HR) по отношение на смърт в групата с </w:t>
      </w:r>
      <w:r w:rsidR="00007066">
        <w:rPr>
          <w:rFonts w:eastAsia="Times New Roman"/>
        </w:rPr>
        <w:t>ерлотиниб</w:t>
      </w:r>
      <w:r>
        <w:rPr>
          <w:rFonts w:eastAsia="Times New Roman"/>
        </w:rPr>
        <w:t xml:space="preserve"> в сравнение с групата с плацебо е 0,73 (95% CI, 0,60 до 0,87) (p = 0,001). Процентът на живите пациенти на 12-ия месец е 31,2% и 21,5%, за групата с </w:t>
      </w:r>
      <w:r w:rsidR="00007066">
        <w:rPr>
          <w:rFonts w:eastAsia="Times New Roman"/>
        </w:rPr>
        <w:t>ерлотиниб</w:t>
      </w:r>
      <w:r>
        <w:rPr>
          <w:rFonts w:eastAsia="Times New Roman"/>
        </w:rPr>
        <w:t xml:space="preserve"> и плацебо съответно. Медианата на обща преживяемост е 6,7 месеца в групата с </w:t>
      </w:r>
      <w:r w:rsidR="00007066">
        <w:rPr>
          <w:rFonts w:eastAsia="Times New Roman"/>
        </w:rPr>
        <w:t>ерлотиниб</w:t>
      </w:r>
      <w:r>
        <w:rPr>
          <w:rFonts w:eastAsia="Times New Roman"/>
        </w:rPr>
        <w:t xml:space="preserve"> (95% CI, 5,5 до 7,8 месеца) в сравнение с 4,7 месеца в групата с плацебо (95% CI, 4,1 до 6,3 месеца).</w:t>
      </w:r>
    </w:p>
    <w:p w14:paraId="77D77E5D" w14:textId="77777777" w:rsidR="00992061" w:rsidRDefault="00992061">
      <w:pPr>
        <w:spacing w:line="199" w:lineRule="exact"/>
        <w:rPr>
          <w:sz w:val="20"/>
          <w:szCs w:val="20"/>
        </w:rPr>
      </w:pPr>
    </w:p>
    <w:p w14:paraId="087AF419" w14:textId="5407DE5F" w:rsidR="00992061" w:rsidRDefault="00D1402E" w:rsidP="00007066">
      <w:pPr>
        <w:spacing w:line="251" w:lineRule="auto"/>
        <w:ind w:left="5" w:right="-442"/>
        <w:rPr>
          <w:rFonts w:eastAsia="Times New Roman"/>
        </w:rPr>
      </w:pPr>
      <w:r w:rsidRPr="00007066">
        <w:rPr>
          <w:rFonts w:eastAsia="Times New Roman"/>
        </w:rPr>
        <w:t xml:space="preserve">Ефектът по отношение на общата преживяемост е изследван при различни субпопулации пациенти. Ефектът на </w:t>
      </w:r>
      <w:r w:rsidR="00007066">
        <w:rPr>
          <w:rFonts w:eastAsia="Times New Roman"/>
        </w:rPr>
        <w:t>ерлотиниб</w:t>
      </w:r>
      <w:r w:rsidRPr="00007066">
        <w:rPr>
          <w:rFonts w:eastAsia="Times New Roman"/>
        </w:rPr>
        <w:t xml:space="preserve"> върху общата преживяемост е подобен при пациентите с изходен СП (ECOG) от 2-3 (HR = 0,77, 95% CI 0,6-1,0) или 0-1 (HR = 0,73, 95% CI 0,6-0,9), мъже</w:t>
      </w:r>
      <w:r w:rsidR="00007066" w:rsidRPr="00007066">
        <w:rPr>
          <w:rFonts w:eastAsia="Times New Roman"/>
          <w:lang w:val="bg-BG"/>
        </w:rPr>
        <w:t xml:space="preserve"> </w:t>
      </w:r>
      <w:r w:rsidRPr="00007066">
        <w:rPr>
          <w:rFonts w:eastAsia="Times New Roman"/>
        </w:rPr>
        <w:t>(HR = 0,76, 95% CI 0,6-0,9) или жени (HR = 0,80, 95% CI 0,6-1,1), пациенти &lt; 65-годишна възраст (HR = 0,75, 95% CI 0,6-0,9) или по-възрастни пациенти (HR = 0,79, 95% CI 0,6-1,0), пациенти с една предшестваща схема на лечение (HR = 0,76, 95% CI 0,6-1,0) или с повече от една предшестваща схема на лечение (HR = 0,75, 95% CI 0,6-1,0), пациенти от бялата раса (HR = 0,79, 95% CI 0,6-1,0) или азиатци (HR = 0,61, 95% CI 0,4-1,0), пациенти с аденокарцином</w:t>
      </w:r>
      <w:r w:rsidR="00007066" w:rsidRPr="00007066">
        <w:rPr>
          <w:rFonts w:eastAsia="Times New Roman"/>
          <w:lang w:val="bg-BG"/>
        </w:rPr>
        <w:t xml:space="preserve"> </w:t>
      </w:r>
      <w:r w:rsidRPr="00007066">
        <w:rPr>
          <w:rFonts w:eastAsia="Times New Roman"/>
        </w:rPr>
        <w:t>(HR = 0,71, 95% CI 0,6-0,9) или сквамозноклетъчен карцином (HR = 0,67, 95% CI 0,5-0,9), но не</w:t>
      </w:r>
      <w:r w:rsidR="00007066" w:rsidRPr="00007066">
        <w:rPr>
          <w:rFonts w:eastAsia="Times New Roman"/>
          <w:lang w:val="bg-BG"/>
        </w:rPr>
        <w:t xml:space="preserve"> </w:t>
      </w:r>
      <w:r w:rsidRPr="00007066">
        <w:rPr>
          <w:rFonts w:eastAsia="Times New Roman"/>
        </w:rPr>
        <w:t xml:space="preserve">при пациенти с други хистологични находки (HR 1,04, 95% CI 0,7-1,5), пациенти в стадий IV на заболяването в момента на диагностицирането му (HR = </w:t>
      </w:r>
      <w:r w:rsidRPr="00007066">
        <w:rPr>
          <w:rFonts w:eastAsia="Times New Roman"/>
        </w:rPr>
        <w:lastRenderedPageBreak/>
        <w:t>0,92, 95% CI 0,7-</w:t>
      </w:r>
      <w:r>
        <w:rPr>
          <w:rFonts w:eastAsia="Times New Roman"/>
        </w:rPr>
        <w:t>1,2) или заболяване &lt; стадий IV в момента на диагностицирането му (HR = 0,65, 95% CI 0,5-0,8). Пациентите, които никога не са пушили, са получили много по-голяма полза от лечението с ерлотиниб (HR на преживяемост = 0,42, 95% CI 0,28-0,64) в сравнение с настоящи или бивши пушачи (HR = 0,87, 95% CI 0,71-1,05).</w:t>
      </w:r>
    </w:p>
    <w:p w14:paraId="6FF31FFF" w14:textId="77777777" w:rsidR="00992061" w:rsidRDefault="00992061">
      <w:pPr>
        <w:spacing w:line="4" w:lineRule="exact"/>
        <w:rPr>
          <w:rFonts w:eastAsia="Times New Roman"/>
        </w:rPr>
      </w:pPr>
    </w:p>
    <w:p w14:paraId="5D1F6D53" w14:textId="77777777" w:rsidR="00992061" w:rsidRDefault="00D1402E" w:rsidP="00007066">
      <w:pPr>
        <w:ind w:left="5" w:right="-583"/>
        <w:rPr>
          <w:rFonts w:eastAsia="Times New Roman"/>
        </w:rPr>
      </w:pPr>
      <w:r>
        <w:rPr>
          <w:rFonts w:eastAsia="Times New Roman"/>
        </w:rPr>
        <w:t>При 45% от пациентите с известен статус на експресия на EGFR рисковият коефициент е</w:t>
      </w:r>
    </w:p>
    <w:p w14:paraId="19B1F461" w14:textId="77777777" w:rsidR="00992061" w:rsidRDefault="00992061">
      <w:pPr>
        <w:spacing w:line="1" w:lineRule="exact"/>
        <w:rPr>
          <w:rFonts w:eastAsia="Times New Roman"/>
        </w:rPr>
      </w:pPr>
    </w:p>
    <w:p w14:paraId="5AF8DDF1" w14:textId="77777777" w:rsidR="00992061" w:rsidRDefault="00D1402E" w:rsidP="00007066">
      <w:pPr>
        <w:spacing w:line="249" w:lineRule="auto"/>
        <w:ind w:left="5" w:right="-442"/>
        <w:rPr>
          <w:rFonts w:eastAsia="Times New Roman"/>
        </w:rPr>
      </w:pPr>
      <w:r>
        <w:rPr>
          <w:rFonts w:eastAsia="Times New Roman"/>
        </w:rPr>
        <w:t>0,68 (95% CI 0,49-0,94) при пациентите с EGFR-положителни тумори и 0,93 (95% CI 0,63-1,36) при пациентите с EGFR-отрицателни тумори (определени чрез IHC при използване на EGFR pharmDx kit, като за EGFR-отрицателни се определят тумори с под 10% оцветени туморни клетки). При останалите 55% от пациентите с неизвестен статус на експресия на EGFR рисковият коефициент е 0,77 (95% CI 0,61-0,98).</w:t>
      </w:r>
    </w:p>
    <w:p w14:paraId="186742F1" w14:textId="77777777" w:rsidR="00992061" w:rsidRDefault="00992061">
      <w:pPr>
        <w:spacing w:line="204" w:lineRule="exact"/>
        <w:rPr>
          <w:sz w:val="20"/>
          <w:szCs w:val="20"/>
        </w:rPr>
      </w:pPr>
    </w:p>
    <w:p w14:paraId="4C7FC99A" w14:textId="37C8DB7D" w:rsidR="00992061" w:rsidRDefault="00D1402E" w:rsidP="00007066">
      <w:pPr>
        <w:spacing w:line="277" w:lineRule="auto"/>
        <w:ind w:left="5" w:right="-442"/>
        <w:rPr>
          <w:sz w:val="20"/>
          <w:szCs w:val="20"/>
        </w:rPr>
      </w:pPr>
      <w:r>
        <w:rPr>
          <w:rFonts w:eastAsia="Times New Roman"/>
        </w:rPr>
        <w:t xml:space="preserve">Медианата на ПБП е 9,7 седмици в групата с </w:t>
      </w:r>
      <w:r w:rsidR="00007066">
        <w:rPr>
          <w:rFonts w:eastAsia="Times New Roman"/>
        </w:rPr>
        <w:t>ерлотиниб</w:t>
      </w:r>
      <w:r>
        <w:rPr>
          <w:rFonts w:eastAsia="Times New Roman"/>
        </w:rPr>
        <w:t xml:space="preserve"> (95% CI, 8,4 до 12,4 седмици) в сравнение с 8,0 седмици в групата с плацебо (95% CI, 7,9 до 8,1 седмици).</w:t>
      </w:r>
    </w:p>
    <w:p w14:paraId="5D65FFAC" w14:textId="77777777" w:rsidR="00992061" w:rsidRDefault="00992061">
      <w:pPr>
        <w:spacing w:line="174" w:lineRule="exact"/>
        <w:rPr>
          <w:sz w:val="20"/>
          <w:szCs w:val="20"/>
        </w:rPr>
      </w:pPr>
    </w:p>
    <w:p w14:paraId="2D0E4473" w14:textId="13A387A5" w:rsidR="00992061" w:rsidRDefault="00D1402E" w:rsidP="00007066">
      <w:pPr>
        <w:spacing w:line="239" w:lineRule="auto"/>
        <w:ind w:left="5" w:right="-300"/>
        <w:rPr>
          <w:sz w:val="20"/>
          <w:szCs w:val="20"/>
        </w:rPr>
      </w:pPr>
      <w:r>
        <w:rPr>
          <w:rFonts w:eastAsia="Times New Roman"/>
        </w:rPr>
        <w:t xml:space="preserve">Степента на обективен отговор по RECIST в групата с </w:t>
      </w:r>
      <w:r w:rsidR="00007066">
        <w:rPr>
          <w:rFonts w:eastAsia="Times New Roman"/>
        </w:rPr>
        <w:t>ерлотиниб</w:t>
      </w:r>
      <w:r>
        <w:rPr>
          <w:rFonts w:eastAsia="Times New Roman"/>
        </w:rPr>
        <w:t xml:space="preserve"> е 8,9% (95% CI, 6,4 до 12,0). Първите 330 пациенти са оценявани централно (степен на отговор 6,2%); 401 пациенти са оценявани от изследователите (степен на отговор 11,2%).</w:t>
      </w:r>
    </w:p>
    <w:p w14:paraId="1764B6E3" w14:textId="77777777" w:rsidR="00992061" w:rsidRDefault="00992061" w:rsidP="00007066">
      <w:pPr>
        <w:spacing w:line="2" w:lineRule="exact"/>
        <w:ind w:right="-300"/>
        <w:rPr>
          <w:sz w:val="20"/>
          <w:szCs w:val="20"/>
        </w:rPr>
      </w:pPr>
    </w:p>
    <w:p w14:paraId="0DC8E468" w14:textId="537D66CB" w:rsidR="00992061" w:rsidRDefault="00D1402E" w:rsidP="00007066">
      <w:pPr>
        <w:spacing w:line="259" w:lineRule="auto"/>
        <w:ind w:left="5" w:right="-300"/>
        <w:jc w:val="both"/>
        <w:rPr>
          <w:sz w:val="20"/>
          <w:szCs w:val="20"/>
        </w:rPr>
      </w:pPr>
      <w:r>
        <w:rPr>
          <w:rFonts w:eastAsia="Times New Roman"/>
        </w:rPr>
        <w:t xml:space="preserve">Медианата на продължителност на отговора е 34,3 седмици, варираща от 9,7 до 57,6+ седмици. Процентът на пациенти с пълен отговор, частичен отговор или стабилно заболяване е 44,0% и 27,5%, съответно за групите с </w:t>
      </w:r>
      <w:r w:rsidR="00007066">
        <w:rPr>
          <w:rFonts w:eastAsia="Times New Roman"/>
        </w:rPr>
        <w:t>ерлотиниб</w:t>
      </w:r>
      <w:r>
        <w:rPr>
          <w:rFonts w:eastAsia="Times New Roman"/>
        </w:rPr>
        <w:t xml:space="preserve"> и плацебо (p = 0,004).</w:t>
      </w:r>
    </w:p>
    <w:p w14:paraId="6EEF1743" w14:textId="77777777" w:rsidR="00992061" w:rsidRDefault="00992061">
      <w:pPr>
        <w:spacing w:line="194" w:lineRule="exact"/>
        <w:rPr>
          <w:sz w:val="20"/>
          <w:szCs w:val="20"/>
        </w:rPr>
      </w:pPr>
    </w:p>
    <w:p w14:paraId="655C48FE" w14:textId="5AA227AB" w:rsidR="00992061" w:rsidRDefault="00D1402E" w:rsidP="00007066">
      <w:pPr>
        <w:spacing w:line="253" w:lineRule="auto"/>
        <w:ind w:left="5" w:right="-158"/>
        <w:rPr>
          <w:sz w:val="20"/>
          <w:szCs w:val="20"/>
        </w:rPr>
      </w:pPr>
      <w:r>
        <w:rPr>
          <w:rFonts w:eastAsia="Times New Roman"/>
        </w:rPr>
        <w:t xml:space="preserve">Полза по отношение на преживяемостта с </w:t>
      </w:r>
      <w:r w:rsidR="00007066">
        <w:rPr>
          <w:rFonts w:eastAsia="Times New Roman"/>
        </w:rPr>
        <w:t>ерлотиниб</w:t>
      </w:r>
      <w:r>
        <w:rPr>
          <w:rFonts w:eastAsia="Times New Roman"/>
        </w:rPr>
        <w:t xml:space="preserve"> е наблюдавана и при пациенти, които не са постигнали обективен туморен отговор (по RECIST). Това личи от рисковия коефициент за смъртност от 0,82 (95% CI, 0,68 до 0,99) при пациентите, чийто най-добър отговор е бил стабилизиране или прогресиране на заболяването.</w:t>
      </w:r>
    </w:p>
    <w:p w14:paraId="20692898" w14:textId="77777777" w:rsidR="00992061" w:rsidRDefault="00992061">
      <w:pPr>
        <w:spacing w:line="198" w:lineRule="exact"/>
        <w:rPr>
          <w:sz w:val="20"/>
          <w:szCs w:val="20"/>
        </w:rPr>
      </w:pPr>
    </w:p>
    <w:p w14:paraId="7D470D68" w14:textId="6D5D3E92" w:rsidR="00992061" w:rsidRDefault="00D1402E" w:rsidP="00007066">
      <w:pPr>
        <w:spacing w:line="261" w:lineRule="auto"/>
        <w:ind w:left="5" w:right="-442"/>
        <w:rPr>
          <w:sz w:val="20"/>
          <w:szCs w:val="20"/>
        </w:rPr>
      </w:pPr>
      <w:r>
        <w:rPr>
          <w:rFonts w:eastAsia="Times New Roman"/>
        </w:rPr>
        <w:t xml:space="preserve">Приложението на </w:t>
      </w:r>
      <w:r w:rsidR="00007066">
        <w:rPr>
          <w:rFonts w:eastAsia="Times New Roman"/>
        </w:rPr>
        <w:t>ерлотиниб</w:t>
      </w:r>
      <w:r>
        <w:rPr>
          <w:rFonts w:eastAsia="Times New Roman"/>
        </w:rPr>
        <w:t xml:space="preserve"> е от полза по отношение на симптоматиката, като води до значително удължаване на времето до влошаване на кашлицата, диспнеята и болката в сравнение с плацебо.</w:t>
      </w:r>
    </w:p>
    <w:p w14:paraId="29DA45D8" w14:textId="77777777" w:rsidR="00992061" w:rsidRDefault="00992061">
      <w:pPr>
        <w:spacing w:line="187" w:lineRule="exact"/>
        <w:rPr>
          <w:sz w:val="20"/>
          <w:szCs w:val="20"/>
        </w:rPr>
      </w:pPr>
    </w:p>
    <w:p w14:paraId="0817403C" w14:textId="1D1A2E62" w:rsidR="00007066" w:rsidRPr="00007066" w:rsidRDefault="00D1402E" w:rsidP="00007066">
      <w:pPr>
        <w:numPr>
          <w:ilvl w:val="0"/>
          <w:numId w:val="19"/>
        </w:numPr>
        <w:tabs>
          <w:tab w:val="left" w:pos="207"/>
        </w:tabs>
        <w:spacing w:line="245" w:lineRule="auto"/>
        <w:ind w:left="5" w:right="140" w:hanging="4"/>
        <w:rPr>
          <w:sz w:val="20"/>
          <w:szCs w:val="20"/>
        </w:rPr>
      </w:pPr>
      <w:r w:rsidRPr="00007066">
        <w:rPr>
          <w:rFonts w:eastAsia="Times New Roman"/>
        </w:rPr>
        <w:t xml:space="preserve">двойносляпо, рандомизирано проучване фаза III (MO22162, CURRENTS), сравняващо две дози </w:t>
      </w:r>
      <w:r w:rsidR="00007066" w:rsidRPr="00007066">
        <w:rPr>
          <w:rFonts w:eastAsia="Times New Roman"/>
        </w:rPr>
        <w:t>ерлотиниб</w:t>
      </w:r>
      <w:r w:rsidRPr="00007066">
        <w:rPr>
          <w:rFonts w:eastAsia="Times New Roman"/>
        </w:rPr>
        <w:t xml:space="preserve"> (300 mg спрямо 150 mg) при настоящи пушачи (средно 38 опаковки годишно) с локално авансирал или метастазирал НДКРБД в условията на втора линия на лечение след неуспешна химиотерапия, дозата 300 mg </w:t>
      </w:r>
      <w:r w:rsidR="00007066">
        <w:rPr>
          <w:rFonts w:eastAsia="Times New Roman"/>
        </w:rPr>
        <w:t>ерлотиниб</w:t>
      </w:r>
      <w:r w:rsidR="00007066" w:rsidRPr="00007066">
        <w:rPr>
          <w:rFonts w:eastAsia="Times New Roman"/>
        </w:rPr>
        <w:t xml:space="preserve"> </w:t>
      </w:r>
      <w:r w:rsidRPr="00007066">
        <w:rPr>
          <w:rFonts w:eastAsia="Times New Roman"/>
        </w:rPr>
        <w:t>не показва полза по отношение на PFS в сравнение с препоръчителната доза (съответно 7,00 спрямо 6,86 седмици).</w:t>
      </w:r>
      <w:bookmarkStart w:id="17" w:name="page20"/>
      <w:bookmarkEnd w:id="17"/>
    </w:p>
    <w:p w14:paraId="35B287B0" w14:textId="77777777" w:rsidR="00007066" w:rsidRDefault="00007066" w:rsidP="00007066">
      <w:pPr>
        <w:tabs>
          <w:tab w:val="left" w:pos="207"/>
        </w:tabs>
        <w:spacing w:line="245" w:lineRule="auto"/>
        <w:ind w:left="5" w:right="140"/>
        <w:rPr>
          <w:rFonts w:eastAsia="Times New Roman"/>
        </w:rPr>
      </w:pPr>
    </w:p>
    <w:p w14:paraId="0C9BF877" w14:textId="77ACA7E9" w:rsidR="00992061" w:rsidRPr="00007066" w:rsidRDefault="00D1402E" w:rsidP="00007066">
      <w:pPr>
        <w:tabs>
          <w:tab w:val="left" w:pos="207"/>
        </w:tabs>
        <w:spacing w:line="245" w:lineRule="auto"/>
        <w:ind w:left="5" w:right="-588"/>
        <w:rPr>
          <w:sz w:val="20"/>
          <w:szCs w:val="20"/>
        </w:rPr>
      </w:pPr>
      <w:r w:rsidRPr="00007066">
        <w:rPr>
          <w:rFonts w:eastAsia="Times New Roman"/>
        </w:rPr>
        <w:t>Всички вторични крайни точки за ефикасност съответстват на първичната крайна точка, като не се установява разлика в ОП между пациентите, лекувани с ерлотиниб 300 mg и 150 mg дневно (HR 1,03, 95% CI 0,80 до 1,32). Данните за безопасност са сравними между дозите 300 mg и 150 mg. Има обаче числено повишение на честотата на обрив, интерстициална белодробна болест и диария при пациентите, получаващи по-високата доза ерлотиниб. Въз основа на данните от проучване CURRENTS не са установени доказателства за някаква полза от по-висока доза ерлотиниб 300 mg в сравнение с препоръчителната доза 150 mg при активни пушачи.</w:t>
      </w:r>
    </w:p>
    <w:p w14:paraId="5697A31A" w14:textId="77777777" w:rsidR="00992061" w:rsidRDefault="00992061">
      <w:pPr>
        <w:spacing w:line="209" w:lineRule="exact"/>
        <w:rPr>
          <w:sz w:val="20"/>
          <w:szCs w:val="20"/>
        </w:rPr>
      </w:pPr>
    </w:p>
    <w:p w14:paraId="12590D4A" w14:textId="77777777" w:rsidR="00992061" w:rsidRDefault="00D1402E" w:rsidP="00007066">
      <w:pPr>
        <w:ind w:right="-447"/>
        <w:rPr>
          <w:sz w:val="20"/>
          <w:szCs w:val="20"/>
        </w:rPr>
      </w:pPr>
      <w:r>
        <w:rPr>
          <w:rFonts w:eastAsia="Times New Roman"/>
        </w:rPr>
        <w:t>Пациентите в това проучване не са избирани въз основа на статуса им на EGFR мутация. Вижте точки 4.2, 4.4, 4.5 и 5.2.</w:t>
      </w:r>
    </w:p>
    <w:p w14:paraId="7D5F987C" w14:textId="77777777" w:rsidR="00992061" w:rsidRDefault="00992061">
      <w:pPr>
        <w:spacing w:line="170" w:lineRule="exact"/>
        <w:rPr>
          <w:sz w:val="20"/>
          <w:szCs w:val="20"/>
        </w:rPr>
      </w:pPr>
    </w:p>
    <w:p w14:paraId="5769CD9F" w14:textId="2DB5951D" w:rsidR="00992061" w:rsidRPr="00007066" w:rsidRDefault="00D1402E">
      <w:pPr>
        <w:rPr>
          <w:sz w:val="20"/>
          <w:szCs w:val="20"/>
        </w:rPr>
      </w:pPr>
      <w:r w:rsidRPr="00007066">
        <w:rPr>
          <w:rFonts w:eastAsia="Times New Roman"/>
          <w:iCs/>
          <w:u w:val="single"/>
        </w:rPr>
        <w:t xml:space="preserve">Рак на панкреаса (приложение на </w:t>
      </w:r>
      <w:r w:rsidR="00007066" w:rsidRPr="00007066">
        <w:rPr>
          <w:rFonts w:eastAsia="Times New Roman"/>
          <w:iCs/>
          <w:u w:val="single"/>
        </w:rPr>
        <w:t>ерлотиниб</w:t>
      </w:r>
      <w:r w:rsidRPr="00007066">
        <w:rPr>
          <w:rFonts w:eastAsia="Times New Roman"/>
          <w:iCs/>
          <w:u w:val="single"/>
        </w:rPr>
        <w:t xml:space="preserve"> едновременно с гемцитабин в проучването PA.3)</w:t>
      </w:r>
    </w:p>
    <w:p w14:paraId="11024147" w14:textId="77777777" w:rsidR="00992061" w:rsidRDefault="00992061">
      <w:pPr>
        <w:spacing w:line="252" w:lineRule="exact"/>
        <w:rPr>
          <w:sz w:val="20"/>
          <w:szCs w:val="20"/>
        </w:rPr>
      </w:pPr>
    </w:p>
    <w:p w14:paraId="1E8F0594" w14:textId="78D98938" w:rsidR="00992061" w:rsidRDefault="00D1402E" w:rsidP="00007066">
      <w:pPr>
        <w:spacing w:line="238" w:lineRule="auto"/>
        <w:ind w:right="-305"/>
        <w:rPr>
          <w:sz w:val="20"/>
          <w:szCs w:val="20"/>
        </w:rPr>
      </w:pPr>
      <w:r>
        <w:rPr>
          <w:rFonts w:eastAsia="Times New Roman"/>
        </w:rPr>
        <w:t xml:space="preserve">Ефикасността и безопасността на </w:t>
      </w:r>
      <w:r w:rsidR="00007066">
        <w:rPr>
          <w:rFonts w:eastAsia="Times New Roman"/>
        </w:rPr>
        <w:t xml:space="preserve">ерлотиниб </w:t>
      </w:r>
      <w:r>
        <w:rPr>
          <w:rFonts w:eastAsia="Times New Roman"/>
        </w:rPr>
        <w:t xml:space="preserve">a в комбинация с гемцитабин като първа линия на лечение са оценени в едно рандомизирано, двойно-сляпо, плацебо-контролирано клинично изпитване при пациенти с локално авансирал, неоперабилен или метастазирал рак на панкреаса. Пациентите са рандомизирани да получават </w:t>
      </w:r>
      <w:r w:rsidR="00007066">
        <w:rPr>
          <w:rFonts w:eastAsia="Times New Roman"/>
        </w:rPr>
        <w:t>ерлотиниб</w:t>
      </w:r>
      <w:r>
        <w:rPr>
          <w:rFonts w:eastAsia="Times New Roman"/>
        </w:rPr>
        <w:t xml:space="preserve"> или плацебо веднъж дневно при непрекъсната схема на лечение плюс гемцитабин </w:t>
      </w:r>
      <w:r w:rsidRPr="00007066">
        <w:rPr>
          <w:rFonts w:eastAsia="Times New Roman"/>
          <w:i/>
        </w:rPr>
        <w:t>i.v.</w:t>
      </w:r>
      <w:r>
        <w:rPr>
          <w:rFonts w:eastAsia="Times New Roman"/>
        </w:rPr>
        <w:t xml:space="preserve"> (1000 mg/m</w:t>
      </w:r>
      <w:r>
        <w:rPr>
          <w:rFonts w:eastAsia="Times New Roman"/>
          <w:sz w:val="27"/>
          <w:szCs w:val="27"/>
          <w:vertAlign w:val="superscript"/>
        </w:rPr>
        <w:t>2</w:t>
      </w:r>
      <w:r>
        <w:rPr>
          <w:rFonts w:eastAsia="Times New Roman"/>
        </w:rPr>
        <w:t xml:space="preserve">, Цикъл 1 - дни 1, 8, 15, 22, 29, 36 и 43 от 8-седмичен цикъл; Цикъл 2 и последващите цикли - дни 1, 8 и 15 от 4-седмичен цикъл [за одобрената доза и схема на дозиране при рак на панкреаса, вж. КХП на гемцитабин]). </w:t>
      </w:r>
      <w:r w:rsidR="00007066">
        <w:rPr>
          <w:rFonts w:eastAsia="Times New Roman"/>
        </w:rPr>
        <w:t>Ерлотиниб</w:t>
      </w:r>
      <w:r>
        <w:rPr>
          <w:rFonts w:eastAsia="Times New Roman"/>
        </w:rPr>
        <w:t xml:space="preserve"> или плацебо са приемани перорално веднъж дневно до прогресиране на заболяването или до появата на неприемлива токсичност. Първичната крайна точка е общата преживяемост.</w:t>
      </w:r>
    </w:p>
    <w:p w14:paraId="6FD5CEDD" w14:textId="77777777" w:rsidR="00992061" w:rsidRDefault="00992061">
      <w:pPr>
        <w:spacing w:line="214" w:lineRule="exact"/>
        <w:rPr>
          <w:sz w:val="20"/>
          <w:szCs w:val="20"/>
        </w:rPr>
      </w:pPr>
    </w:p>
    <w:p w14:paraId="786DD4CA" w14:textId="42EA8C1D" w:rsidR="00992061" w:rsidRDefault="00D1402E" w:rsidP="00007066">
      <w:pPr>
        <w:spacing w:line="253" w:lineRule="auto"/>
        <w:ind w:right="-588"/>
        <w:rPr>
          <w:sz w:val="20"/>
          <w:szCs w:val="20"/>
        </w:rPr>
      </w:pPr>
      <w:r>
        <w:rPr>
          <w:rFonts w:eastAsia="Times New Roman"/>
        </w:rPr>
        <w:t xml:space="preserve">Изходните демографски данни и характеристики на заболяването на пациентите са били подобни в двете групи на лечение, 100 mg </w:t>
      </w:r>
      <w:r w:rsidR="00AF0AA0">
        <w:rPr>
          <w:rFonts w:eastAsia="Times New Roman"/>
        </w:rPr>
        <w:t>ерлотиниб</w:t>
      </w:r>
      <w:r>
        <w:rPr>
          <w:rFonts w:eastAsia="Times New Roman"/>
        </w:rPr>
        <w:t xml:space="preserve"> плюс гемцитабин или плацебо плюс гемцитабин, с </w:t>
      </w:r>
      <w:r>
        <w:rPr>
          <w:rFonts w:eastAsia="Times New Roman"/>
        </w:rPr>
        <w:lastRenderedPageBreak/>
        <w:t>изключение на малко по-големия дял на жените в рамото на ерлотиниб/гемцитабин в сравнение с рамото на плацебо/гемцитабин:</w:t>
      </w:r>
    </w:p>
    <w:p w14:paraId="288947CA" w14:textId="77777777" w:rsidR="00992061" w:rsidRDefault="00992061">
      <w:pPr>
        <w:spacing w:line="2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80"/>
        <w:gridCol w:w="1700"/>
        <w:gridCol w:w="1460"/>
      </w:tblGrid>
      <w:tr w:rsidR="00992061" w14:paraId="66FCDB82" w14:textId="77777777">
        <w:trPr>
          <w:trHeight w:val="295"/>
        </w:trPr>
        <w:tc>
          <w:tcPr>
            <w:tcW w:w="4980" w:type="dxa"/>
            <w:tcBorders>
              <w:top w:val="single" w:sz="8" w:space="0" w:color="auto"/>
              <w:left w:val="single" w:sz="8" w:space="0" w:color="auto"/>
              <w:bottom w:val="single" w:sz="8" w:space="0" w:color="auto"/>
              <w:right w:val="single" w:sz="8" w:space="0" w:color="auto"/>
            </w:tcBorders>
            <w:vAlign w:val="bottom"/>
          </w:tcPr>
          <w:p w14:paraId="3593D458" w14:textId="77777777" w:rsidR="00992061" w:rsidRDefault="00D1402E">
            <w:pPr>
              <w:ind w:left="60"/>
              <w:rPr>
                <w:sz w:val="20"/>
                <w:szCs w:val="20"/>
              </w:rPr>
            </w:pPr>
            <w:r>
              <w:rPr>
                <w:rFonts w:eastAsia="Times New Roman"/>
                <w:b/>
                <w:bCs/>
                <w:sz w:val="20"/>
                <w:szCs w:val="20"/>
              </w:rPr>
              <w:t>Изходни резултати</w:t>
            </w:r>
          </w:p>
        </w:tc>
        <w:tc>
          <w:tcPr>
            <w:tcW w:w="1700" w:type="dxa"/>
            <w:tcBorders>
              <w:top w:val="single" w:sz="8" w:space="0" w:color="auto"/>
              <w:bottom w:val="single" w:sz="8" w:space="0" w:color="auto"/>
              <w:right w:val="single" w:sz="8" w:space="0" w:color="auto"/>
            </w:tcBorders>
            <w:vAlign w:val="bottom"/>
          </w:tcPr>
          <w:p w14:paraId="03460425" w14:textId="206874D8" w:rsidR="00992061" w:rsidRDefault="00007066" w:rsidP="00007066">
            <w:pPr>
              <w:jc w:val="center"/>
              <w:rPr>
                <w:sz w:val="20"/>
                <w:szCs w:val="20"/>
              </w:rPr>
            </w:pPr>
            <w:r>
              <w:rPr>
                <w:rFonts w:eastAsia="Times New Roman"/>
                <w:b/>
                <w:bCs/>
                <w:w w:val="99"/>
                <w:sz w:val="20"/>
                <w:szCs w:val="20"/>
              </w:rPr>
              <w:t>Ерлотиниб</w:t>
            </w:r>
          </w:p>
        </w:tc>
        <w:tc>
          <w:tcPr>
            <w:tcW w:w="1460" w:type="dxa"/>
            <w:tcBorders>
              <w:top w:val="single" w:sz="8" w:space="0" w:color="auto"/>
              <w:bottom w:val="single" w:sz="8" w:space="0" w:color="auto"/>
              <w:right w:val="single" w:sz="8" w:space="0" w:color="auto"/>
            </w:tcBorders>
            <w:vAlign w:val="bottom"/>
          </w:tcPr>
          <w:p w14:paraId="3019C08E" w14:textId="77777777" w:rsidR="00992061" w:rsidRDefault="00D1402E">
            <w:pPr>
              <w:jc w:val="center"/>
              <w:rPr>
                <w:sz w:val="20"/>
                <w:szCs w:val="20"/>
              </w:rPr>
            </w:pPr>
            <w:r>
              <w:rPr>
                <w:rFonts w:eastAsia="Times New Roman"/>
                <w:b/>
                <w:bCs/>
                <w:sz w:val="20"/>
                <w:szCs w:val="20"/>
              </w:rPr>
              <w:t>Плацебо</w:t>
            </w:r>
          </w:p>
        </w:tc>
      </w:tr>
      <w:tr w:rsidR="00992061" w14:paraId="787CEBC8" w14:textId="77777777">
        <w:trPr>
          <w:trHeight w:val="264"/>
        </w:trPr>
        <w:tc>
          <w:tcPr>
            <w:tcW w:w="4980" w:type="dxa"/>
            <w:tcBorders>
              <w:left w:val="single" w:sz="8" w:space="0" w:color="auto"/>
              <w:right w:val="single" w:sz="8" w:space="0" w:color="auto"/>
            </w:tcBorders>
            <w:vAlign w:val="bottom"/>
          </w:tcPr>
          <w:p w14:paraId="0D7DE57E" w14:textId="77777777" w:rsidR="00992061" w:rsidRDefault="00D1402E">
            <w:pPr>
              <w:ind w:left="60"/>
              <w:rPr>
                <w:sz w:val="20"/>
                <w:szCs w:val="20"/>
              </w:rPr>
            </w:pPr>
            <w:r>
              <w:rPr>
                <w:rFonts w:eastAsia="Times New Roman"/>
                <w:sz w:val="20"/>
                <w:szCs w:val="20"/>
              </w:rPr>
              <w:t>Жени</w:t>
            </w:r>
          </w:p>
        </w:tc>
        <w:tc>
          <w:tcPr>
            <w:tcW w:w="1700" w:type="dxa"/>
            <w:tcBorders>
              <w:right w:val="single" w:sz="8" w:space="0" w:color="auto"/>
            </w:tcBorders>
            <w:vAlign w:val="bottom"/>
          </w:tcPr>
          <w:p w14:paraId="31D9CF64" w14:textId="77777777" w:rsidR="00992061" w:rsidRDefault="00D1402E">
            <w:pPr>
              <w:jc w:val="center"/>
              <w:rPr>
                <w:sz w:val="20"/>
                <w:szCs w:val="20"/>
              </w:rPr>
            </w:pPr>
            <w:r>
              <w:rPr>
                <w:rFonts w:eastAsia="Times New Roman"/>
                <w:sz w:val="20"/>
                <w:szCs w:val="20"/>
              </w:rPr>
              <w:t>51%</w:t>
            </w:r>
          </w:p>
        </w:tc>
        <w:tc>
          <w:tcPr>
            <w:tcW w:w="1460" w:type="dxa"/>
            <w:tcBorders>
              <w:right w:val="single" w:sz="8" w:space="0" w:color="auto"/>
            </w:tcBorders>
            <w:vAlign w:val="bottom"/>
          </w:tcPr>
          <w:p w14:paraId="0BF60726" w14:textId="77777777" w:rsidR="00992061" w:rsidRDefault="00D1402E">
            <w:pPr>
              <w:jc w:val="center"/>
              <w:rPr>
                <w:sz w:val="20"/>
                <w:szCs w:val="20"/>
              </w:rPr>
            </w:pPr>
            <w:r>
              <w:rPr>
                <w:rFonts w:eastAsia="Times New Roman"/>
                <w:w w:val="98"/>
                <w:sz w:val="20"/>
                <w:szCs w:val="20"/>
              </w:rPr>
              <w:t>44%</w:t>
            </w:r>
          </w:p>
        </w:tc>
      </w:tr>
      <w:tr w:rsidR="00992061" w14:paraId="7EDEAAFD" w14:textId="77777777">
        <w:trPr>
          <w:trHeight w:val="22"/>
        </w:trPr>
        <w:tc>
          <w:tcPr>
            <w:tcW w:w="4980" w:type="dxa"/>
            <w:tcBorders>
              <w:left w:val="single" w:sz="8" w:space="0" w:color="auto"/>
              <w:bottom w:val="single" w:sz="8" w:space="0" w:color="auto"/>
              <w:right w:val="single" w:sz="8" w:space="0" w:color="auto"/>
            </w:tcBorders>
            <w:vAlign w:val="bottom"/>
          </w:tcPr>
          <w:p w14:paraId="6B6E5396" w14:textId="77777777" w:rsidR="00992061" w:rsidRDefault="00992061">
            <w:pPr>
              <w:spacing w:line="20" w:lineRule="exact"/>
              <w:rPr>
                <w:sz w:val="1"/>
                <w:szCs w:val="1"/>
              </w:rPr>
            </w:pPr>
          </w:p>
        </w:tc>
        <w:tc>
          <w:tcPr>
            <w:tcW w:w="1700" w:type="dxa"/>
            <w:tcBorders>
              <w:bottom w:val="single" w:sz="8" w:space="0" w:color="auto"/>
              <w:right w:val="single" w:sz="8" w:space="0" w:color="auto"/>
            </w:tcBorders>
            <w:vAlign w:val="bottom"/>
          </w:tcPr>
          <w:p w14:paraId="02898C1F" w14:textId="77777777" w:rsidR="00992061" w:rsidRDefault="00992061">
            <w:pPr>
              <w:spacing w:line="20" w:lineRule="exact"/>
              <w:rPr>
                <w:sz w:val="1"/>
                <w:szCs w:val="1"/>
              </w:rPr>
            </w:pPr>
          </w:p>
        </w:tc>
        <w:tc>
          <w:tcPr>
            <w:tcW w:w="1460" w:type="dxa"/>
            <w:tcBorders>
              <w:bottom w:val="single" w:sz="8" w:space="0" w:color="auto"/>
              <w:right w:val="single" w:sz="8" w:space="0" w:color="auto"/>
            </w:tcBorders>
            <w:vAlign w:val="bottom"/>
          </w:tcPr>
          <w:p w14:paraId="71D120A7" w14:textId="77777777" w:rsidR="00992061" w:rsidRDefault="00992061">
            <w:pPr>
              <w:spacing w:line="20" w:lineRule="exact"/>
              <w:rPr>
                <w:sz w:val="1"/>
                <w:szCs w:val="1"/>
              </w:rPr>
            </w:pPr>
          </w:p>
        </w:tc>
      </w:tr>
      <w:tr w:rsidR="00992061" w14:paraId="4F437165" w14:textId="77777777">
        <w:trPr>
          <w:trHeight w:val="280"/>
        </w:trPr>
        <w:tc>
          <w:tcPr>
            <w:tcW w:w="4980" w:type="dxa"/>
            <w:tcBorders>
              <w:left w:val="single" w:sz="8" w:space="0" w:color="auto"/>
              <w:right w:val="single" w:sz="8" w:space="0" w:color="auto"/>
            </w:tcBorders>
            <w:vAlign w:val="bottom"/>
          </w:tcPr>
          <w:p w14:paraId="3F52BAA6" w14:textId="77777777" w:rsidR="00992061" w:rsidRDefault="00D1402E">
            <w:pPr>
              <w:ind w:left="60"/>
              <w:rPr>
                <w:sz w:val="20"/>
                <w:szCs w:val="20"/>
              </w:rPr>
            </w:pPr>
            <w:r>
              <w:rPr>
                <w:rFonts w:eastAsia="Times New Roman"/>
                <w:sz w:val="20"/>
                <w:szCs w:val="20"/>
              </w:rPr>
              <w:t>Изходен статус на представяне на ECOG (СП) = 0</w:t>
            </w:r>
          </w:p>
        </w:tc>
        <w:tc>
          <w:tcPr>
            <w:tcW w:w="1700" w:type="dxa"/>
            <w:tcBorders>
              <w:right w:val="single" w:sz="8" w:space="0" w:color="auto"/>
            </w:tcBorders>
            <w:vAlign w:val="bottom"/>
          </w:tcPr>
          <w:p w14:paraId="63CF4D31" w14:textId="77777777" w:rsidR="00992061" w:rsidRDefault="00D1402E">
            <w:pPr>
              <w:jc w:val="center"/>
              <w:rPr>
                <w:sz w:val="20"/>
                <w:szCs w:val="20"/>
              </w:rPr>
            </w:pPr>
            <w:r>
              <w:rPr>
                <w:rFonts w:eastAsia="Times New Roman"/>
                <w:sz w:val="20"/>
                <w:szCs w:val="20"/>
              </w:rPr>
              <w:t>31%</w:t>
            </w:r>
          </w:p>
        </w:tc>
        <w:tc>
          <w:tcPr>
            <w:tcW w:w="1460" w:type="dxa"/>
            <w:tcBorders>
              <w:right w:val="single" w:sz="8" w:space="0" w:color="auto"/>
            </w:tcBorders>
            <w:vAlign w:val="bottom"/>
          </w:tcPr>
          <w:p w14:paraId="22D1374E" w14:textId="77777777" w:rsidR="00992061" w:rsidRDefault="00D1402E">
            <w:pPr>
              <w:jc w:val="center"/>
              <w:rPr>
                <w:sz w:val="20"/>
                <w:szCs w:val="20"/>
              </w:rPr>
            </w:pPr>
            <w:r>
              <w:rPr>
                <w:rFonts w:eastAsia="Times New Roman"/>
                <w:w w:val="98"/>
                <w:sz w:val="20"/>
                <w:szCs w:val="20"/>
              </w:rPr>
              <w:t>32%</w:t>
            </w:r>
          </w:p>
        </w:tc>
      </w:tr>
      <w:tr w:rsidR="00992061" w14:paraId="1F4B0A06" w14:textId="77777777">
        <w:trPr>
          <w:trHeight w:val="22"/>
        </w:trPr>
        <w:tc>
          <w:tcPr>
            <w:tcW w:w="4980" w:type="dxa"/>
            <w:tcBorders>
              <w:left w:val="single" w:sz="8" w:space="0" w:color="auto"/>
              <w:bottom w:val="single" w:sz="8" w:space="0" w:color="auto"/>
              <w:right w:val="single" w:sz="8" w:space="0" w:color="auto"/>
            </w:tcBorders>
            <w:vAlign w:val="bottom"/>
          </w:tcPr>
          <w:p w14:paraId="69620329" w14:textId="77777777" w:rsidR="00992061" w:rsidRDefault="00992061">
            <w:pPr>
              <w:spacing w:line="20" w:lineRule="exact"/>
              <w:rPr>
                <w:sz w:val="1"/>
                <w:szCs w:val="1"/>
              </w:rPr>
            </w:pPr>
          </w:p>
        </w:tc>
        <w:tc>
          <w:tcPr>
            <w:tcW w:w="1700" w:type="dxa"/>
            <w:tcBorders>
              <w:bottom w:val="single" w:sz="8" w:space="0" w:color="auto"/>
              <w:right w:val="single" w:sz="8" w:space="0" w:color="auto"/>
            </w:tcBorders>
            <w:vAlign w:val="bottom"/>
          </w:tcPr>
          <w:p w14:paraId="70202311" w14:textId="77777777" w:rsidR="00992061" w:rsidRDefault="00992061">
            <w:pPr>
              <w:spacing w:line="20" w:lineRule="exact"/>
              <w:rPr>
                <w:sz w:val="1"/>
                <w:szCs w:val="1"/>
              </w:rPr>
            </w:pPr>
          </w:p>
        </w:tc>
        <w:tc>
          <w:tcPr>
            <w:tcW w:w="1460" w:type="dxa"/>
            <w:tcBorders>
              <w:bottom w:val="single" w:sz="8" w:space="0" w:color="auto"/>
              <w:right w:val="single" w:sz="8" w:space="0" w:color="auto"/>
            </w:tcBorders>
            <w:vAlign w:val="bottom"/>
          </w:tcPr>
          <w:p w14:paraId="1BEE47F4" w14:textId="77777777" w:rsidR="00992061" w:rsidRDefault="00992061">
            <w:pPr>
              <w:spacing w:line="20" w:lineRule="exact"/>
              <w:rPr>
                <w:sz w:val="1"/>
                <w:szCs w:val="1"/>
              </w:rPr>
            </w:pPr>
          </w:p>
        </w:tc>
      </w:tr>
      <w:tr w:rsidR="00992061" w14:paraId="5FB78319" w14:textId="77777777">
        <w:trPr>
          <w:trHeight w:val="280"/>
        </w:trPr>
        <w:tc>
          <w:tcPr>
            <w:tcW w:w="4980" w:type="dxa"/>
            <w:tcBorders>
              <w:left w:val="single" w:sz="8" w:space="0" w:color="auto"/>
              <w:right w:val="single" w:sz="8" w:space="0" w:color="auto"/>
            </w:tcBorders>
            <w:vAlign w:val="bottom"/>
          </w:tcPr>
          <w:p w14:paraId="1CCC4C5E" w14:textId="77777777" w:rsidR="00992061" w:rsidRDefault="00D1402E">
            <w:pPr>
              <w:ind w:left="60"/>
              <w:rPr>
                <w:sz w:val="20"/>
                <w:szCs w:val="20"/>
              </w:rPr>
            </w:pPr>
            <w:r>
              <w:rPr>
                <w:rFonts w:eastAsia="Times New Roman"/>
                <w:sz w:val="20"/>
                <w:szCs w:val="20"/>
              </w:rPr>
              <w:t>Изходен статус на представяне на ECOG (СП) = 1</w:t>
            </w:r>
          </w:p>
        </w:tc>
        <w:tc>
          <w:tcPr>
            <w:tcW w:w="1700" w:type="dxa"/>
            <w:tcBorders>
              <w:right w:val="single" w:sz="8" w:space="0" w:color="auto"/>
            </w:tcBorders>
            <w:vAlign w:val="bottom"/>
          </w:tcPr>
          <w:p w14:paraId="649A70DD" w14:textId="77777777" w:rsidR="00992061" w:rsidRDefault="00D1402E">
            <w:pPr>
              <w:jc w:val="center"/>
              <w:rPr>
                <w:sz w:val="20"/>
                <w:szCs w:val="20"/>
              </w:rPr>
            </w:pPr>
            <w:r>
              <w:rPr>
                <w:rFonts w:eastAsia="Times New Roman"/>
                <w:sz w:val="20"/>
                <w:szCs w:val="20"/>
              </w:rPr>
              <w:t>51%</w:t>
            </w:r>
          </w:p>
        </w:tc>
        <w:tc>
          <w:tcPr>
            <w:tcW w:w="1460" w:type="dxa"/>
            <w:tcBorders>
              <w:right w:val="single" w:sz="8" w:space="0" w:color="auto"/>
            </w:tcBorders>
            <w:vAlign w:val="bottom"/>
          </w:tcPr>
          <w:p w14:paraId="13E8A967" w14:textId="77777777" w:rsidR="00992061" w:rsidRDefault="00D1402E">
            <w:pPr>
              <w:jc w:val="center"/>
              <w:rPr>
                <w:sz w:val="20"/>
                <w:szCs w:val="20"/>
              </w:rPr>
            </w:pPr>
            <w:r>
              <w:rPr>
                <w:rFonts w:eastAsia="Times New Roman"/>
                <w:w w:val="98"/>
                <w:sz w:val="20"/>
                <w:szCs w:val="20"/>
              </w:rPr>
              <w:t>51%</w:t>
            </w:r>
          </w:p>
        </w:tc>
      </w:tr>
      <w:tr w:rsidR="00992061" w14:paraId="5BC18C0A" w14:textId="77777777">
        <w:trPr>
          <w:trHeight w:val="22"/>
        </w:trPr>
        <w:tc>
          <w:tcPr>
            <w:tcW w:w="4980" w:type="dxa"/>
            <w:tcBorders>
              <w:left w:val="single" w:sz="8" w:space="0" w:color="auto"/>
              <w:bottom w:val="single" w:sz="8" w:space="0" w:color="auto"/>
              <w:right w:val="single" w:sz="8" w:space="0" w:color="auto"/>
            </w:tcBorders>
            <w:vAlign w:val="bottom"/>
          </w:tcPr>
          <w:p w14:paraId="1E2D3624" w14:textId="77777777" w:rsidR="00992061" w:rsidRDefault="00992061">
            <w:pPr>
              <w:spacing w:line="20" w:lineRule="exact"/>
              <w:rPr>
                <w:sz w:val="1"/>
                <w:szCs w:val="1"/>
              </w:rPr>
            </w:pPr>
          </w:p>
        </w:tc>
        <w:tc>
          <w:tcPr>
            <w:tcW w:w="1700" w:type="dxa"/>
            <w:tcBorders>
              <w:bottom w:val="single" w:sz="8" w:space="0" w:color="auto"/>
              <w:right w:val="single" w:sz="8" w:space="0" w:color="auto"/>
            </w:tcBorders>
            <w:vAlign w:val="bottom"/>
          </w:tcPr>
          <w:p w14:paraId="4782D7AC" w14:textId="77777777" w:rsidR="00992061" w:rsidRDefault="00992061">
            <w:pPr>
              <w:spacing w:line="20" w:lineRule="exact"/>
              <w:rPr>
                <w:sz w:val="1"/>
                <w:szCs w:val="1"/>
              </w:rPr>
            </w:pPr>
          </w:p>
        </w:tc>
        <w:tc>
          <w:tcPr>
            <w:tcW w:w="1460" w:type="dxa"/>
            <w:tcBorders>
              <w:bottom w:val="single" w:sz="8" w:space="0" w:color="auto"/>
              <w:right w:val="single" w:sz="8" w:space="0" w:color="auto"/>
            </w:tcBorders>
            <w:vAlign w:val="bottom"/>
          </w:tcPr>
          <w:p w14:paraId="0198BE1A" w14:textId="77777777" w:rsidR="00992061" w:rsidRDefault="00992061">
            <w:pPr>
              <w:spacing w:line="20" w:lineRule="exact"/>
              <w:rPr>
                <w:sz w:val="1"/>
                <w:szCs w:val="1"/>
              </w:rPr>
            </w:pPr>
          </w:p>
        </w:tc>
      </w:tr>
      <w:tr w:rsidR="00992061" w14:paraId="459949BB" w14:textId="77777777">
        <w:trPr>
          <w:trHeight w:val="280"/>
        </w:trPr>
        <w:tc>
          <w:tcPr>
            <w:tcW w:w="4980" w:type="dxa"/>
            <w:tcBorders>
              <w:left w:val="single" w:sz="8" w:space="0" w:color="auto"/>
              <w:right w:val="single" w:sz="8" w:space="0" w:color="auto"/>
            </w:tcBorders>
            <w:vAlign w:val="bottom"/>
          </w:tcPr>
          <w:p w14:paraId="2B263600" w14:textId="77777777" w:rsidR="00992061" w:rsidRDefault="00D1402E">
            <w:pPr>
              <w:ind w:left="60"/>
              <w:rPr>
                <w:sz w:val="20"/>
                <w:szCs w:val="20"/>
              </w:rPr>
            </w:pPr>
            <w:r>
              <w:rPr>
                <w:rFonts w:eastAsia="Times New Roman"/>
                <w:sz w:val="20"/>
                <w:szCs w:val="20"/>
              </w:rPr>
              <w:t>Изходен статус на представяне на ECOG (СП) = 2</w:t>
            </w:r>
          </w:p>
        </w:tc>
        <w:tc>
          <w:tcPr>
            <w:tcW w:w="1700" w:type="dxa"/>
            <w:tcBorders>
              <w:right w:val="single" w:sz="8" w:space="0" w:color="auto"/>
            </w:tcBorders>
            <w:vAlign w:val="bottom"/>
          </w:tcPr>
          <w:p w14:paraId="73F25F2F" w14:textId="77777777" w:rsidR="00992061" w:rsidRDefault="00D1402E">
            <w:pPr>
              <w:jc w:val="center"/>
              <w:rPr>
                <w:sz w:val="20"/>
                <w:szCs w:val="20"/>
              </w:rPr>
            </w:pPr>
            <w:r>
              <w:rPr>
                <w:rFonts w:eastAsia="Times New Roman"/>
                <w:sz w:val="20"/>
                <w:szCs w:val="20"/>
              </w:rPr>
              <w:t>17%</w:t>
            </w:r>
          </w:p>
        </w:tc>
        <w:tc>
          <w:tcPr>
            <w:tcW w:w="1460" w:type="dxa"/>
            <w:tcBorders>
              <w:right w:val="single" w:sz="8" w:space="0" w:color="auto"/>
            </w:tcBorders>
            <w:vAlign w:val="bottom"/>
          </w:tcPr>
          <w:p w14:paraId="343A8F54" w14:textId="77777777" w:rsidR="00992061" w:rsidRDefault="00D1402E">
            <w:pPr>
              <w:jc w:val="center"/>
              <w:rPr>
                <w:sz w:val="20"/>
                <w:szCs w:val="20"/>
              </w:rPr>
            </w:pPr>
            <w:r>
              <w:rPr>
                <w:rFonts w:eastAsia="Times New Roman"/>
                <w:w w:val="98"/>
                <w:sz w:val="20"/>
                <w:szCs w:val="20"/>
              </w:rPr>
              <w:t>17%</w:t>
            </w:r>
          </w:p>
        </w:tc>
      </w:tr>
      <w:tr w:rsidR="00992061" w14:paraId="6F8850CB" w14:textId="77777777">
        <w:trPr>
          <w:trHeight w:val="26"/>
        </w:trPr>
        <w:tc>
          <w:tcPr>
            <w:tcW w:w="4980" w:type="dxa"/>
            <w:tcBorders>
              <w:left w:val="single" w:sz="8" w:space="0" w:color="auto"/>
              <w:bottom w:val="single" w:sz="8" w:space="0" w:color="auto"/>
              <w:right w:val="single" w:sz="8" w:space="0" w:color="auto"/>
            </w:tcBorders>
            <w:vAlign w:val="bottom"/>
          </w:tcPr>
          <w:p w14:paraId="24AE57F6" w14:textId="77777777" w:rsidR="00992061" w:rsidRDefault="00992061">
            <w:pPr>
              <w:rPr>
                <w:sz w:val="2"/>
                <w:szCs w:val="2"/>
              </w:rPr>
            </w:pPr>
          </w:p>
        </w:tc>
        <w:tc>
          <w:tcPr>
            <w:tcW w:w="1700" w:type="dxa"/>
            <w:tcBorders>
              <w:bottom w:val="single" w:sz="8" w:space="0" w:color="auto"/>
              <w:right w:val="single" w:sz="8" w:space="0" w:color="auto"/>
            </w:tcBorders>
            <w:vAlign w:val="bottom"/>
          </w:tcPr>
          <w:p w14:paraId="4F7147B7" w14:textId="77777777" w:rsidR="00992061" w:rsidRDefault="00992061">
            <w:pPr>
              <w:rPr>
                <w:sz w:val="2"/>
                <w:szCs w:val="2"/>
              </w:rPr>
            </w:pPr>
          </w:p>
        </w:tc>
        <w:tc>
          <w:tcPr>
            <w:tcW w:w="1460" w:type="dxa"/>
            <w:tcBorders>
              <w:bottom w:val="single" w:sz="8" w:space="0" w:color="auto"/>
              <w:right w:val="single" w:sz="8" w:space="0" w:color="auto"/>
            </w:tcBorders>
            <w:vAlign w:val="bottom"/>
          </w:tcPr>
          <w:p w14:paraId="47D91F08" w14:textId="77777777" w:rsidR="00992061" w:rsidRDefault="00992061">
            <w:pPr>
              <w:rPr>
                <w:sz w:val="2"/>
                <w:szCs w:val="2"/>
              </w:rPr>
            </w:pPr>
          </w:p>
        </w:tc>
      </w:tr>
      <w:tr w:rsidR="00992061" w14:paraId="22DF09CD" w14:textId="77777777">
        <w:trPr>
          <w:trHeight w:val="269"/>
        </w:trPr>
        <w:tc>
          <w:tcPr>
            <w:tcW w:w="4980" w:type="dxa"/>
            <w:tcBorders>
              <w:left w:val="single" w:sz="8" w:space="0" w:color="auto"/>
              <w:bottom w:val="single" w:sz="8" w:space="0" w:color="auto"/>
              <w:right w:val="single" w:sz="8" w:space="0" w:color="auto"/>
            </w:tcBorders>
            <w:vAlign w:val="bottom"/>
          </w:tcPr>
          <w:p w14:paraId="5B90623F" w14:textId="77777777" w:rsidR="00992061" w:rsidRDefault="00D1402E">
            <w:pPr>
              <w:ind w:left="60"/>
              <w:rPr>
                <w:sz w:val="20"/>
                <w:szCs w:val="20"/>
              </w:rPr>
            </w:pPr>
            <w:r>
              <w:rPr>
                <w:rFonts w:eastAsia="Times New Roman"/>
                <w:sz w:val="20"/>
                <w:szCs w:val="20"/>
              </w:rPr>
              <w:t>Метастазирало заболяване в началото</w:t>
            </w:r>
          </w:p>
        </w:tc>
        <w:tc>
          <w:tcPr>
            <w:tcW w:w="1700" w:type="dxa"/>
            <w:tcBorders>
              <w:bottom w:val="single" w:sz="8" w:space="0" w:color="auto"/>
              <w:right w:val="single" w:sz="8" w:space="0" w:color="auto"/>
            </w:tcBorders>
            <w:vAlign w:val="bottom"/>
          </w:tcPr>
          <w:p w14:paraId="4D15F74F" w14:textId="77777777" w:rsidR="00992061" w:rsidRDefault="00D1402E">
            <w:pPr>
              <w:jc w:val="center"/>
              <w:rPr>
                <w:sz w:val="20"/>
                <w:szCs w:val="20"/>
              </w:rPr>
            </w:pPr>
            <w:r>
              <w:rPr>
                <w:rFonts w:eastAsia="Times New Roman"/>
                <w:sz w:val="20"/>
                <w:szCs w:val="20"/>
              </w:rPr>
              <w:t>77%</w:t>
            </w:r>
          </w:p>
        </w:tc>
        <w:tc>
          <w:tcPr>
            <w:tcW w:w="1460" w:type="dxa"/>
            <w:tcBorders>
              <w:bottom w:val="single" w:sz="8" w:space="0" w:color="auto"/>
              <w:right w:val="single" w:sz="8" w:space="0" w:color="auto"/>
            </w:tcBorders>
            <w:vAlign w:val="bottom"/>
          </w:tcPr>
          <w:p w14:paraId="5EBD652B" w14:textId="77777777" w:rsidR="00992061" w:rsidRDefault="00D1402E">
            <w:pPr>
              <w:jc w:val="center"/>
              <w:rPr>
                <w:sz w:val="20"/>
                <w:szCs w:val="20"/>
              </w:rPr>
            </w:pPr>
            <w:r>
              <w:rPr>
                <w:rFonts w:eastAsia="Times New Roman"/>
                <w:w w:val="98"/>
                <w:sz w:val="20"/>
                <w:szCs w:val="20"/>
              </w:rPr>
              <w:t>76%</w:t>
            </w:r>
          </w:p>
        </w:tc>
      </w:tr>
    </w:tbl>
    <w:p w14:paraId="6187B584" w14:textId="77777777" w:rsidR="00992061" w:rsidRDefault="00992061">
      <w:pPr>
        <w:spacing w:line="226" w:lineRule="exact"/>
        <w:rPr>
          <w:sz w:val="20"/>
          <w:szCs w:val="20"/>
        </w:rPr>
      </w:pPr>
    </w:p>
    <w:p w14:paraId="22161E00" w14:textId="477E1742" w:rsidR="00992061" w:rsidRDefault="00D1402E" w:rsidP="00007066">
      <w:pPr>
        <w:spacing w:line="253" w:lineRule="auto"/>
        <w:ind w:right="-588"/>
        <w:rPr>
          <w:rFonts w:eastAsia="Times New Roman"/>
        </w:rPr>
      </w:pPr>
      <w:r>
        <w:rPr>
          <w:rFonts w:eastAsia="Times New Roman"/>
        </w:rPr>
        <w:t xml:space="preserve">Преживяемостта е оценявана в </w:t>
      </w:r>
      <w:r>
        <w:rPr>
          <w:rFonts w:eastAsia="Times New Roman"/>
          <w:i/>
          <w:iCs/>
        </w:rPr>
        <w:t>intent-to-treat</w:t>
      </w:r>
      <w:r>
        <w:rPr>
          <w:rFonts w:eastAsia="Times New Roman"/>
        </w:rPr>
        <w:t xml:space="preserve"> популацията въз основа на данните за преживяемостта при проследяването. Резултатите са показани в таблицата по-долу (резултати от групата на пациентите с метастазирало и локално авансирало заболяване са получени при изследователския анализ на подгрупите).</w:t>
      </w:r>
    </w:p>
    <w:p w14:paraId="4B4F23E8" w14:textId="61AD8407" w:rsidR="00007066" w:rsidRDefault="00007066" w:rsidP="00007066">
      <w:pPr>
        <w:spacing w:line="253" w:lineRule="auto"/>
        <w:ind w:right="-588"/>
        <w:rPr>
          <w:rFonts w:eastAsia="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000"/>
        <w:gridCol w:w="1099"/>
        <w:gridCol w:w="881"/>
        <w:gridCol w:w="1000"/>
        <w:gridCol w:w="1120"/>
        <w:gridCol w:w="80"/>
        <w:gridCol w:w="500"/>
        <w:gridCol w:w="1120"/>
        <w:gridCol w:w="1160"/>
        <w:gridCol w:w="30"/>
      </w:tblGrid>
      <w:tr w:rsidR="00992061" w14:paraId="611B535E" w14:textId="77777777" w:rsidTr="00AF0AA0">
        <w:trPr>
          <w:trHeight w:val="291"/>
        </w:trPr>
        <w:tc>
          <w:tcPr>
            <w:tcW w:w="2000" w:type="dxa"/>
            <w:tcBorders>
              <w:top w:val="single" w:sz="8" w:space="0" w:color="auto"/>
              <w:left w:val="single" w:sz="8" w:space="0" w:color="auto"/>
              <w:right w:val="single" w:sz="8" w:space="0" w:color="auto"/>
            </w:tcBorders>
            <w:vAlign w:val="bottom"/>
          </w:tcPr>
          <w:p w14:paraId="1970DB7F" w14:textId="77777777" w:rsidR="00992061" w:rsidRDefault="00992061">
            <w:pPr>
              <w:rPr>
                <w:sz w:val="24"/>
                <w:szCs w:val="24"/>
              </w:rPr>
            </w:pPr>
            <w:bookmarkStart w:id="18" w:name="page21"/>
            <w:bookmarkEnd w:id="18"/>
          </w:p>
        </w:tc>
        <w:tc>
          <w:tcPr>
            <w:tcW w:w="1099" w:type="dxa"/>
            <w:tcBorders>
              <w:top w:val="single" w:sz="8" w:space="0" w:color="auto"/>
              <w:right w:val="single" w:sz="8" w:space="0" w:color="auto"/>
            </w:tcBorders>
            <w:vAlign w:val="bottom"/>
          </w:tcPr>
          <w:p w14:paraId="19A159C0" w14:textId="2B41A433" w:rsidR="00992061" w:rsidRPr="00AF0AA0" w:rsidRDefault="00AF0AA0" w:rsidP="00AF0AA0">
            <w:pPr>
              <w:rPr>
                <w:sz w:val="20"/>
                <w:szCs w:val="20"/>
                <w:lang w:val="bg-BG"/>
              </w:rPr>
            </w:pPr>
            <w:r>
              <w:rPr>
                <w:rFonts w:eastAsia="Times New Roman"/>
                <w:b/>
                <w:bCs/>
                <w:sz w:val="20"/>
                <w:szCs w:val="20"/>
                <w:lang w:val="bg-BG"/>
              </w:rPr>
              <w:t>Ерлотиниб</w:t>
            </w:r>
          </w:p>
        </w:tc>
        <w:tc>
          <w:tcPr>
            <w:tcW w:w="881" w:type="dxa"/>
            <w:tcBorders>
              <w:top w:val="single" w:sz="8" w:space="0" w:color="auto"/>
              <w:right w:val="single" w:sz="8" w:space="0" w:color="auto"/>
            </w:tcBorders>
            <w:vAlign w:val="bottom"/>
          </w:tcPr>
          <w:p w14:paraId="5DFCE095" w14:textId="77777777" w:rsidR="00992061" w:rsidRDefault="00D1402E">
            <w:pPr>
              <w:ind w:left="160"/>
              <w:rPr>
                <w:sz w:val="20"/>
                <w:szCs w:val="20"/>
              </w:rPr>
            </w:pPr>
            <w:r>
              <w:rPr>
                <w:rFonts w:eastAsia="Times New Roman"/>
                <w:b/>
                <w:bCs/>
                <w:sz w:val="20"/>
                <w:szCs w:val="20"/>
              </w:rPr>
              <w:t>Placebo</w:t>
            </w:r>
          </w:p>
        </w:tc>
        <w:tc>
          <w:tcPr>
            <w:tcW w:w="1000" w:type="dxa"/>
            <w:tcBorders>
              <w:top w:val="single" w:sz="8" w:space="0" w:color="auto"/>
              <w:right w:val="single" w:sz="8" w:space="0" w:color="auto"/>
            </w:tcBorders>
            <w:vAlign w:val="bottom"/>
          </w:tcPr>
          <w:p w14:paraId="4940990F" w14:textId="77777777" w:rsidR="00992061" w:rsidRDefault="00D1402E">
            <w:pPr>
              <w:jc w:val="center"/>
              <w:rPr>
                <w:sz w:val="20"/>
                <w:szCs w:val="20"/>
              </w:rPr>
            </w:pPr>
            <w:r>
              <w:rPr>
                <w:rFonts w:ascii="Arial" w:eastAsia="Arial" w:hAnsi="Arial" w:cs="Arial"/>
                <w:b/>
                <w:bCs/>
                <w:w w:val="97"/>
                <w:sz w:val="20"/>
                <w:szCs w:val="20"/>
              </w:rPr>
              <w:t>∆</w:t>
            </w:r>
          </w:p>
        </w:tc>
        <w:tc>
          <w:tcPr>
            <w:tcW w:w="1120" w:type="dxa"/>
            <w:tcBorders>
              <w:top w:val="single" w:sz="8" w:space="0" w:color="auto"/>
              <w:right w:val="single" w:sz="8" w:space="0" w:color="auto"/>
            </w:tcBorders>
            <w:vAlign w:val="bottom"/>
          </w:tcPr>
          <w:p w14:paraId="4E3CA1A0" w14:textId="77777777" w:rsidR="00992061" w:rsidRDefault="00992061">
            <w:pPr>
              <w:rPr>
                <w:sz w:val="24"/>
                <w:szCs w:val="24"/>
              </w:rPr>
            </w:pPr>
          </w:p>
        </w:tc>
        <w:tc>
          <w:tcPr>
            <w:tcW w:w="80" w:type="dxa"/>
            <w:tcBorders>
              <w:top w:val="single" w:sz="8" w:space="0" w:color="auto"/>
            </w:tcBorders>
            <w:vAlign w:val="bottom"/>
          </w:tcPr>
          <w:p w14:paraId="0711546A" w14:textId="77777777" w:rsidR="00992061" w:rsidRDefault="00992061">
            <w:pPr>
              <w:rPr>
                <w:sz w:val="24"/>
                <w:szCs w:val="24"/>
              </w:rPr>
            </w:pPr>
          </w:p>
        </w:tc>
        <w:tc>
          <w:tcPr>
            <w:tcW w:w="500" w:type="dxa"/>
            <w:tcBorders>
              <w:top w:val="single" w:sz="8" w:space="0" w:color="auto"/>
              <w:right w:val="single" w:sz="8" w:space="0" w:color="auto"/>
            </w:tcBorders>
            <w:vAlign w:val="bottom"/>
          </w:tcPr>
          <w:p w14:paraId="3EE01F74" w14:textId="77777777" w:rsidR="00992061" w:rsidRDefault="00992061">
            <w:pPr>
              <w:rPr>
                <w:sz w:val="24"/>
                <w:szCs w:val="24"/>
              </w:rPr>
            </w:pPr>
          </w:p>
        </w:tc>
        <w:tc>
          <w:tcPr>
            <w:tcW w:w="1120" w:type="dxa"/>
            <w:tcBorders>
              <w:top w:val="single" w:sz="8" w:space="0" w:color="auto"/>
              <w:right w:val="single" w:sz="8" w:space="0" w:color="auto"/>
            </w:tcBorders>
            <w:vAlign w:val="bottom"/>
          </w:tcPr>
          <w:p w14:paraId="372380C7" w14:textId="77777777" w:rsidR="00992061" w:rsidRDefault="00992061">
            <w:pPr>
              <w:rPr>
                <w:sz w:val="24"/>
                <w:szCs w:val="24"/>
              </w:rPr>
            </w:pPr>
          </w:p>
        </w:tc>
        <w:tc>
          <w:tcPr>
            <w:tcW w:w="1160" w:type="dxa"/>
            <w:tcBorders>
              <w:top w:val="single" w:sz="8" w:space="0" w:color="auto"/>
              <w:right w:val="single" w:sz="8" w:space="0" w:color="auto"/>
            </w:tcBorders>
            <w:vAlign w:val="bottom"/>
          </w:tcPr>
          <w:p w14:paraId="681031C0" w14:textId="77777777" w:rsidR="00992061" w:rsidRDefault="00992061">
            <w:pPr>
              <w:rPr>
                <w:sz w:val="24"/>
                <w:szCs w:val="24"/>
              </w:rPr>
            </w:pPr>
          </w:p>
        </w:tc>
        <w:tc>
          <w:tcPr>
            <w:tcW w:w="30" w:type="dxa"/>
            <w:vAlign w:val="bottom"/>
          </w:tcPr>
          <w:p w14:paraId="50517C53" w14:textId="77777777" w:rsidR="00992061" w:rsidRDefault="00992061">
            <w:pPr>
              <w:rPr>
                <w:sz w:val="1"/>
                <w:szCs w:val="1"/>
              </w:rPr>
            </w:pPr>
          </w:p>
        </w:tc>
      </w:tr>
      <w:tr w:rsidR="00992061" w14:paraId="4DA788BB" w14:textId="77777777" w:rsidTr="00AF0AA0">
        <w:trPr>
          <w:trHeight w:val="282"/>
        </w:trPr>
        <w:tc>
          <w:tcPr>
            <w:tcW w:w="2000" w:type="dxa"/>
            <w:tcBorders>
              <w:left w:val="single" w:sz="8" w:space="0" w:color="auto"/>
              <w:bottom w:val="single" w:sz="8" w:space="0" w:color="auto"/>
              <w:right w:val="single" w:sz="8" w:space="0" w:color="auto"/>
            </w:tcBorders>
            <w:vAlign w:val="bottom"/>
          </w:tcPr>
          <w:p w14:paraId="705A2778" w14:textId="77777777" w:rsidR="00992061" w:rsidRDefault="00D1402E">
            <w:pPr>
              <w:ind w:left="60"/>
              <w:rPr>
                <w:sz w:val="20"/>
                <w:szCs w:val="20"/>
              </w:rPr>
            </w:pPr>
            <w:r>
              <w:rPr>
                <w:rFonts w:eastAsia="Times New Roman"/>
                <w:b/>
                <w:bCs/>
                <w:sz w:val="20"/>
                <w:szCs w:val="20"/>
              </w:rPr>
              <w:t>Изход</w:t>
            </w:r>
          </w:p>
        </w:tc>
        <w:tc>
          <w:tcPr>
            <w:tcW w:w="1099" w:type="dxa"/>
            <w:tcBorders>
              <w:bottom w:val="single" w:sz="8" w:space="0" w:color="auto"/>
              <w:right w:val="single" w:sz="8" w:space="0" w:color="auto"/>
            </w:tcBorders>
            <w:vAlign w:val="bottom"/>
          </w:tcPr>
          <w:p w14:paraId="4DA91D21" w14:textId="77777777" w:rsidR="00992061" w:rsidRDefault="00D1402E">
            <w:pPr>
              <w:jc w:val="center"/>
              <w:rPr>
                <w:sz w:val="20"/>
                <w:szCs w:val="20"/>
              </w:rPr>
            </w:pPr>
            <w:r>
              <w:rPr>
                <w:rFonts w:eastAsia="Times New Roman"/>
                <w:b/>
                <w:bCs/>
                <w:sz w:val="20"/>
                <w:szCs w:val="20"/>
              </w:rPr>
              <w:t>(месеци)</w:t>
            </w:r>
          </w:p>
        </w:tc>
        <w:tc>
          <w:tcPr>
            <w:tcW w:w="881" w:type="dxa"/>
            <w:tcBorders>
              <w:bottom w:val="single" w:sz="8" w:space="0" w:color="auto"/>
              <w:right w:val="single" w:sz="8" w:space="0" w:color="auto"/>
            </w:tcBorders>
            <w:vAlign w:val="bottom"/>
          </w:tcPr>
          <w:p w14:paraId="6BCF629D" w14:textId="77777777" w:rsidR="00992061" w:rsidRDefault="00D1402E">
            <w:pPr>
              <w:jc w:val="center"/>
              <w:rPr>
                <w:sz w:val="20"/>
                <w:szCs w:val="20"/>
              </w:rPr>
            </w:pPr>
            <w:r>
              <w:rPr>
                <w:rFonts w:eastAsia="Times New Roman"/>
                <w:b/>
                <w:bCs/>
                <w:sz w:val="20"/>
                <w:szCs w:val="20"/>
              </w:rPr>
              <w:t>(месеци)</w:t>
            </w:r>
          </w:p>
        </w:tc>
        <w:tc>
          <w:tcPr>
            <w:tcW w:w="1000" w:type="dxa"/>
            <w:tcBorders>
              <w:bottom w:val="single" w:sz="8" w:space="0" w:color="auto"/>
              <w:right w:val="single" w:sz="8" w:space="0" w:color="auto"/>
            </w:tcBorders>
            <w:vAlign w:val="bottom"/>
          </w:tcPr>
          <w:p w14:paraId="0E0702E5" w14:textId="77777777" w:rsidR="00992061" w:rsidRDefault="00D1402E">
            <w:pPr>
              <w:jc w:val="center"/>
              <w:rPr>
                <w:sz w:val="20"/>
                <w:szCs w:val="20"/>
              </w:rPr>
            </w:pPr>
            <w:r>
              <w:rPr>
                <w:rFonts w:eastAsia="Times New Roman"/>
                <w:b/>
                <w:bCs/>
                <w:sz w:val="20"/>
                <w:szCs w:val="20"/>
              </w:rPr>
              <w:t>(месеци)</w:t>
            </w:r>
          </w:p>
        </w:tc>
        <w:tc>
          <w:tcPr>
            <w:tcW w:w="1120" w:type="dxa"/>
            <w:tcBorders>
              <w:bottom w:val="single" w:sz="8" w:space="0" w:color="auto"/>
              <w:right w:val="single" w:sz="8" w:space="0" w:color="auto"/>
            </w:tcBorders>
            <w:vAlign w:val="bottom"/>
          </w:tcPr>
          <w:p w14:paraId="3E06C75C" w14:textId="77777777" w:rsidR="00992061" w:rsidRDefault="00D1402E">
            <w:pPr>
              <w:jc w:val="center"/>
              <w:rPr>
                <w:sz w:val="20"/>
                <w:szCs w:val="20"/>
              </w:rPr>
            </w:pPr>
            <w:r>
              <w:rPr>
                <w:rFonts w:eastAsia="Times New Roman"/>
                <w:b/>
                <w:bCs/>
                <w:sz w:val="20"/>
                <w:szCs w:val="20"/>
              </w:rPr>
              <w:t>СІна</w:t>
            </w:r>
            <w:r>
              <w:rPr>
                <w:rFonts w:ascii="Arial" w:eastAsia="Arial" w:hAnsi="Arial" w:cs="Arial"/>
                <w:b/>
                <w:bCs/>
                <w:sz w:val="20"/>
                <w:szCs w:val="20"/>
              </w:rPr>
              <w:t>∆</w:t>
            </w:r>
          </w:p>
        </w:tc>
        <w:tc>
          <w:tcPr>
            <w:tcW w:w="80" w:type="dxa"/>
            <w:tcBorders>
              <w:bottom w:val="single" w:sz="8" w:space="0" w:color="auto"/>
            </w:tcBorders>
            <w:vAlign w:val="bottom"/>
          </w:tcPr>
          <w:p w14:paraId="251AE8CB" w14:textId="77777777" w:rsidR="00992061" w:rsidRDefault="00992061">
            <w:pPr>
              <w:rPr>
                <w:sz w:val="24"/>
                <w:szCs w:val="24"/>
              </w:rPr>
            </w:pPr>
          </w:p>
        </w:tc>
        <w:tc>
          <w:tcPr>
            <w:tcW w:w="500" w:type="dxa"/>
            <w:tcBorders>
              <w:bottom w:val="single" w:sz="8" w:space="0" w:color="auto"/>
              <w:right w:val="single" w:sz="8" w:space="0" w:color="auto"/>
            </w:tcBorders>
            <w:vAlign w:val="bottom"/>
          </w:tcPr>
          <w:p w14:paraId="14617B75" w14:textId="77777777" w:rsidR="00992061" w:rsidRDefault="00D1402E">
            <w:pPr>
              <w:ind w:left="40"/>
              <w:rPr>
                <w:sz w:val="20"/>
                <w:szCs w:val="20"/>
              </w:rPr>
            </w:pPr>
            <w:r>
              <w:rPr>
                <w:rFonts w:eastAsia="Times New Roman"/>
                <w:b/>
                <w:bCs/>
                <w:sz w:val="20"/>
                <w:szCs w:val="20"/>
              </w:rPr>
              <w:t>HR</w:t>
            </w:r>
          </w:p>
        </w:tc>
        <w:tc>
          <w:tcPr>
            <w:tcW w:w="1120" w:type="dxa"/>
            <w:tcBorders>
              <w:bottom w:val="single" w:sz="8" w:space="0" w:color="auto"/>
              <w:right w:val="single" w:sz="8" w:space="0" w:color="auto"/>
            </w:tcBorders>
            <w:vAlign w:val="bottom"/>
          </w:tcPr>
          <w:p w14:paraId="7AC9E475" w14:textId="77777777" w:rsidR="00992061" w:rsidRDefault="00D1402E">
            <w:pPr>
              <w:jc w:val="center"/>
              <w:rPr>
                <w:sz w:val="20"/>
                <w:szCs w:val="20"/>
              </w:rPr>
            </w:pPr>
            <w:r>
              <w:rPr>
                <w:rFonts w:eastAsia="Times New Roman"/>
                <w:b/>
                <w:bCs/>
                <w:sz w:val="20"/>
                <w:szCs w:val="20"/>
              </w:rPr>
              <w:t>CI на HR</w:t>
            </w:r>
          </w:p>
        </w:tc>
        <w:tc>
          <w:tcPr>
            <w:tcW w:w="1160" w:type="dxa"/>
            <w:tcBorders>
              <w:bottom w:val="single" w:sz="8" w:space="0" w:color="auto"/>
              <w:right w:val="single" w:sz="8" w:space="0" w:color="auto"/>
            </w:tcBorders>
            <w:vAlign w:val="bottom"/>
          </w:tcPr>
          <w:p w14:paraId="2E4E5C1C" w14:textId="77777777" w:rsidR="00992061" w:rsidRDefault="00D1402E">
            <w:pPr>
              <w:jc w:val="center"/>
              <w:rPr>
                <w:sz w:val="20"/>
                <w:szCs w:val="20"/>
              </w:rPr>
            </w:pPr>
            <w:r>
              <w:rPr>
                <w:rFonts w:eastAsia="Times New Roman"/>
                <w:b/>
                <w:bCs/>
                <w:i/>
                <w:iCs/>
                <w:w w:val="98"/>
                <w:sz w:val="20"/>
                <w:szCs w:val="20"/>
              </w:rPr>
              <w:t>p</w:t>
            </w:r>
            <w:r>
              <w:rPr>
                <w:rFonts w:eastAsia="Times New Roman"/>
                <w:b/>
                <w:bCs/>
                <w:w w:val="98"/>
                <w:sz w:val="20"/>
                <w:szCs w:val="20"/>
              </w:rPr>
              <w:t>-стойност</w:t>
            </w:r>
          </w:p>
        </w:tc>
        <w:tc>
          <w:tcPr>
            <w:tcW w:w="30" w:type="dxa"/>
            <w:vAlign w:val="bottom"/>
          </w:tcPr>
          <w:p w14:paraId="0F305E8A" w14:textId="77777777" w:rsidR="00992061" w:rsidRDefault="00992061">
            <w:pPr>
              <w:rPr>
                <w:sz w:val="1"/>
                <w:szCs w:val="1"/>
              </w:rPr>
            </w:pPr>
          </w:p>
        </w:tc>
      </w:tr>
      <w:tr w:rsidR="00992061" w14:paraId="15802481" w14:textId="77777777" w:rsidTr="00AF0AA0">
        <w:trPr>
          <w:trHeight w:val="264"/>
        </w:trPr>
        <w:tc>
          <w:tcPr>
            <w:tcW w:w="2000" w:type="dxa"/>
            <w:tcBorders>
              <w:left w:val="single" w:sz="8" w:space="0" w:color="auto"/>
            </w:tcBorders>
            <w:vAlign w:val="bottom"/>
          </w:tcPr>
          <w:p w14:paraId="2F355B68" w14:textId="77777777" w:rsidR="00992061" w:rsidRDefault="00992061"/>
        </w:tc>
        <w:tc>
          <w:tcPr>
            <w:tcW w:w="1099" w:type="dxa"/>
            <w:vAlign w:val="bottom"/>
          </w:tcPr>
          <w:p w14:paraId="2D0066B8" w14:textId="77777777" w:rsidR="00992061" w:rsidRDefault="00992061"/>
        </w:tc>
        <w:tc>
          <w:tcPr>
            <w:tcW w:w="3081" w:type="dxa"/>
            <w:gridSpan w:val="4"/>
            <w:vAlign w:val="bottom"/>
          </w:tcPr>
          <w:p w14:paraId="037174B1" w14:textId="77777777" w:rsidR="00992061" w:rsidRDefault="00D1402E">
            <w:pPr>
              <w:ind w:right="240"/>
              <w:jc w:val="center"/>
              <w:rPr>
                <w:sz w:val="20"/>
                <w:szCs w:val="20"/>
              </w:rPr>
            </w:pPr>
            <w:r>
              <w:rPr>
                <w:rFonts w:eastAsia="Times New Roman"/>
                <w:w w:val="99"/>
                <w:sz w:val="20"/>
                <w:szCs w:val="20"/>
              </w:rPr>
              <w:t>Обща популация</w:t>
            </w:r>
          </w:p>
        </w:tc>
        <w:tc>
          <w:tcPr>
            <w:tcW w:w="500" w:type="dxa"/>
            <w:vAlign w:val="bottom"/>
          </w:tcPr>
          <w:p w14:paraId="32966798" w14:textId="77777777" w:rsidR="00992061" w:rsidRDefault="00992061"/>
        </w:tc>
        <w:tc>
          <w:tcPr>
            <w:tcW w:w="1120" w:type="dxa"/>
            <w:vAlign w:val="bottom"/>
          </w:tcPr>
          <w:p w14:paraId="4F10FC06" w14:textId="77777777" w:rsidR="00992061" w:rsidRDefault="00992061"/>
        </w:tc>
        <w:tc>
          <w:tcPr>
            <w:tcW w:w="1160" w:type="dxa"/>
            <w:tcBorders>
              <w:right w:val="single" w:sz="8" w:space="0" w:color="auto"/>
            </w:tcBorders>
            <w:vAlign w:val="bottom"/>
          </w:tcPr>
          <w:p w14:paraId="59A148CC" w14:textId="77777777" w:rsidR="00992061" w:rsidRDefault="00992061"/>
        </w:tc>
        <w:tc>
          <w:tcPr>
            <w:tcW w:w="30" w:type="dxa"/>
            <w:vAlign w:val="bottom"/>
          </w:tcPr>
          <w:p w14:paraId="1B72930D" w14:textId="77777777" w:rsidR="00992061" w:rsidRDefault="00992061">
            <w:pPr>
              <w:rPr>
                <w:sz w:val="1"/>
                <w:szCs w:val="1"/>
              </w:rPr>
            </w:pPr>
          </w:p>
        </w:tc>
      </w:tr>
      <w:tr w:rsidR="00992061" w14:paraId="6BC5DE64" w14:textId="77777777" w:rsidTr="00AF0AA0">
        <w:trPr>
          <w:trHeight w:val="22"/>
        </w:trPr>
        <w:tc>
          <w:tcPr>
            <w:tcW w:w="2000" w:type="dxa"/>
            <w:tcBorders>
              <w:left w:val="single" w:sz="8" w:space="0" w:color="auto"/>
              <w:bottom w:val="single" w:sz="8" w:space="0" w:color="auto"/>
            </w:tcBorders>
            <w:vAlign w:val="bottom"/>
          </w:tcPr>
          <w:p w14:paraId="700526FA" w14:textId="77777777" w:rsidR="00992061" w:rsidRDefault="00992061">
            <w:pPr>
              <w:spacing w:line="20" w:lineRule="exact"/>
              <w:rPr>
                <w:sz w:val="1"/>
                <w:szCs w:val="1"/>
              </w:rPr>
            </w:pPr>
          </w:p>
        </w:tc>
        <w:tc>
          <w:tcPr>
            <w:tcW w:w="1099" w:type="dxa"/>
            <w:tcBorders>
              <w:bottom w:val="single" w:sz="8" w:space="0" w:color="auto"/>
            </w:tcBorders>
            <w:vAlign w:val="bottom"/>
          </w:tcPr>
          <w:p w14:paraId="10B534EB" w14:textId="77777777" w:rsidR="00992061" w:rsidRDefault="00992061">
            <w:pPr>
              <w:spacing w:line="20" w:lineRule="exact"/>
              <w:rPr>
                <w:sz w:val="1"/>
                <w:szCs w:val="1"/>
              </w:rPr>
            </w:pPr>
          </w:p>
        </w:tc>
        <w:tc>
          <w:tcPr>
            <w:tcW w:w="881" w:type="dxa"/>
            <w:tcBorders>
              <w:bottom w:val="single" w:sz="8" w:space="0" w:color="auto"/>
            </w:tcBorders>
            <w:vAlign w:val="bottom"/>
          </w:tcPr>
          <w:p w14:paraId="12BBC4A9" w14:textId="77777777" w:rsidR="00992061" w:rsidRDefault="00992061">
            <w:pPr>
              <w:spacing w:line="20" w:lineRule="exact"/>
              <w:rPr>
                <w:sz w:val="1"/>
                <w:szCs w:val="1"/>
              </w:rPr>
            </w:pPr>
          </w:p>
        </w:tc>
        <w:tc>
          <w:tcPr>
            <w:tcW w:w="1000" w:type="dxa"/>
            <w:tcBorders>
              <w:bottom w:val="single" w:sz="8" w:space="0" w:color="auto"/>
            </w:tcBorders>
            <w:vAlign w:val="bottom"/>
          </w:tcPr>
          <w:p w14:paraId="48743E18" w14:textId="77777777" w:rsidR="00992061" w:rsidRDefault="00992061">
            <w:pPr>
              <w:spacing w:line="20" w:lineRule="exact"/>
              <w:rPr>
                <w:sz w:val="1"/>
                <w:szCs w:val="1"/>
              </w:rPr>
            </w:pPr>
          </w:p>
        </w:tc>
        <w:tc>
          <w:tcPr>
            <w:tcW w:w="1120" w:type="dxa"/>
            <w:tcBorders>
              <w:bottom w:val="single" w:sz="8" w:space="0" w:color="auto"/>
            </w:tcBorders>
            <w:vAlign w:val="bottom"/>
          </w:tcPr>
          <w:p w14:paraId="2E7EE920" w14:textId="77777777" w:rsidR="00992061" w:rsidRDefault="00992061">
            <w:pPr>
              <w:spacing w:line="20" w:lineRule="exact"/>
              <w:rPr>
                <w:sz w:val="1"/>
                <w:szCs w:val="1"/>
              </w:rPr>
            </w:pPr>
          </w:p>
        </w:tc>
        <w:tc>
          <w:tcPr>
            <w:tcW w:w="80" w:type="dxa"/>
            <w:tcBorders>
              <w:bottom w:val="single" w:sz="8" w:space="0" w:color="auto"/>
            </w:tcBorders>
            <w:vAlign w:val="bottom"/>
          </w:tcPr>
          <w:p w14:paraId="55C23243" w14:textId="77777777" w:rsidR="00992061" w:rsidRDefault="00992061">
            <w:pPr>
              <w:spacing w:line="20" w:lineRule="exact"/>
              <w:rPr>
                <w:sz w:val="1"/>
                <w:szCs w:val="1"/>
              </w:rPr>
            </w:pPr>
          </w:p>
        </w:tc>
        <w:tc>
          <w:tcPr>
            <w:tcW w:w="500" w:type="dxa"/>
            <w:tcBorders>
              <w:bottom w:val="single" w:sz="8" w:space="0" w:color="auto"/>
            </w:tcBorders>
            <w:vAlign w:val="bottom"/>
          </w:tcPr>
          <w:p w14:paraId="160F12AD" w14:textId="77777777" w:rsidR="00992061" w:rsidRDefault="00992061">
            <w:pPr>
              <w:spacing w:line="20" w:lineRule="exact"/>
              <w:rPr>
                <w:sz w:val="1"/>
                <w:szCs w:val="1"/>
              </w:rPr>
            </w:pPr>
          </w:p>
        </w:tc>
        <w:tc>
          <w:tcPr>
            <w:tcW w:w="1120" w:type="dxa"/>
            <w:tcBorders>
              <w:bottom w:val="single" w:sz="8" w:space="0" w:color="auto"/>
            </w:tcBorders>
            <w:vAlign w:val="bottom"/>
          </w:tcPr>
          <w:p w14:paraId="5B4C449F" w14:textId="77777777" w:rsidR="00992061" w:rsidRDefault="00992061">
            <w:pPr>
              <w:spacing w:line="20" w:lineRule="exact"/>
              <w:rPr>
                <w:sz w:val="1"/>
                <w:szCs w:val="1"/>
              </w:rPr>
            </w:pPr>
          </w:p>
        </w:tc>
        <w:tc>
          <w:tcPr>
            <w:tcW w:w="1160" w:type="dxa"/>
            <w:tcBorders>
              <w:bottom w:val="single" w:sz="8" w:space="0" w:color="auto"/>
              <w:right w:val="single" w:sz="8" w:space="0" w:color="auto"/>
            </w:tcBorders>
            <w:vAlign w:val="bottom"/>
          </w:tcPr>
          <w:p w14:paraId="17F1766F" w14:textId="77777777" w:rsidR="00992061" w:rsidRDefault="00992061">
            <w:pPr>
              <w:spacing w:line="20" w:lineRule="exact"/>
              <w:rPr>
                <w:sz w:val="1"/>
                <w:szCs w:val="1"/>
              </w:rPr>
            </w:pPr>
          </w:p>
        </w:tc>
        <w:tc>
          <w:tcPr>
            <w:tcW w:w="30" w:type="dxa"/>
            <w:vAlign w:val="bottom"/>
          </w:tcPr>
          <w:p w14:paraId="25593EAB" w14:textId="77777777" w:rsidR="00992061" w:rsidRDefault="00992061">
            <w:pPr>
              <w:rPr>
                <w:sz w:val="1"/>
                <w:szCs w:val="1"/>
              </w:rPr>
            </w:pPr>
          </w:p>
        </w:tc>
      </w:tr>
      <w:tr w:rsidR="00992061" w14:paraId="3C43184F" w14:textId="77777777" w:rsidTr="00AF0AA0">
        <w:trPr>
          <w:trHeight w:val="222"/>
        </w:trPr>
        <w:tc>
          <w:tcPr>
            <w:tcW w:w="2000" w:type="dxa"/>
            <w:tcBorders>
              <w:left w:val="single" w:sz="8" w:space="0" w:color="auto"/>
              <w:right w:val="single" w:sz="8" w:space="0" w:color="auto"/>
            </w:tcBorders>
            <w:vAlign w:val="bottom"/>
          </w:tcPr>
          <w:p w14:paraId="20F18BFB" w14:textId="77777777" w:rsidR="00992061" w:rsidRDefault="00D1402E">
            <w:pPr>
              <w:spacing w:line="222" w:lineRule="exact"/>
              <w:ind w:left="60"/>
              <w:rPr>
                <w:sz w:val="20"/>
                <w:szCs w:val="20"/>
              </w:rPr>
            </w:pPr>
            <w:r>
              <w:rPr>
                <w:rFonts w:eastAsia="Times New Roman"/>
                <w:sz w:val="20"/>
                <w:szCs w:val="20"/>
              </w:rPr>
              <w:t>Медиана на обща</w:t>
            </w:r>
          </w:p>
        </w:tc>
        <w:tc>
          <w:tcPr>
            <w:tcW w:w="1099" w:type="dxa"/>
            <w:vMerge w:val="restart"/>
            <w:tcBorders>
              <w:right w:val="single" w:sz="8" w:space="0" w:color="auto"/>
            </w:tcBorders>
            <w:vAlign w:val="bottom"/>
          </w:tcPr>
          <w:p w14:paraId="6D93D427" w14:textId="77777777" w:rsidR="00992061" w:rsidRDefault="00D1402E">
            <w:pPr>
              <w:jc w:val="center"/>
              <w:rPr>
                <w:sz w:val="20"/>
                <w:szCs w:val="20"/>
              </w:rPr>
            </w:pPr>
            <w:r>
              <w:rPr>
                <w:rFonts w:eastAsia="Times New Roman"/>
                <w:sz w:val="20"/>
                <w:szCs w:val="20"/>
              </w:rPr>
              <w:t>6,4</w:t>
            </w:r>
          </w:p>
        </w:tc>
        <w:tc>
          <w:tcPr>
            <w:tcW w:w="881" w:type="dxa"/>
            <w:vMerge w:val="restart"/>
            <w:tcBorders>
              <w:right w:val="single" w:sz="8" w:space="0" w:color="auto"/>
            </w:tcBorders>
            <w:vAlign w:val="bottom"/>
          </w:tcPr>
          <w:p w14:paraId="5B3ED04E" w14:textId="77777777" w:rsidR="00992061" w:rsidRDefault="00D1402E">
            <w:pPr>
              <w:jc w:val="center"/>
              <w:rPr>
                <w:sz w:val="20"/>
                <w:szCs w:val="20"/>
              </w:rPr>
            </w:pPr>
            <w:r>
              <w:rPr>
                <w:rFonts w:eastAsia="Times New Roman"/>
                <w:sz w:val="20"/>
                <w:szCs w:val="20"/>
              </w:rPr>
              <w:t>6,0</w:t>
            </w:r>
          </w:p>
        </w:tc>
        <w:tc>
          <w:tcPr>
            <w:tcW w:w="1000" w:type="dxa"/>
            <w:vMerge w:val="restart"/>
            <w:tcBorders>
              <w:right w:val="single" w:sz="8" w:space="0" w:color="auto"/>
            </w:tcBorders>
            <w:vAlign w:val="bottom"/>
          </w:tcPr>
          <w:p w14:paraId="13CA2F28" w14:textId="77777777" w:rsidR="00992061" w:rsidRDefault="00D1402E">
            <w:pPr>
              <w:jc w:val="center"/>
              <w:rPr>
                <w:sz w:val="20"/>
                <w:szCs w:val="20"/>
              </w:rPr>
            </w:pPr>
            <w:r>
              <w:rPr>
                <w:rFonts w:eastAsia="Times New Roman"/>
                <w:sz w:val="20"/>
                <w:szCs w:val="20"/>
              </w:rPr>
              <w:t>0,41</w:t>
            </w:r>
          </w:p>
        </w:tc>
        <w:tc>
          <w:tcPr>
            <w:tcW w:w="1120" w:type="dxa"/>
            <w:vMerge w:val="restart"/>
            <w:tcBorders>
              <w:right w:val="single" w:sz="8" w:space="0" w:color="auto"/>
            </w:tcBorders>
            <w:vAlign w:val="bottom"/>
          </w:tcPr>
          <w:p w14:paraId="4E7FDDCF" w14:textId="77777777" w:rsidR="00992061" w:rsidRDefault="00D1402E">
            <w:pPr>
              <w:jc w:val="center"/>
              <w:rPr>
                <w:sz w:val="20"/>
                <w:szCs w:val="20"/>
              </w:rPr>
            </w:pPr>
            <w:r>
              <w:rPr>
                <w:rFonts w:eastAsia="Times New Roman"/>
                <w:sz w:val="20"/>
                <w:szCs w:val="20"/>
              </w:rPr>
              <w:t>-0,54-1,64</w:t>
            </w:r>
          </w:p>
        </w:tc>
        <w:tc>
          <w:tcPr>
            <w:tcW w:w="80" w:type="dxa"/>
            <w:vAlign w:val="bottom"/>
          </w:tcPr>
          <w:p w14:paraId="1A6D2498" w14:textId="77777777" w:rsidR="00992061" w:rsidRDefault="00992061">
            <w:pPr>
              <w:rPr>
                <w:sz w:val="19"/>
                <w:szCs w:val="19"/>
              </w:rPr>
            </w:pPr>
          </w:p>
        </w:tc>
        <w:tc>
          <w:tcPr>
            <w:tcW w:w="500" w:type="dxa"/>
            <w:tcBorders>
              <w:right w:val="single" w:sz="8" w:space="0" w:color="auto"/>
            </w:tcBorders>
            <w:vAlign w:val="bottom"/>
          </w:tcPr>
          <w:p w14:paraId="68219F40" w14:textId="77777777" w:rsidR="00992061" w:rsidRDefault="00992061">
            <w:pPr>
              <w:rPr>
                <w:sz w:val="19"/>
                <w:szCs w:val="19"/>
              </w:rPr>
            </w:pPr>
          </w:p>
        </w:tc>
        <w:tc>
          <w:tcPr>
            <w:tcW w:w="1120" w:type="dxa"/>
            <w:tcBorders>
              <w:right w:val="single" w:sz="8" w:space="0" w:color="auto"/>
            </w:tcBorders>
            <w:vAlign w:val="bottom"/>
          </w:tcPr>
          <w:p w14:paraId="6CE757C1" w14:textId="77777777" w:rsidR="00992061" w:rsidRDefault="00992061">
            <w:pPr>
              <w:rPr>
                <w:sz w:val="19"/>
                <w:szCs w:val="19"/>
              </w:rPr>
            </w:pPr>
          </w:p>
        </w:tc>
        <w:tc>
          <w:tcPr>
            <w:tcW w:w="1160" w:type="dxa"/>
            <w:tcBorders>
              <w:right w:val="single" w:sz="8" w:space="0" w:color="auto"/>
            </w:tcBorders>
            <w:vAlign w:val="bottom"/>
          </w:tcPr>
          <w:p w14:paraId="021E6A79" w14:textId="77777777" w:rsidR="00992061" w:rsidRDefault="00992061">
            <w:pPr>
              <w:rPr>
                <w:sz w:val="19"/>
                <w:szCs w:val="19"/>
              </w:rPr>
            </w:pPr>
          </w:p>
        </w:tc>
        <w:tc>
          <w:tcPr>
            <w:tcW w:w="30" w:type="dxa"/>
            <w:vAlign w:val="bottom"/>
          </w:tcPr>
          <w:p w14:paraId="63E75209" w14:textId="77777777" w:rsidR="00992061" w:rsidRDefault="00992061">
            <w:pPr>
              <w:rPr>
                <w:sz w:val="1"/>
                <w:szCs w:val="1"/>
              </w:rPr>
            </w:pPr>
          </w:p>
        </w:tc>
      </w:tr>
      <w:tr w:rsidR="00992061" w14:paraId="351CC729" w14:textId="77777777" w:rsidTr="00AF0AA0">
        <w:trPr>
          <w:trHeight w:val="154"/>
        </w:trPr>
        <w:tc>
          <w:tcPr>
            <w:tcW w:w="2000" w:type="dxa"/>
            <w:vMerge w:val="restart"/>
            <w:tcBorders>
              <w:left w:val="single" w:sz="8" w:space="0" w:color="auto"/>
              <w:right w:val="single" w:sz="8" w:space="0" w:color="auto"/>
            </w:tcBorders>
            <w:vAlign w:val="bottom"/>
          </w:tcPr>
          <w:p w14:paraId="750874E6" w14:textId="77777777" w:rsidR="00992061" w:rsidRDefault="00D1402E">
            <w:pPr>
              <w:ind w:left="60"/>
              <w:rPr>
                <w:sz w:val="20"/>
                <w:szCs w:val="20"/>
              </w:rPr>
            </w:pPr>
            <w:r>
              <w:rPr>
                <w:rFonts w:eastAsia="Times New Roman"/>
                <w:sz w:val="20"/>
                <w:szCs w:val="20"/>
              </w:rPr>
              <w:t>преживяемост</w:t>
            </w:r>
          </w:p>
        </w:tc>
        <w:tc>
          <w:tcPr>
            <w:tcW w:w="1099" w:type="dxa"/>
            <w:vMerge/>
            <w:tcBorders>
              <w:right w:val="single" w:sz="8" w:space="0" w:color="auto"/>
            </w:tcBorders>
            <w:vAlign w:val="bottom"/>
          </w:tcPr>
          <w:p w14:paraId="60799277" w14:textId="77777777" w:rsidR="00992061" w:rsidRDefault="00992061">
            <w:pPr>
              <w:rPr>
                <w:sz w:val="13"/>
                <w:szCs w:val="13"/>
              </w:rPr>
            </w:pPr>
          </w:p>
        </w:tc>
        <w:tc>
          <w:tcPr>
            <w:tcW w:w="881" w:type="dxa"/>
            <w:vMerge/>
            <w:tcBorders>
              <w:right w:val="single" w:sz="8" w:space="0" w:color="auto"/>
            </w:tcBorders>
            <w:vAlign w:val="bottom"/>
          </w:tcPr>
          <w:p w14:paraId="32F4C343" w14:textId="77777777" w:rsidR="00992061" w:rsidRDefault="00992061">
            <w:pPr>
              <w:rPr>
                <w:sz w:val="13"/>
                <w:szCs w:val="13"/>
              </w:rPr>
            </w:pPr>
          </w:p>
        </w:tc>
        <w:tc>
          <w:tcPr>
            <w:tcW w:w="1000" w:type="dxa"/>
            <w:vMerge/>
            <w:tcBorders>
              <w:right w:val="single" w:sz="8" w:space="0" w:color="auto"/>
            </w:tcBorders>
            <w:vAlign w:val="bottom"/>
          </w:tcPr>
          <w:p w14:paraId="72F3A79F" w14:textId="77777777" w:rsidR="00992061" w:rsidRDefault="00992061">
            <w:pPr>
              <w:rPr>
                <w:sz w:val="13"/>
                <w:szCs w:val="13"/>
              </w:rPr>
            </w:pPr>
          </w:p>
        </w:tc>
        <w:tc>
          <w:tcPr>
            <w:tcW w:w="1120" w:type="dxa"/>
            <w:vMerge/>
            <w:tcBorders>
              <w:right w:val="single" w:sz="8" w:space="0" w:color="auto"/>
            </w:tcBorders>
            <w:vAlign w:val="bottom"/>
          </w:tcPr>
          <w:p w14:paraId="08726724" w14:textId="77777777" w:rsidR="00992061" w:rsidRDefault="00992061">
            <w:pPr>
              <w:rPr>
                <w:sz w:val="13"/>
                <w:szCs w:val="13"/>
              </w:rPr>
            </w:pPr>
          </w:p>
        </w:tc>
        <w:tc>
          <w:tcPr>
            <w:tcW w:w="80" w:type="dxa"/>
            <w:vAlign w:val="bottom"/>
          </w:tcPr>
          <w:p w14:paraId="27EB849B" w14:textId="77777777" w:rsidR="00992061" w:rsidRDefault="00992061">
            <w:pPr>
              <w:rPr>
                <w:sz w:val="13"/>
                <w:szCs w:val="13"/>
              </w:rPr>
            </w:pPr>
          </w:p>
        </w:tc>
        <w:tc>
          <w:tcPr>
            <w:tcW w:w="500" w:type="dxa"/>
            <w:vMerge w:val="restart"/>
            <w:tcBorders>
              <w:right w:val="single" w:sz="8" w:space="0" w:color="auto"/>
            </w:tcBorders>
            <w:vAlign w:val="bottom"/>
          </w:tcPr>
          <w:p w14:paraId="114AEE73" w14:textId="77777777" w:rsidR="00992061" w:rsidRDefault="00D1402E">
            <w:pPr>
              <w:ind w:left="20"/>
              <w:rPr>
                <w:sz w:val="20"/>
                <w:szCs w:val="20"/>
              </w:rPr>
            </w:pPr>
            <w:r>
              <w:rPr>
                <w:rFonts w:eastAsia="Times New Roman"/>
                <w:sz w:val="20"/>
                <w:szCs w:val="20"/>
              </w:rPr>
              <w:t>0,82</w:t>
            </w:r>
          </w:p>
        </w:tc>
        <w:tc>
          <w:tcPr>
            <w:tcW w:w="1120" w:type="dxa"/>
            <w:vMerge w:val="restart"/>
            <w:tcBorders>
              <w:right w:val="single" w:sz="8" w:space="0" w:color="auto"/>
            </w:tcBorders>
            <w:vAlign w:val="bottom"/>
          </w:tcPr>
          <w:p w14:paraId="02AA77D7" w14:textId="77777777" w:rsidR="00992061" w:rsidRDefault="00D1402E">
            <w:pPr>
              <w:jc w:val="center"/>
              <w:rPr>
                <w:sz w:val="20"/>
                <w:szCs w:val="20"/>
              </w:rPr>
            </w:pPr>
            <w:r>
              <w:rPr>
                <w:rFonts w:eastAsia="Times New Roman"/>
                <w:sz w:val="20"/>
                <w:szCs w:val="20"/>
              </w:rPr>
              <w:t>0,69-0,98</w:t>
            </w:r>
          </w:p>
        </w:tc>
        <w:tc>
          <w:tcPr>
            <w:tcW w:w="1160" w:type="dxa"/>
            <w:vMerge w:val="restart"/>
            <w:tcBorders>
              <w:right w:val="single" w:sz="8" w:space="0" w:color="auto"/>
            </w:tcBorders>
            <w:vAlign w:val="bottom"/>
          </w:tcPr>
          <w:p w14:paraId="60C42036" w14:textId="77777777" w:rsidR="00992061" w:rsidRDefault="00D1402E">
            <w:pPr>
              <w:jc w:val="center"/>
              <w:rPr>
                <w:sz w:val="20"/>
                <w:szCs w:val="20"/>
              </w:rPr>
            </w:pPr>
            <w:r>
              <w:rPr>
                <w:rFonts w:eastAsia="Times New Roman"/>
                <w:w w:val="97"/>
                <w:sz w:val="20"/>
                <w:szCs w:val="20"/>
              </w:rPr>
              <w:t>0,028</w:t>
            </w:r>
          </w:p>
        </w:tc>
        <w:tc>
          <w:tcPr>
            <w:tcW w:w="30" w:type="dxa"/>
            <w:vAlign w:val="bottom"/>
          </w:tcPr>
          <w:p w14:paraId="5F149ECB" w14:textId="77777777" w:rsidR="00992061" w:rsidRDefault="00992061">
            <w:pPr>
              <w:rPr>
                <w:sz w:val="1"/>
                <w:szCs w:val="1"/>
              </w:rPr>
            </w:pPr>
          </w:p>
        </w:tc>
      </w:tr>
      <w:tr w:rsidR="00992061" w14:paraId="0E8406F1" w14:textId="77777777" w:rsidTr="00AF0AA0">
        <w:trPr>
          <w:trHeight w:val="122"/>
        </w:trPr>
        <w:tc>
          <w:tcPr>
            <w:tcW w:w="2000" w:type="dxa"/>
            <w:vMerge/>
            <w:tcBorders>
              <w:left w:val="single" w:sz="8" w:space="0" w:color="auto"/>
              <w:bottom w:val="single" w:sz="8" w:space="0" w:color="auto"/>
              <w:right w:val="single" w:sz="8" w:space="0" w:color="auto"/>
            </w:tcBorders>
            <w:vAlign w:val="bottom"/>
          </w:tcPr>
          <w:p w14:paraId="2C113B93" w14:textId="77777777" w:rsidR="00992061" w:rsidRDefault="00992061">
            <w:pPr>
              <w:rPr>
                <w:sz w:val="10"/>
                <w:szCs w:val="10"/>
              </w:rPr>
            </w:pPr>
          </w:p>
        </w:tc>
        <w:tc>
          <w:tcPr>
            <w:tcW w:w="1099" w:type="dxa"/>
            <w:tcBorders>
              <w:bottom w:val="single" w:sz="8" w:space="0" w:color="auto"/>
              <w:right w:val="single" w:sz="8" w:space="0" w:color="auto"/>
            </w:tcBorders>
            <w:vAlign w:val="bottom"/>
          </w:tcPr>
          <w:p w14:paraId="2C273B6A" w14:textId="77777777" w:rsidR="00992061" w:rsidRDefault="00992061">
            <w:pPr>
              <w:rPr>
                <w:sz w:val="10"/>
                <w:szCs w:val="10"/>
              </w:rPr>
            </w:pPr>
          </w:p>
        </w:tc>
        <w:tc>
          <w:tcPr>
            <w:tcW w:w="881" w:type="dxa"/>
            <w:tcBorders>
              <w:bottom w:val="single" w:sz="8" w:space="0" w:color="auto"/>
              <w:right w:val="single" w:sz="8" w:space="0" w:color="auto"/>
            </w:tcBorders>
            <w:vAlign w:val="bottom"/>
          </w:tcPr>
          <w:p w14:paraId="781F1025" w14:textId="77777777" w:rsidR="00992061" w:rsidRDefault="00992061">
            <w:pPr>
              <w:rPr>
                <w:sz w:val="10"/>
                <w:szCs w:val="10"/>
              </w:rPr>
            </w:pPr>
          </w:p>
        </w:tc>
        <w:tc>
          <w:tcPr>
            <w:tcW w:w="1000" w:type="dxa"/>
            <w:tcBorders>
              <w:bottom w:val="single" w:sz="8" w:space="0" w:color="auto"/>
              <w:right w:val="single" w:sz="8" w:space="0" w:color="auto"/>
            </w:tcBorders>
            <w:vAlign w:val="bottom"/>
          </w:tcPr>
          <w:p w14:paraId="5ABB55F3" w14:textId="77777777" w:rsidR="00992061" w:rsidRDefault="00992061">
            <w:pPr>
              <w:rPr>
                <w:sz w:val="10"/>
                <w:szCs w:val="10"/>
              </w:rPr>
            </w:pPr>
          </w:p>
        </w:tc>
        <w:tc>
          <w:tcPr>
            <w:tcW w:w="1120" w:type="dxa"/>
            <w:tcBorders>
              <w:bottom w:val="single" w:sz="8" w:space="0" w:color="auto"/>
              <w:right w:val="single" w:sz="8" w:space="0" w:color="auto"/>
            </w:tcBorders>
            <w:vAlign w:val="bottom"/>
          </w:tcPr>
          <w:p w14:paraId="5FDD2484" w14:textId="77777777" w:rsidR="00992061" w:rsidRDefault="00992061">
            <w:pPr>
              <w:rPr>
                <w:sz w:val="10"/>
                <w:szCs w:val="10"/>
              </w:rPr>
            </w:pPr>
          </w:p>
        </w:tc>
        <w:tc>
          <w:tcPr>
            <w:tcW w:w="80" w:type="dxa"/>
            <w:vAlign w:val="bottom"/>
          </w:tcPr>
          <w:p w14:paraId="41CEC29B" w14:textId="77777777" w:rsidR="00992061" w:rsidRDefault="00992061">
            <w:pPr>
              <w:rPr>
                <w:sz w:val="10"/>
                <w:szCs w:val="10"/>
              </w:rPr>
            </w:pPr>
          </w:p>
        </w:tc>
        <w:tc>
          <w:tcPr>
            <w:tcW w:w="500" w:type="dxa"/>
            <w:vMerge/>
            <w:tcBorders>
              <w:right w:val="single" w:sz="8" w:space="0" w:color="auto"/>
            </w:tcBorders>
            <w:vAlign w:val="bottom"/>
          </w:tcPr>
          <w:p w14:paraId="340C884E" w14:textId="77777777" w:rsidR="00992061" w:rsidRDefault="00992061">
            <w:pPr>
              <w:rPr>
                <w:sz w:val="10"/>
                <w:szCs w:val="10"/>
              </w:rPr>
            </w:pPr>
          </w:p>
        </w:tc>
        <w:tc>
          <w:tcPr>
            <w:tcW w:w="1120" w:type="dxa"/>
            <w:vMerge/>
            <w:tcBorders>
              <w:right w:val="single" w:sz="8" w:space="0" w:color="auto"/>
            </w:tcBorders>
            <w:vAlign w:val="bottom"/>
          </w:tcPr>
          <w:p w14:paraId="5FD5E390" w14:textId="77777777" w:rsidR="00992061" w:rsidRDefault="00992061">
            <w:pPr>
              <w:rPr>
                <w:sz w:val="10"/>
                <w:szCs w:val="10"/>
              </w:rPr>
            </w:pPr>
          </w:p>
        </w:tc>
        <w:tc>
          <w:tcPr>
            <w:tcW w:w="1160" w:type="dxa"/>
            <w:vMerge/>
            <w:tcBorders>
              <w:right w:val="single" w:sz="8" w:space="0" w:color="auto"/>
            </w:tcBorders>
            <w:vAlign w:val="bottom"/>
          </w:tcPr>
          <w:p w14:paraId="2B87F33D" w14:textId="77777777" w:rsidR="00992061" w:rsidRDefault="00992061">
            <w:pPr>
              <w:rPr>
                <w:sz w:val="10"/>
                <w:szCs w:val="10"/>
              </w:rPr>
            </w:pPr>
          </w:p>
        </w:tc>
        <w:tc>
          <w:tcPr>
            <w:tcW w:w="30" w:type="dxa"/>
            <w:vAlign w:val="bottom"/>
          </w:tcPr>
          <w:p w14:paraId="198B4287" w14:textId="77777777" w:rsidR="00992061" w:rsidRDefault="00992061">
            <w:pPr>
              <w:rPr>
                <w:sz w:val="1"/>
                <w:szCs w:val="1"/>
              </w:rPr>
            </w:pPr>
          </w:p>
        </w:tc>
      </w:tr>
      <w:tr w:rsidR="00992061" w14:paraId="2E805A2F" w14:textId="77777777" w:rsidTr="00AF0AA0">
        <w:trPr>
          <w:trHeight w:val="122"/>
        </w:trPr>
        <w:tc>
          <w:tcPr>
            <w:tcW w:w="2000" w:type="dxa"/>
            <w:vMerge w:val="restart"/>
            <w:tcBorders>
              <w:left w:val="single" w:sz="8" w:space="0" w:color="auto"/>
              <w:right w:val="single" w:sz="8" w:space="0" w:color="auto"/>
            </w:tcBorders>
            <w:vAlign w:val="bottom"/>
          </w:tcPr>
          <w:p w14:paraId="7A0B137B" w14:textId="77777777" w:rsidR="00992061" w:rsidRDefault="00D1402E">
            <w:pPr>
              <w:ind w:left="60"/>
              <w:rPr>
                <w:sz w:val="20"/>
                <w:szCs w:val="20"/>
              </w:rPr>
            </w:pPr>
            <w:r>
              <w:rPr>
                <w:rFonts w:eastAsia="Times New Roman"/>
                <w:sz w:val="20"/>
                <w:szCs w:val="20"/>
              </w:rPr>
              <w:t>Средна обща</w:t>
            </w:r>
          </w:p>
        </w:tc>
        <w:tc>
          <w:tcPr>
            <w:tcW w:w="1099" w:type="dxa"/>
            <w:vMerge w:val="restart"/>
            <w:tcBorders>
              <w:right w:val="single" w:sz="8" w:space="0" w:color="auto"/>
            </w:tcBorders>
            <w:vAlign w:val="bottom"/>
          </w:tcPr>
          <w:p w14:paraId="15F73DE9" w14:textId="77777777" w:rsidR="00992061" w:rsidRDefault="00D1402E">
            <w:pPr>
              <w:jc w:val="center"/>
              <w:rPr>
                <w:sz w:val="20"/>
                <w:szCs w:val="20"/>
              </w:rPr>
            </w:pPr>
            <w:r>
              <w:rPr>
                <w:rFonts w:eastAsia="Times New Roman"/>
                <w:sz w:val="20"/>
                <w:szCs w:val="20"/>
              </w:rPr>
              <w:t>8,8</w:t>
            </w:r>
          </w:p>
        </w:tc>
        <w:tc>
          <w:tcPr>
            <w:tcW w:w="881" w:type="dxa"/>
            <w:vMerge w:val="restart"/>
            <w:tcBorders>
              <w:right w:val="single" w:sz="8" w:space="0" w:color="auto"/>
            </w:tcBorders>
            <w:vAlign w:val="bottom"/>
          </w:tcPr>
          <w:p w14:paraId="490EE098" w14:textId="77777777" w:rsidR="00992061" w:rsidRDefault="00D1402E">
            <w:pPr>
              <w:jc w:val="center"/>
              <w:rPr>
                <w:sz w:val="20"/>
                <w:szCs w:val="20"/>
              </w:rPr>
            </w:pPr>
            <w:r>
              <w:rPr>
                <w:rFonts w:eastAsia="Times New Roman"/>
                <w:sz w:val="20"/>
                <w:szCs w:val="20"/>
              </w:rPr>
              <w:t>7,6</w:t>
            </w:r>
          </w:p>
        </w:tc>
        <w:tc>
          <w:tcPr>
            <w:tcW w:w="1000" w:type="dxa"/>
            <w:vMerge w:val="restart"/>
            <w:tcBorders>
              <w:right w:val="single" w:sz="8" w:space="0" w:color="auto"/>
            </w:tcBorders>
            <w:vAlign w:val="bottom"/>
          </w:tcPr>
          <w:p w14:paraId="5ACB15F6" w14:textId="77777777" w:rsidR="00992061" w:rsidRDefault="00D1402E">
            <w:pPr>
              <w:jc w:val="center"/>
              <w:rPr>
                <w:sz w:val="20"/>
                <w:szCs w:val="20"/>
              </w:rPr>
            </w:pPr>
            <w:r>
              <w:rPr>
                <w:rFonts w:eastAsia="Times New Roman"/>
                <w:sz w:val="20"/>
                <w:szCs w:val="20"/>
              </w:rPr>
              <w:t>1,16</w:t>
            </w:r>
          </w:p>
        </w:tc>
        <w:tc>
          <w:tcPr>
            <w:tcW w:w="1120" w:type="dxa"/>
            <w:vMerge w:val="restart"/>
            <w:tcBorders>
              <w:right w:val="single" w:sz="8" w:space="0" w:color="auto"/>
            </w:tcBorders>
            <w:vAlign w:val="bottom"/>
          </w:tcPr>
          <w:p w14:paraId="3C166A0A" w14:textId="77777777" w:rsidR="00992061" w:rsidRDefault="00D1402E">
            <w:pPr>
              <w:jc w:val="center"/>
              <w:rPr>
                <w:sz w:val="20"/>
                <w:szCs w:val="20"/>
              </w:rPr>
            </w:pPr>
            <w:r>
              <w:rPr>
                <w:rFonts w:eastAsia="Times New Roman"/>
                <w:sz w:val="20"/>
                <w:szCs w:val="20"/>
              </w:rPr>
              <w:t>-0,05-2,34</w:t>
            </w:r>
          </w:p>
        </w:tc>
        <w:tc>
          <w:tcPr>
            <w:tcW w:w="80" w:type="dxa"/>
            <w:vAlign w:val="bottom"/>
          </w:tcPr>
          <w:p w14:paraId="42EEDC25" w14:textId="77777777" w:rsidR="00992061" w:rsidRDefault="00992061">
            <w:pPr>
              <w:rPr>
                <w:sz w:val="10"/>
                <w:szCs w:val="10"/>
              </w:rPr>
            </w:pPr>
          </w:p>
        </w:tc>
        <w:tc>
          <w:tcPr>
            <w:tcW w:w="500" w:type="dxa"/>
            <w:vMerge/>
            <w:tcBorders>
              <w:right w:val="single" w:sz="8" w:space="0" w:color="auto"/>
            </w:tcBorders>
            <w:vAlign w:val="bottom"/>
          </w:tcPr>
          <w:p w14:paraId="60806177" w14:textId="77777777" w:rsidR="00992061" w:rsidRDefault="00992061">
            <w:pPr>
              <w:rPr>
                <w:sz w:val="10"/>
                <w:szCs w:val="10"/>
              </w:rPr>
            </w:pPr>
          </w:p>
        </w:tc>
        <w:tc>
          <w:tcPr>
            <w:tcW w:w="1120" w:type="dxa"/>
            <w:vMerge/>
            <w:tcBorders>
              <w:right w:val="single" w:sz="8" w:space="0" w:color="auto"/>
            </w:tcBorders>
            <w:vAlign w:val="bottom"/>
          </w:tcPr>
          <w:p w14:paraId="3827ECE5" w14:textId="77777777" w:rsidR="00992061" w:rsidRDefault="00992061">
            <w:pPr>
              <w:rPr>
                <w:sz w:val="10"/>
                <w:szCs w:val="10"/>
              </w:rPr>
            </w:pPr>
          </w:p>
        </w:tc>
        <w:tc>
          <w:tcPr>
            <w:tcW w:w="1160" w:type="dxa"/>
            <w:vMerge/>
            <w:tcBorders>
              <w:right w:val="single" w:sz="8" w:space="0" w:color="auto"/>
            </w:tcBorders>
            <w:vAlign w:val="bottom"/>
          </w:tcPr>
          <w:p w14:paraId="6EB7DEC9" w14:textId="77777777" w:rsidR="00992061" w:rsidRDefault="00992061">
            <w:pPr>
              <w:rPr>
                <w:sz w:val="10"/>
                <w:szCs w:val="10"/>
              </w:rPr>
            </w:pPr>
          </w:p>
        </w:tc>
        <w:tc>
          <w:tcPr>
            <w:tcW w:w="30" w:type="dxa"/>
            <w:vAlign w:val="bottom"/>
          </w:tcPr>
          <w:p w14:paraId="1EEABDCE" w14:textId="77777777" w:rsidR="00992061" w:rsidRDefault="00992061">
            <w:pPr>
              <w:rPr>
                <w:sz w:val="1"/>
                <w:szCs w:val="1"/>
              </w:rPr>
            </w:pPr>
          </w:p>
        </w:tc>
      </w:tr>
      <w:tr w:rsidR="00992061" w14:paraId="5F2A32BC" w14:textId="77777777" w:rsidTr="00AF0AA0">
        <w:trPr>
          <w:trHeight w:val="109"/>
        </w:trPr>
        <w:tc>
          <w:tcPr>
            <w:tcW w:w="2000" w:type="dxa"/>
            <w:vMerge/>
            <w:tcBorders>
              <w:left w:val="single" w:sz="8" w:space="0" w:color="auto"/>
              <w:right w:val="single" w:sz="8" w:space="0" w:color="auto"/>
            </w:tcBorders>
            <w:vAlign w:val="bottom"/>
          </w:tcPr>
          <w:p w14:paraId="0D108875" w14:textId="77777777" w:rsidR="00992061" w:rsidRDefault="00992061">
            <w:pPr>
              <w:rPr>
                <w:sz w:val="9"/>
                <w:szCs w:val="9"/>
              </w:rPr>
            </w:pPr>
          </w:p>
        </w:tc>
        <w:tc>
          <w:tcPr>
            <w:tcW w:w="1099" w:type="dxa"/>
            <w:vMerge/>
            <w:tcBorders>
              <w:right w:val="single" w:sz="8" w:space="0" w:color="auto"/>
            </w:tcBorders>
            <w:vAlign w:val="bottom"/>
          </w:tcPr>
          <w:p w14:paraId="4E4F99A4" w14:textId="77777777" w:rsidR="00992061" w:rsidRDefault="00992061">
            <w:pPr>
              <w:rPr>
                <w:sz w:val="9"/>
                <w:szCs w:val="9"/>
              </w:rPr>
            </w:pPr>
          </w:p>
        </w:tc>
        <w:tc>
          <w:tcPr>
            <w:tcW w:w="881" w:type="dxa"/>
            <w:vMerge/>
            <w:tcBorders>
              <w:right w:val="single" w:sz="8" w:space="0" w:color="auto"/>
            </w:tcBorders>
            <w:vAlign w:val="bottom"/>
          </w:tcPr>
          <w:p w14:paraId="5EC5F7B3" w14:textId="77777777" w:rsidR="00992061" w:rsidRDefault="00992061">
            <w:pPr>
              <w:rPr>
                <w:sz w:val="9"/>
                <w:szCs w:val="9"/>
              </w:rPr>
            </w:pPr>
          </w:p>
        </w:tc>
        <w:tc>
          <w:tcPr>
            <w:tcW w:w="1000" w:type="dxa"/>
            <w:vMerge/>
            <w:tcBorders>
              <w:right w:val="single" w:sz="8" w:space="0" w:color="auto"/>
            </w:tcBorders>
            <w:vAlign w:val="bottom"/>
          </w:tcPr>
          <w:p w14:paraId="6BBC8709" w14:textId="77777777" w:rsidR="00992061" w:rsidRDefault="00992061">
            <w:pPr>
              <w:rPr>
                <w:sz w:val="9"/>
                <w:szCs w:val="9"/>
              </w:rPr>
            </w:pPr>
          </w:p>
        </w:tc>
        <w:tc>
          <w:tcPr>
            <w:tcW w:w="1120" w:type="dxa"/>
            <w:vMerge/>
            <w:tcBorders>
              <w:right w:val="single" w:sz="8" w:space="0" w:color="auto"/>
            </w:tcBorders>
            <w:vAlign w:val="bottom"/>
          </w:tcPr>
          <w:p w14:paraId="3A954B85" w14:textId="77777777" w:rsidR="00992061" w:rsidRDefault="00992061">
            <w:pPr>
              <w:rPr>
                <w:sz w:val="9"/>
                <w:szCs w:val="9"/>
              </w:rPr>
            </w:pPr>
          </w:p>
        </w:tc>
        <w:tc>
          <w:tcPr>
            <w:tcW w:w="80" w:type="dxa"/>
            <w:vAlign w:val="bottom"/>
          </w:tcPr>
          <w:p w14:paraId="0C7F12D9" w14:textId="77777777" w:rsidR="00992061" w:rsidRDefault="00992061">
            <w:pPr>
              <w:rPr>
                <w:sz w:val="9"/>
                <w:szCs w:val="9"/>
              </w:rPr>
            </w:pPr>
          </w:p>
        </w:tc>
        <w:tc>
          <w:tcPr>
            <w:tcW w:w="500" w:type="dxa"/>
            <w:tcBorders>
              <w:right w:val="single" w:sz="8" w:space="0" w:color="auto"/>
            </w:tcBorders>
            <w:vAlign w:val="bottom"/>
          </w:tcPr>
          <w:p w14:paraId="0202C708" w14:textId="77777777" w:rsidR="00992061" w:rsidRDefault="00992061">
            <w:pPr>
              <w:rPr>
                <w:sz w:val="9"/>
                <w:szCs w:val="9"/>
              </w:rPr>
            </w:pPr>
          </w:p>
        </w:tc>
        <w:tc>
          <w:tcPr>
            <w:tcW w:w="1120" w:type="dxa"/>
            <w:tcBorders>
              <w:right w:val="single" w:sz="8" w:space="0" w:color="auto"/>
            </w:tcBorders>
            <w:vAlign w:val="bottom"/>
          </w:tcPr>
          <w:p w14:paraId="3F9A3A39" w14:textId="77777777" w:rsidR="00992061" w:rsidRDefault="00992061">
            <w:pPr>
              <w:rPr>
                <w:sz w:val="9"/>
                <w:szCs w:val="9"/>
              </w:rPr>
            </w:pPr>
          </w:p>
        </w:tc>
        <w:tc>
          <w:tcPr>
            <w:tcW w:w="1160" w:type="dxa"/>
            <w:tcBorders>
              <w:right w:val="single" w:sz="8" w:space="0" w:color="auto"/>
            </w:tcBorders>
            <w:vAlign w:val="bottom"/>
          </w:tcPr>
          <w:p w14:paraId="1AB87F05" w14:textId="77777777" w:rsidR="00992061" w:rsidRDefault="00992061">
            <w:pPr>
              <w:rPr>
                <w:sz w:val="9"/>
                <w:szCs w:val="9"/>
              </w:rPr>
            </w:pPr>
          </w:p>
        </w:tc>
        <w:tc>
          <w:tcPr>
            <w:tcW w:w="30" w:type="dxa"/>
            <w:vAlign w:val="bottom"/>
          </w:tcPr>
          <w:p w14:paraId="32ED92EC" w14:textId="77777777" w:rsidR="00992061" w:rsidRDefault="00992061">
            <w:pPr>
              <w:rPr>
                <w:sz w:val="1"/>
                <w:szCs w:val="1"/>
              </w:rPr>
            </w:pPr>
          </w:p>
        </w:tc>
      </w:tr>
      <w:tr w:rsidR="00992061" w14:paraId="653C345F" w14:textId="77777777" w:rsidTr="00AF0AA0">
        <w:trPr>
          <w:trHeight w:val="154"/>
        </w:trPr>
        <w:tc>
          <w:tcPr>
            <w:tcW w:w="2000" w:type="dxa"/>
            <w:vMerge w:val="restart"/>
            <w:tcBorders>
              <w:left w:val="single" w:sz="8" w:space="0" w:color="auto"/>
              <w:right w:val="single" w:sz="8" w:space="0" w:color="auto"/>
            </w:tcBorders>
            <w:vAlign w:val="bottom"/>
          </w:tcPr>
          <w:p w14:paraId="70E94FAE" w14:textId="77777777" w:rsidR="00992061" w:rsidRDefault="00D1402E">
            <w:pPr>
              <w:ind w:left="60"/>
              <w:rPr>
                <w:sz w:val="20"/>
                <w:szCs w:val="20"/>
              </w:rPr>
            </w:pPr>
            <w:r>
              <w:rPr>
                <w:rFonts w:eastAsia="Times New Roman"/>
                <w:sz w:val="20"/>
                <w:szCs w:val="20"/>
              </w:rPr>
              <w:t>преживяемост</w:t>
            </w:r>
          </w:p>
        </w:tc>
        <w:tc>
          <w:tcPr>
            <w:tcW w:w="1099" w:type="dxa"/>
            <w:vMerge/>
            <w:tcBorders>
              <w:right w:val="single" w:sz="8" w:space="0" w:color="auto"/>
            </w:tcBorders>
            <w:vAlign w:val="bottom"/>
          </w:tcPr>
          <w:p w14:paraId="41A2A9F1" w14:textId="77777777" w:rsidR="00992061" w:rsidRDefault="00992061">
            <w:pPr>
              <w:rPr>
                <w:sz w:val="13"/>
                <w:szCs w:val="13"/>
              </w:rPr>
            </w:pPr>
          </w:p>
        </w:tc>
        <w:tc>
          <w:tcPr>
            <w:tcW w:w="881" w:type="dxa"/>
            <w:vMerge/>
            <w:tcBorders>
              <w:right w:val="single" w:sz="8" w:space="0" w:color="auto"/>
            </w:tcBorders>
            <w:vAlign w:val="bottom"/>
          </w:tcPr>
          <w:p w14:paraId="185E5367" w14:textId="77777777" w:rsidR="00992061" w:rsidRDefault="00992061">
            <w:pPr>
              <w:rPr>
                <w:sz w:val="13"/>
                <w:szCs w:val="13"/>
              </w:rPr>
            </w:pPr>
          </w:p>
        </w:tc>
        <w:tc>
          <w:tcPr>
            <w:tcW w:w="1000" w:type="dxa"/>
            <w:vMerge/>
            <w:tcBorders>
              <w:right w:val="single" w:sz="8" w:space="0" w:color="auto"/>
            </w:tcBorders>
            <w:vAlign w:val="bottom"/>
          </w:tcPr>
          <w:p w14:paraId="75B24984" w14:textId="77777777" w:rsidR="00992061" w:rsidRDefault="00992061">
            <w:pPr>
              <w:rPr>
                <w:sz w:val="13"/>
                <w:szCs w:val="13"/>
              </w:rPr>
            </w:pPr>
          </w:p>
        </w:tc>
        <w:tc>
          <w:tcPr>
            <w:tcW w:w="1120" w:type="dxa"/>
            <w:vMerge/>
            <w:tcBorders>
              <w:right w:val="single" w:sz="8" w:space="0" w:color="auto"/>
            </w:tcBorders>
            <w:vAlign w:val="bottom"/>
          </w:tcPr>
          <w:p w14:paraId="53BB4882" w14:textId="77777777" w:rsidR="00992061" w:rsidRDefault="00992061">
            <w:pPr>
              <w:rPr>
                <w:sz w:val="13"/>
                <w:szCs w:val="13"/>
              </w:rPr>
            </w:pPr>
          </w:p>
        </w:tc>
        <w:tc>
          <w:tcPr>
            <w:tcW w:w="80" w:type="dxa"/>
            <w:vAlign w:val="bottom"/>
          </w:tcPr>
          <w:p w14:paraId="52D9914C" w14:textId="77777777" w:rsidR="00992061" w:rsidRDefault="00992061">
            <w:pPr>
              <w:rPr>
                <w:sz w:val="13"/>
                <w:szCs w:val="13"/>
              </w:rPr>
            </w:pPr>
          </w:p>
        </w:tc>
        <w:tc>
          <w:tcPr>
            <w:tcW w:w="500" w:type="dxa"/>
            <w:tcBorders>
              <w:right w:val="single" w:sz="8" w:space="0" w:color="auto"/>
            </w:tcBorders>
            <w:vAlign w:val="bottom"/>
          </w:tcPr>
          <w:p w14:paraId="7FA7E3ED" w14:textId="77777777" w:rsidR="00992061" w:rsidRDefault="00992061">
            <w:pPr>
              <w:rPr>
                <w:sz w:val="13"/>
                <w:szCs w:val="13"/>
              </w:rPr>
            </w:pPr>
          </w:p>
        </w:tc>
        <w:tc>
          <w:tcPr>
            <w:tcW w:w="1120" w:type="dxa"/>
            <w:tcBorders>
              <w:right w:val="single" w:sz="8" w:space="0" w:color="auto"/>
            </w:tcBorders>
            <w:vAlign w:val="bottom"/>
          </w:tcPr>
          <w:p w14:paraId="66DFFAB3" w14:textId="77777777" w:rsidR="00992061" w:rsidRDefault="00992061">
            <w:pPr>
              <w:rPr>
                <w:sz w:val="13"/>
                <w:szCs w:val="13"/>
              </w:rPr>
            </w:pPr>
          </w:p>
        </w:tc>
        <w:tc>
          <w:tcPr>
            <w:tcW w:w="1160" w:type="dxa"/>
            <w:tcBorders>
              <w:right w:val="single" w:sz="8" w:space="0" w:color="auto"/>
            </w:tcBorders>
            <w:vAlign w:val="bottom"/>
          </w:tcPr>
          <w:p w14:paraId="39A18BC1" w14:textId="77777777" w:rsidR="00992061" w:rsidRDefault="00992061">
            <w:pPr>
              <w:rPr>
                <w:sz w:val="13"/>
                <w:szCs w:val="13"/>
              </w:rPr>
            </w:pPr>
          </w:p>
        </w:tc>
        <w:tc>
          <w:tcPr>
            <w:tcW w:w="30" w:type="dxa"/>
            <w:vAlign w:val="bottom"/>
          </w:tcPr>
          <w:p w14:paraId="057B4615" w14:textId="77777777" w:rsidR="00992061" w:rsidRDefault="00992061">
            <w:pPr>
              <w:rPr>
                <w:sz w:val="1"/>
                <w:szCs w:val="1"/>
              </w:rPr>
            </w:pPr>
          </w:p>
        </w:tc>
      </w:tr>
      <w:tr w:rsidR="00992061" w14:paraId="586C81EF" w14:textId="77777777" w:rsidTr="00AF0AA0">
        <w:trPr>
          <w:trHeight w:val="124"/>
        </w:trPr>
        <w:tc>
          <w:tcPr>
            <w:tcW w:w="2000" w:type="dxa"/>
            <w:vMerge/>
            <w:tcBorders>
              <w:left w:val="single" w:sz="8" w:space="0" w:color="auto"/>
              <w:bottom w:val="single" w:sz="8" w:space="0" w:color="auto"/>
              <w:right w:val="single" w:sz="8" w:space="0" w:color="auto"/>
            </w:tcBorders>
            <w:vAlign w:val="bottom"/>
          </w:tcPr>
          <w:p w14:paraId="51B208D0" w14:textId="77777777" w:rsidR="00992061" w:rsidRDefault="00992061">
            <w:pPr>
              <w:rPr>
                <w:sz w:val="10"/>
                <w:szCs w:val="10"/>
              </w:rPr>
            </w:pPr>
          </w:p>
        </w:tc>
        <w:tc>
          <w:tcPr>
            <w:tcW w:w="1099" w:type="dxa"/>
            <w:tcBorders>
              <w:bottom w:val="single" w:sz="8" w:space="0" w:color="auto"/>
              <w:right w:val="single" w:sz="8" w:space="0" w:color="auto"/>
            </w:tcBorders>
            <w:vAlign w:val="bottom"/>
          </w:tcPr>
          <w:p w14:paraId="3608E768" w14:textId="77777777" w:rsidR="00992061" w:rsidRDefault="00992061">
            <w:pPr>
              <w:rPr>
                <w:sz w:val="10"/>
                <w:szCs w:val="10"/>
              </w:rPr>
            </w:pPr>
          </w:p>
        </w:tc>
        <w:tc>
          <w:tcPr>
            <w:tcW w:w="881" w:type="dxa"/>
            <w:tcBorders>
              <w:bottom w:val="single" w:sz="8" w:space="0" w:color="auto"/>
              <w:right w:val="single" w:sz="8" w:space="0" w:color="auto"/>
            </w:tcBorders>
            <w:vAlign w:val="bottom"/>
          </w:tcPr>
          <w:p w14:paraId="0EA26470" w14:textId="77777777" w:rsidR="00992061" w:rsidRDefault="00992061">
            <w:pPr>
              <w:rPr>
                <w:sz w:val="10"/>
                <w:szCs w:val="10"/>
              </w:rPr>
            </w:pPr>
          </w:p>
        </w:tc>
        <w:tc>
          <w:tcPr>
            <w:tcW w:w="1000" w:type="dxa"/>
            <w:tcBorders>
              <w:bottom w:val="single" w:sz="8" w:space="0" w:color="auto"/>
              <w:right w:val="single" w:sz="8" w:space="0" w:color="auto"/>
            </w:tcBorders>
            <w:vAlign w:val="bottom"/>
          </w:tcPr>
          <w:p w14:paraId="06F3E67F" w14:textId="77777777" w:rsidR="00992061" w:rsidRDefault="00992061">
            <w:pPr>
              <w:rPr>
                <w:sz w:val="10"/>
                <w:szCs w:val="10"/>
              </w:rPr>
            </w:pPr>
          </w:p>
        </w:tc>
        <w:tc>
          <w:tcPr>
            <w:tcW w:w="1120" w:type="dxa"/>
            <w:tcBorders>
              <w:bottom w:val="single" w:sz="8" w:space="0" w:color="auto"/>
              <w:right w:val="single" w:sz="8" w:space="0" w:color="auto"/>
            </w:tcBorders>
            <w:vAlign w:val="bottom"/>
          </w:tcPr>
          <w:p w14:paraId="55DE4664" w14:textId="77777777" w:rsidR="00992061" w:rsidRDefault="00992061">
            <w:pPr>
              <w:rPr>
                <w:sz w:val="10"/>
                <w:szCs w:val="10"/>
              </w:rPr>
            </w:pPr>
          </w:p>
        </w:tc>
        <w:tc>
          <w:tcPr>
            <w:tcW w:w="80" w:type="dxa"/>
            <w:tcBorders>
              <w:bottom w:val="single" w:sz="8" w:space="0" w:color="auto"/>
            </w:tcBorders>
            <w:vAlign w:val="bottom"/>
          </w:tcPr>
          <w:p w14:paraId="4B3F4345" w14:textId="77777777" w:rsidR="00992061" w:rsidRDefault="00992061">
            <w:pPr>
              <w:rPr>
                <w:sz w:val="10"/>
                <w:szCs w:val="10"/>
              </w:rPr>
            </w:pPr>
          </w:p>
        </w:tc>
        <w:tc>
          <w:tcPr>
            <w:tcW w:w="500" w:type="dxa"/>
            <w:tcBorders>
              <w:bottom w:val="single" w:sz="8" w:space="0" w:color="auto"/>
              <w:right w:val="single" w:sz="8" w:space="0" w:color="auto"/>
            </w:tcBorders>
            <w:vAlign w:val="bottom"/>
          </w:tcPr>
          <w:p w14:paraId="550478D8" w14:textId="77777777" w:rsidR="00992061" w:rsidRDefault="00992061">
            <w:pPr>
              <w:rPr>
                <w:sz w:val="10"/>
                <w:szCs w:val="10"/>
              </w:rPr>
            </w:pPr>
          </w:p>
        </w:tc>
        <w:tc>
          <w:tcPr>
            <w:tcW w:w="1120" w:type="dxa"/>
            <w:tcBorders>
              <w:bottom w:val="single" w:sz="8" w:space="0" w:color="auto"/>
              <w:right w:val="single" w:sz="8" w:space="0" w:color="auto"/>
            </w:tcBorders>
            <w:vAlign w:val="bottom"/>
          </w:tcPr>
          <w:p w14:paraId="279CDAF3" w14:textId="77777777" w:rsidR="00992061" w:rsidRDefault="00992061">
            <w:pPr>
              <w:rPr>
                <w:sz w:val="10"/>
                <w:szCs w:val="10"/>
              </w:rPr>
            </w:pPr>
          </w:p>
        </w:tc>
        <w:tc>
          <w:tcPr>
            <w:tcW w:w="1160" w:type="dxa"/>
            <w:tcBorders>
              <w:bottom w:val="single" w:sz="8" w:space="0" w:color="auto"/>
              <w:right w:val="single" w:sz="8" w:space="0" w:color="auto"/>
            </w:tcBorders>
            <w:vAlign w:val="bottom"/>
          </w:tcPr>
          <w:p w14:paraId="47886602" w14:textId="77777777" w:rsidR="00992061" w:rsidRDefault="00992061">
            <w:pPr>
              <w:rPr>
                <w:sz w:val="10"/>
                <w:szCs w:val="10"/>
              </w:rPr>
            </w:pPr>
          </w:p>
        </w:tc>
        <w:tc>
          <w:tcPr>
            <w:tcW w:w="30" w:type="dxa"/>
            <w:vAlign w:val="bottom"/>
          </w:tcPr>
          <w:p w14:paraId="56BE2A60" w14:textId="77777777" w:rsidR="00992061" w:rsidRDefault="00992061">
            <w:pPr>
              <w:rPr>
                <w:sz w:val="1"/>
                <w:szCs w:val="1"/>
              </w:rPr>
            </w:pPr>
          </w:p>
        </w:tc>
      </w:tr>
      <w:tr w:rsidR="00992061" w14:paraId="5F65270E" w14:textId="77777777" w:rsidTr="00007066">
        <w:trPr>
          <w:trHeight w:val="269"/>
        </w:trPr>
        <w:tc>
          <w:tcPr>
            <w:tcW w:w="2000" w:type="dxa"/>
            <w:tcBorders>
              <w:left w:val="single" w:sz="8" w:space="0" w:color="auto"/>
            </w:tcBorders>
            <w:vAlign w:val="bottom"/>
          </w:tcPr>
          <w:p w14:paraId="55C19E97" w14:textId="77777777" w:rsidR="00992061" w:rsidRDefault="00992061">
            <w:pPr>
              <w:rPr>
                <w:sz w:val="23"/>
                <w:szCs w:val="23"/>
              </w:rPr>
            </w:pPr>
          </w:p>
        </w:tc>
        <w:tc>
          <w:tcPr>
            <w:tcW w:w="4180" w:type="dxa"/>
            <w:gridSpan w:val="5"/>
            <w:vAlign w:val="bottom"/>
          </w:tcPr>
          <w:p w14:paraId="7FEDEEDA" w14:textId="77777777" w:rsidR="00992061" w:rsidRDefault="00D1402E">
            <w:pPr>
              <w:ind w:left="639"/>
              <w:jc w:val="center"/>
              <w:rPr>
                <w:sz w:val="20"/>
                <w:szCs w:val="20"/>
              </w:rPr>
            </w:pPr>
            <w:r>
              <w:rPr>
                <w:rFonts w:eastAsia="Times New Roman"/>
                <w:sz w:val="20"/>
                <w:szCs w:val="20"/>
              </w:rPr>
              <w:t>Популация с метастазирало заболяване</w:t>
            </w:r>
          </w:p>
        </w:tc>
        <w:tc>
          <w:tcPr>
            <w:tcW w:w="500" w:type="dxa"/>
            <w:vAlign w:val="bottom"/>
          </w:tcPr>
          <w:p w14:paraId="65F125E4" w14:textId="77777777" w:rsidR="00992061" w:rsidRDefault="00992061">
            <w:pPr>
              <w:rPr>
                <w:sz w:val="23"/>
                <w:szCs w:val="23"/>
              </w:rPr>
            </w:pPr>
          </w:p>
        </w:tc>
        <w:tc>
          <w:tcPr>
            <w:tcW w:w="1120" w:type="dxa"/>
            <w:vAlign w:val="bottom"/>
          </w:tcPr>
          <w:p w14:paraId="6F47900A" w14:textId="77777777" w:rsidR="00992061" w:rsidRDefault="00992061">
            <w:pPr>
              <w:rPr>
                <w:sz w:val="23"/>
                <w:szCs w:val="23"/>
              </w:rPr>
            </w:pPr>
          </w:p>
        </w:tc>
        <w:tc>
          <w:tcPr>
            <w:tcW w:w="1160" w:type="dxa"/>
            <w:tcBorders>
              <w:right w:val="single" w:sz="8" w:space="0" w:color="auto"/>
            </w:tcBorders>
            <w:vAlign w:val="bottom"/>
          </w:tcPr>
          <w:p w14:paraId="276DC546" w14:textId="77777777" w:rsidR="00992061" w:rsidRDefault="00992061">
            <w:pPr>
              <w:rPr>
                <w:sz w:val="23"/>
                <w:szCs w:val="23"/>
              </w:rPr>
            </w:pPr>
          </w:p>
        </w:tc>
        <w:tc>
          <w:tcPr>
            <w:tcW w:w="30" w:type="dxa"/>
            <w:vAlign w:val="bottom"/>
          </w:tcPr>
          <w:p w14:paraId="3935C8CD" w14:textId="77777777" w:rsidR="00992061" w:rsidRDefault="00992061">
            <w:pPr>
              <w:rPr>
                <w:sz w:val="1"/>
                <w:szCs w:val="1"/>
              </w:rPr>
            </w:pPr>
          </w:p>
        </w:tc>
      </w:tr>
      <w:tr w:rsidR="00992061" w14:paraId="29FC4E60" w14:textId="77777777" w:rsidTr="00AF0AA0">
        <w:trPr>
          <w:trHeight w:val="22"/>
        </w:trPr>
        <w:tc>
          <w:tcPr>
            <w:tcW w:w="2000" w:type="dxa"/>
            <w:tcBorders>
              <w:left w:val="single" w:sz="8" w:space="0" w:color="auto"/>
              <w:bottom w:val="single" w:sz="8" w:space="0" w:color="auto"/>
            </w:tcBorders>
            <w:vAlign w:val="bottom"/>
          </w:tcPr>
          <w:p w14:paraId="469821F9" w14:textId="77777777" w:rsidR="00992061" w:rsidRDefault="00992061">
            <w:pPr>
              <w:spacing w:line="20" w:lineRule="exact"/>
              <w:rPr>
                <w:sz w:val="1"/>
                <w:szCs w:val="1"/>
              </w:rPr>
            </w:pPr>
          </w:p>
        </w:tc>
        <w:tc>
          <w:tcPr>
            <w:tcW w:w="1099" w:type="dxa"/>
            <w:tcBorders>
              <w:bottom w:val="single" w:sz="8" w:space="0" w:color="auto"/>
            </w:tcBorders>
            <w:vAlign w:val="bottom"/>
          </w:tcPr>
          <w:p w14:paraId="555C17C9" w14:textId="77777777" w:rsidR="00992061" w:rsidRDefault="00992061">
            <w:pPr>
              <w:spacing w:line="20" w:lineRule="exact"/>
              <w:rPr>
                <w:sz w:val="1"/>
                <w:szCs w:val="1"/>
              </w:rPr>
            </w:pPr>
          </w:p>
        </w:tc>
        <w:tc>
          <w:tcPr>
            <w:tcW w:w="881" w:type="dxa"/>
            <w:tcBorders>
              <w:bottom w:val="single" w:sz="8" w:space="0" w:color="auto"/>
            </w:tcBorders>
            <w:vAlign w:val="bottom"/>
          </w:tcPr>
          <w:p w14:paraId="49095B0D" w14:textId="77777777" w:rsidR="00992061" w:rsidRDefault="00992061">
            <w:pPr>
              <w:spacing w:line="20" w:lineRule="exact"/>
              <w:rPr>
                <w:sz w:val="1"/>
                <w:szCs w:val="1"/>
              </w:rPr>
            </w:pPr>
          </w:p>
        </w:tc>
        <w:tc>
          <w:tcPr>
            <w:tcW w:w="1000" w:type="dxa"/>
            <w:tcBorders>
              <w:bottom w:val="single" w:sz="8" w:space="0" w:color="auto"/>
            </w:tcBorders>
            <w:vAlign w:val="bottom"/>
          </w:tcPr>
          <w:p w14:paraId="06F6E42F" w14:textId="77777777" w:rsidR="00992061" w:rsidRDefault="00992061">
            <w:pPr>
              <w:spacing w:line="20" w:lineRule="exact"/>
              <w:rPr>
                <w:sz w:val="1"/>
                <w:szCs w:val="1"/>
              </w:rPr>
            </w:pPr>
          </w:p>
        </w:tc>
        <w:tc>
          <w:tcPr>
            <w:tcW w:w="1120" w:type="dxa"/>
            <w:tcBorders>
              <w:bottom w:val="single" w:sz="8" w:space="0" w:color="auto"/>
            </w:tcBorders>
            <w:vAlign w:val="bottom"/>
          </w:tcPr>
          <w:p w14:paraId="489C861D" w14:textId="77777777" w:rsidR="00992061" w:rsidRDefault="00992061">
            <w:pPr>
              <w:spacing w:line="20" w:lineRule="exact"/>
              <w:rPr>
                <w:sz w:val="1"/>
                <w:szCs w:val="1"/>
              </w:rPr>
            </w:pPr>
          </w:p>
        </w:tc>
        <w:tc>
          <w:tcPr>
            <w:tcW w:w="80" w:type="dxa"/>
            <w:tcBorders>
              <w:bottom w:val="single" w:sz="8" w:space="0" w:color="auto"/>
            </w:tcBorders>
            <w:vAlign w:val="bottom"/>
          </w:tcPr>
          <w:p w14:paraId="37D1D25D" w14:textId="77777777" w:rsidR="00992061" w:rsidRDefault="00992061">
            <w:pPr>
              <w:spacing w:line="20" w:lineRule="exact"/>
              <w:rPr>
                <w:sz w:val="1"/>
                <w:szCs w:val="1"/>
              </w:rPr>
            </w:pPr>
          </w:p>
        </w:tc>
        <w:tc>
          <w:tcPr>
            <w:tcW w:w="500" w:type="dxa"/>
            <w:tcBorders>
              <w:bottom w:val="single" w:sz="8" w:space="0" w:color="auto"/>
            </w:tcBorders>
            <w:vAlign w:val="bottom"/>
          </w:tcPr>
          <w:p w14:paraId="07800CBC" w14:textId="77777777" w:rsidR="00992061" w:rsidRDefault="00992061">
            <w:pPr>
              <w:spacing w:line="20" w:lineRule="exact"/>
              <w:rPr>
                <w:sz w:val="1"/>
                <w:szCs w:val="1"/>
              </w:rPr>
            </w:pPr>
          </w:p>
        </w:tc>
        <w:tc>
          <w:tcPr>
            <w:tcW w:w="1120" w:type="dxa"/>
            <w:tcBorders>
              <w:bottom w:val="single" w:sz="8" w:space="0" w:color="auto"/>
            </w:tcBorders>
            <w:vAlign w:val="bottom"/>
          </w:tcPr>
          <w:p w14:paraId="56753EB2" w14:textId="77777777" w:rsidR="00992061" w:rsidRDefault="00992061">
            <w:pPr>
              <w:spacing w:line="20" w:lineRule="exact"/>
              <w:rPr>
                <w:sz w:val="1"/>
                <w:szCs w:val="1"/>
              </w:rPr>
            </w:pPr>
          </w:p>
        </w:tc>
        <w:tc>
          <w:tcPr>
            <w:tcW w:w="1160" w:type="dxa"/>
            <w:tcBorders>
              <w:bottom w:val="single" w:sz="8" w:space="0" w:color="auto"/>
              <w:right w:val="single" w:sz="8" w:space="0" w:color="auto"/>
            </w:tcBorders>
            <w:vAlign w:val="bottom"/>
          </w:tcPr>
          <w:p w14:paraId="6AF3078E" w14:textId="77777777" w:rsidR="00992061" w:rsidRDefault="00992061">
            <w:pPr>
              <w:spacing w:line="20" w:lineRule="exact"/>
              <w:rPr>
                <w:sz w:val="1"/>
                <w:szCs w:val="1"/>
              </w:rPr>
            </w:pPr>
          </w:p>
        </w:tc>
        <w:tc>
          <w:tcPr>
            <w:tcW w:w="30" w:type="dxa"/>
            <w:vAlign w:val="bottom"/>
          </w:tcPr>
          <w:p w14:paraId="0875CB13" w14:textId="77777777" w:rsidR="00992061" w:rsidRDefault="00992061">
            <w:pPr>
              <w:rPr>
                <w:sz w:val="1"/>
                <w:szCs w:val="1"/>
              </w:rPr>
            </w:pPr>
          </w:p>
        </w:tc>
      </w:tr>
      <w:tr w:rsidR="00992061" w14:paraId="1645A07F" w14:textId="77777777" w:rsidTr="00AF0AA0">
        <w:trPr>
          <w:trHeight w:val="222"/>
        </w:trPr>
        <w:tc>
          <w:tcPr>
            <w:tcW w:w="2000" w:type="dxa"/>
            <w:tcBorders>
              <w:left w:val="single" w:sz="8" w:space="0" w:color="auto"/>
              <w:right w:val="single" w:sz="8" w:space="0" w:color="auto"/>
            </w:tcBorders>
            <w:vAlign w:val="bottom"/>
          </w:tcPr>
          <w:p w14:paraId="4F5794BD" w14:textId="77777777" w:rsidR="00992061" w:rsidRDefault="00D1402E">
            <w:pPr>
              <w:spacing w:line="222" w:lineRule="exact"/>
              <w:ind w:left="60"/>
              <w:rPr>
                <w:sz w:val="20"/>
                <w:szCs w:val="20"/>
              </w:rPr>
            </w:pPr>
            <w:r>
              <w:rPr>
                <w:rFonts w:eastAsia="Times New Roman"/>
                <w:sz w:val="20"/>
                <w:szCs w:val="20"/>
              </w:rPr>
              <w:t>Медиана на обща</w:t>
            </w:r>
          </w:p>
        </w:tc>
        <w:tc>
          <w:tcPr>
            <w:tcW w:w="1099" w:type="dxa"/>
            <w:vMerge w:val="restart"/>
            <w:tcBorders>
              <w:right w:val="single" w:sz="8" w:space="0" w:color="auto"/>
            </w:tcBorders>
            <w:vAlign w:val="bottom"/>
          </w:tcPr>
          <w:p w14:paraId="6DF1E4A8" w14:textId="77777777" w:rsidR="00992061" w:rsidRDefault="00D1402E">
            <w:pPr>
              <w:jc w:val="center"/>
              <w:rPr>
                <w:sz w:val="20"/>
                <w:szCs w:val="20"/>
              </w:rPr>
            </w:pPr>
            <w:r>
              <w:rPr>
                <w:rFonts w:eastAsia="Times New Roman"/>
                <w:sz w:val="20"/>
                <w:szCs w:val="20"/>
              </w:rPr>
              <w:t>5,9</w:t>
            </w:r>
          </w:p>
        </w:tc>
        <w:tc>
          <w:tcPr>
            <w:tcW w:w="881" w:type="dxa"/>
            <w:vMerge w:val="restart"/>
            <w:tcBorders>
              <w:right w:val="single" w:sz="8" w:space="0" w:color="auto"/>
            </w:tcBorders>
            <w:vAlign w:val="bottom"/>
          </w:tcPr>
          <w:p w14:paraId="73DE049A" w14:textId="77777777" w:rsidR="00992061" w:rsidRDefault="00D1402E">
            <w:pPr>
              <w:jc w:val="center"/>
              <w:rPr>
                <w:sz w:val="20"/>
                <w:szCs w:val="20"/>
              </w:rPr>
            </w:pPr>
            <w:r>
              <w:rPr>
                <w:rFonts w:eastAsia="Times New Roman"/>
                <w:sz w:val="20"/>
                <w:szCs w:val="20"/>
              </w:rPr>
              <w:t>5,1</w:t>
            </w:r>
          </w:p>
        </w:tc>
        <w:tc>
          <w:tcPr>
            <w:tcW w:w="1000" w:type="dxa"/>
            <w:vMerge w:val="restart"/>
            <w:tcBorders>
              <w:right w:val="single" w:sz="8" w:space="0" w:color="auto"/>
            </w:tcBorders>
            <w:vAlign w:val="bottom"/>
          </w:tcPr>
          <w:p w14:paraId="276386A7" w14:textId="77777777" w:rsidR="00992061" w:rsidRDefault="00D1402E">
            <w:pPr>
              <w:jc w:val="center"/>
              <w:rPr>
                <w:sz w:val="20"/>
                <w:szCs w:val="20"/>
              </w:rPr>
            </w:pPr>
            <w:r>
              <w:rPr>
                <w:rFonts w:eastAsia="Times New Roman"/>
                <w:sz w:val="20"/>
                <w:szCs w:val="20"/>
              </w:rPr>
              <w:t>0,87</w:t>
            </w:r>
          </w:p>
        </w:tc>
        <w:tc>
          <w:tcPr>
            <w:tcW w:w="1120" w:type="dxa"/>
            <w:vMerge w:val="restart"/>
            <w:tcBorders>
              <w:right w:val="single" w:sz="8" w:space="0" w:color="auto"/>
            </w:tcBorders>
            <w:vAlign w:val="bottom"/>
          </w:tcPr>
          <w:p w14:paraId="30316E24" w14:textId="77777777" w:rsidR="00992061" w:rsidRDefault="00D1402E">
            <w:pPr>
              <w:jc w:val="center"/>
              <w:rPr>
                <w:sz w:val="20"/>
                <w:szCs w:val="20"/>
              </w:rPr>
            </w:pPr>
            <w:r>
              <w:rPr>
                <w:rFonts w:eastAsia="Times New Roman"/>
                <w:sz w:val="20"/>
                <w:szCs w:val="20"/>
              </w:rPr>
              <w:t>-0,26-1,56</w:t>
            </w:r>
          </w:p>
        </w:tc>
        <w:tc>
          <w:tcPr>
            <w:tcW w:w="80" w:type="dxa"/>
            <w:vAlign w:val="bottom"/>
          </w:tcPr>
          <w:p w14:paraId="735B1AC4" w14:textId="77777777" w:rsidR="00992061" w:rsidRDefault="00992061">
            <w:pPr>
              <w:rPr>
                <w:sz w:val="19"/>
                <w:szCs w:val="19"/>
              </w:rPr>
            </w:pPr>
          </w:p>
        </w:tc>
        <w:tc>
          <w:tcPr>
            <w:tcW w:w="500" w:type="dxa"/>
            <w:tcBorders>
              <w:right w:val="single" w:sz="8" w:space="0" w:color="auto"/>
            </w:tcBorders>
            <w:vAlign w:val="bottom"/>
          </w:tcPr>
          <w:p w14:paraId="091EBA2E" w14:textId="77777777" w:rsidR="00992061" w:rsidRDefault="00992061">
            <w:pPr>
              <w:rPr>
                <w:sz w:val="19"/>
                <w:szCs w:val="19"/>
              </w:rPr>
            </w:pPr>
          </w:p>
        </w:tc>
        <w:tc>
          <w:tcPr>
            <w:tcW w:w="1120" w:type="dxa"/>
            <w:tcBorders>
              <w:right w:val="single" w:sz="8" w:space="0" w:color="auto"/>
            </w:tcBorders>
            <w:vAlign w:val="bottom"/>
          </w:tcPr>
          <w:p w14:paraId="7AD93C9E" w14:textId="77777777" w:rsidR="00992061" w:rsidRDefault="00992061">
            <w:pPr>
              <w:rPr>
                <w:sz w:val="19"/>
                <w:szCs w:val="19"/>
              </w:rPr>
            </w:pPr>
          </w:p>
        </w:tc>
        <w:tc>
          <w:tcPr>
            <w:tcW w:w="1160" w:type="dxa"/>
            <w:tcBorders>
              <w:right w:val="single" w:sz="8" w:space="0" w:color="auto"/>
            </w:tcBorders>
            <w:vAlign w:val="bottom"/>
          </w:tcPr>
          <w:p w14:paraId="7AF7654B" w14:textId="77777777" w:rsidR="00992061" w:rsidRDefault="00992061">
            <w:pPr>
              <w:rPr>
                <w:sz w:val="19"/>
                <w:szCs w:val="19"/>
              </w:rPr>
            </w:pPr>
          </w:p>
        </w:tc>
        <w:tc>
          <w:tcPr>
            <w:tcW w:w="30" w:type="dxa"/>
            <w:vAlign w:val="bottom"/>
          </w:tcPr>
          <w:p w14:paraId="7FF5DDA9" w14:textId="77777777" w:rsidR="00992061" w:rsidRDefault="00992061">
            <w:pPr>
              <w:rPr>
                <w:sz w:val="1"/>
                <w:szCs w:val="1"/>
              </w:rPr>
            </w:pPr>
          </w:p>
        </w:tc>
      </w:tr>
      <w:tr w:rsidR="00992061" w14:paraId="2B1E6AEB" w14:textId="77777777" w:rsidTr="00AF0AA0">
        <w:trPr>
          <w:trHeight w:val="154"/>
        </w:trPr>
        <w:tc>
          <w:tcPr>
            <w:tcW w:w="2000" w:type="dxa"/>
            <w:vMerge w:val="restart"/>
            <w:tcBorders>
              <w:left w:val="single" w:sz="8" w:space="0" w:color="auto"/>
              <w:right w:val="single" w:sz="8" w:space="0" w:color="auto"/>
            </w:tcBorders>
            <w:vAlign w:val="bottom"/>
          </w:tcPr>
          <w:p w14:paraId="082AE49C" w14:textId="77777777" w:rsidR="00992061" w:rsidRDefault="00D1402E">
            <w:pPr>
              <w:ind w:left="60"/>
              <w:rPr>
                <w:sz w:val="20"/>
                <w:szCs w:val="20"/>
              </w:rPr>
            </w:pPr>
            <w:r>
              <w:rPr>
                <w:rFonts w:eastAsia="Times New Roman"/>
                <w:sz w:val="20"/>
                <w:szCs w:val="20"/>
              </w:rPr>
              <w:t>преживяемост</w:t>
            </w:r>
          </w:p>
        </w:tc>
        <w:tc>
          <w:tcPr>
            <w:tcW w:w="1099" w:type="dxa"/>
            <w:vMerge/>
            <w:tcBorders>
              <w:right w:val="single" w:sz="8" w:space="0" w:color="auto"/>
            </w:tcBorders>
            <w:vAlign w:val="bottom"/>
          </w:tcPr>
          <w:p w14:paraId="7090D82F" w14:textId="77777777" w:rsidR="00992061" w:rsidRDefault="00992061">
            <w:pPr>
              <w:rPr>
                <w:sz w:val="13"/>
                <w:szCs w:val="13"/>
              </w:rPr>
            </w:pPr>
          </w:p>
        </w:tc>
        <w:tc>
          <w:tcPr>
            <w:tcW w:w="881" w:type="dxa"/>
            <w:vMerge/>
            <w:tcBorders>
              <w:right w:val="single" w:sz="8" w:space="0" w:color="auto"/>
            </w:tcBorders>
            <w:vAlign w:val="bottom"/>
          </w:tcPr>
          <w:p w14:paraId="7FC28705" w14:textId="77777777" w:rsidR="00992061" w:rsidRDefault="00992061">
            <w:pPr>
              <w:rPr>
                <w:sz w:val="13"/>
                <w:szCs w:val="13"/>
              </w:rPr>
            </w:pPr>
          </w:p>
        </w:tc>
        <w:tc>
          <w:tcPr>
            <w:tcW w:w="1000" w:type="dxa"/>
            <w:vMerge/>
            <w:tcBorders>
              <w:right w:val="single" w:sz="8" w:space="0" w:color="auto"/>
            </w:tcBorders>
            <w:vAlign w:val="bottom"/>
          </w:tcPr>
          <w:p w14:paraId="64C2C612" w14:textId="77777777" w:rsidR="00992061" w:rsidRDefault="00992061">
            <w:pPr>
              <w:rPr>
                <w:sz w:val="13"/>
                <w:szCs w:val="13"/>
              </w:rPr>
            </w:pPr>
          </w:p>
        </w:tc>
        <w:tc>
          <w:tcPr>
            <w:tcW w:w="1120" w:type="dxa"/>
            <w:vMerge/>
            <w:tcBorders>
              <w:right w:val="single" w:sz="8" w:space="0" w:color="auto"/>
            </w:tcBorders>
            <w:vAlign w:val="bottom"/>
          </w:tcPr>
          <w:p w14:paraId="1F35991A" w14:textId="77777777" w:rsidR="00992061" w:rsidRDefault="00992061">
            <w:pPr>
              <w:rPr>
                <w:sz w:val="13"/>
                <w:szCs w:val="13"/>
              </w:rPr>
            </w:pPr>
          </w:p>
        </w:tc>
        <w:tc>
          <w:tcPr>
            <w:tcW w:w="80" w:type="dxa"/>
            <w:vAlign w:val="bottom"/>
          </w:tcPr>
          <w:p w14:paraId="663F37E2" w14:textId="77777777" w:rsidR="00992061" w:rsidRDefault="00992061">
            <w:pPr>
              <w:rPr>
                <w:sz w:val="13"/>
                <w:szCs w:val="13"/>
              </w:rPr>
            </w:pPr>
          </w:p>
        </w:tc>
        <w:tc>
          <w:tcPr>
            <w:tcW w:w="500" w:type="dxa"/>
            <w:vMerge w:val="restart"/>
            <w:tcBorders>
              <w:right w:val="single" w:sz="8" w:space="0" w:color="auto"/>
            </w:tcBorders>
            <w:vAlign w:val="bottom"/>
          </w:tcPr>
          <w:p w14:paraId="224FD735" w14:textId="77777777" w:rsidR="00992061" w:rsidRDefault="00D1402E">
            <w:pPr>
              <w:ind w:left="20"/>
              <w:rPr>
                <w:sz w:val="20"/>
                <w:szCs w:val="20"/>
              </w:rPr>
            </w:pPr>
            <w:r>
              <w:rPr>
                <w:rFonts w:eastAsia="Times New Roman"/>
                <w:sz w:val="20"/>
                <w:szCs w:val="20"/>
              </w:rPr>
              <w:t>0,80</w:t>
            </w:r>
          </w:p>
        </w:tc>
        <w:tc>
          <w:tcPr>
            <w:tcW w:w="1120" w:type="dxa"/>
            <w:vMerge w:val="restart"/>
            <w:tcBorders>
              <w:right w:val="single" w:sz="8" w:space="0" w:color="auto"/>
            </w:tcBorders>
            <w:vAlign w:val="bottom"/>
          </w:tcPr>
          <w:p w14:paraId="6BFFDAA0" w14:textId="77777777" w:rsidR="00992061" w:rsidRDefault="00D1402E">
            <w:pPr>
              <w:jc w:val="center"/>
              <w:rPr>
                <w:sz w:val="20"/>
                <w:szCs w:val="20"/>
              </w:rPr>
            </w:pPr>
            <w:r>
              <w:rPr>
                <w:rFonts w:eastAsia="Times New Roman"/>
                <w:sz w:val="20"/>
                <w:szCs w:val="20"/>
              </w:rPr>
              <w:t>0,66-0,98</w:t>
            </w:r>
          </w:p>
        </w:tc>
        <w:tc>
          <w:tcPr>
            <w:tcW w:w="1160" w:type="dxa"/>
            <w:vMerge w:val="restart"/>
            <w:tcBorders>
              <w:right w:val="single" w:sz="8" w:space="0" w:color="auto"/>
            </w:tcBorders>
            <w:vAlign w:val="bottom"/>
          </w:tcPr>
          <w:p w14:paraId="51732C2D" w14:textId="77777777" w:rsidR="00992061" w:rsidRDefault="00D1402E">
            <w:pPr>
              <w:jc w:val="center"/>
              <w:rPr>
                <w:sz w:val="20"/>
                <w:szCs w:val="20"/>
              </w:rPr>
            </w:pPr>
            <w:r>
              <w:rPr>
                <w:rFonts w:eastAsia="Times New Roman"/>
                <w:w w:val="97"/>
                <w:sz w:val="20"/>
                <w:szCs w:val="20"/>
              </w:rPr>
              <w:t>0,029</w:t>
            </w:r>
          </w:p>
        </w:tc>
        <w:tc>
          <w:tcPr>
            <w:tcW w:w="30" w:type="dxa"/>
            <w:vAlign w:val="bottom"/>
          </w:tcPr>
          <w:p w14:paraId="4A72A485" w14:textId="77777777" w:rsidR="00992061" w:rsidRDefault="00992061">
            <w:pPr>
              <w:rPr>
                <w:sz w:val="1"/>
                <w:szCs w:val="1"/>
              </w:rPr>
            </w:pPr>
          </w:p>
        </w:tc>
      </w:tr>
      <w:tr w:rsidR="00992061" w14:paraId="1FAA4845" w14:textId="77777777" w:rsidTr="00AF0AA0">
        <w:trPr>
          <w:trHeight w:val="122"/>
        </w:trPr>
        <w:tc>
          <w:tcPr>
            <w:tcW w:w="2000" w:type="dxa"/>
            <w:vMerge/>
            <w:tcBorders>
              <w:left w:val="single" w:sz="8" w:space="0" w:color="auto"/>
              <w:bottom w:val="single" w:sz="8" w:space="0" w:color="auto"/>
              <w:right w:val="single" w:sz="8" w:space="0" w:color="auto"/>
            </w:tcBorders>
            <w:vAlign w:val="bottom"/>
          </w:tcPr>
          <w:p w14:paraId="48F882BA" w14:textId="77777777" w:rsidR="00992061" w:rsidRDefault="00992061">
            <w:pPr>
              <w:rPr>
                <w:sz w:val="10"/>
                <w:szCs w:val="10"/>
              </w:rPr>
            </w:pPr>
          </w:p>
        </w:tc>
        <w:tc>
          <w:tcPr>
            <w:tcW w:w="1099" w:type="dxa"/>
            <w:tcBorders>
              <w:bottom w:val="single" w:sz="8" w:space="0" w:color="auto"/>
              <w:right w:val="single" w:sz="8" w:space="0" w:color="auto"/>
            </w:tcBorders>
            <w:vAlign w:val="bottom"/>
          </w:tcPr>
          <w:p w14:paraId="00BBECBF" w14:textId="77777777" w:rsidR="00992061" w:rsidRDefault="00992061">
            <w:pPr>
              <w:rPr>
                <w:sz w:val="10"/>
                <w:szCs w:val="10"/>
              </w:rPr>
            </w:pPr>
          </w:p>
        </w:tc>
        <w:tc>
          <w:tcPr>
            <w:tcW w:w="881" w:type="dxa"/>
            <w:tcBorders>
              <w:bottom w:val="single" w:sz="8" w:space="0" w:color="auto"/>
              <w:right w:val="single" w:sz="8" w:space="0" w:color="auto"/>
            </w:tcBorders>
            <w:vAlign w:val="bottom"/>
          </w:tcPr>
          <w:p w14:paraId="44760054" w14:textId="77777777" w:rsidR="00992061" w:rsidRDefault="00992061">
            <w:pPr>
              <w:rPr>
                <w:sz w:val="10"/>
                <w:szCs w:val="10"/>
              </w:rPr>
            </w:pPr>
          </w:p>
        </w:tc>
        <w:tc>
          <w:tcPr>
            <w:tcW w:w="1000" w:type="dxa"/>
            <w:tcBorders>
              <w:bottom w:val="single" w:sz="8" w:space="0" w:color="auto"/>
              <w:right w:val="single" w:sz="8" w:space="0" w:color="auto"/>
            </w:tcBorders>
            <w:vAlign w:val="bottom"/>
          </w:tcPr>
          <w:p w14:paraId="7DF75F0B" w14:textId="77777777" w:rsidR="00992061" w:rsidRDefault="00992061">
            <w:pPr>
              <w:rPr>
                <w:sz w:val="10"/>
                <w:szCs w:val="10"/>
              </w:rPr>
            </w:pPr>
          </w:p>
        </w:tc>
        <w:tc>
          <w:tcPr>
            <w:tcW w:w="1120" w:type="dxa"/>
            <w:tcBorders>
              <w:bottom w:val="single" w:sz="8" w:space="0" w:color="auto"/>
              <w:right w:val="single" w:sz="8" w:space="0" w:color="auto"/>
            </w:tcBorders>
            <w:vAlign w:val="bottom"/>
          </w:tcPr>
          <w:p w14:paraId="16062E12" w14:textId="77777777" w:rsidR="00992061" w:rsidRDefault="00992061">
            <w:pPr>
              <w:rPr>
                <w:sz w:val="10"/>
                <w:szCs w:val="10"/>
              </w:rPr>
            </w:pPr>
          </w:p>
        </w:tc>
        <w:tc>
          <w:tcPr>
            <w:tcW w:w="80" w:type="dxa"/>
            <w:vAlign w:val="bottom"/>
          </w:tcPr>
          <w:p w14:paraId="062232CC" w14:textId="77777777" w:rsidR="00992061" w:rsidRDefault="00992061">
            <w:pPr>
              <w:rPr>
                <w:sz w:val="10"/>
                <w:szCs w:val="10"/>
              </w:rPr>
            </w:pPr>
          </w:p>
        </w:tc>
        <w:tc>
          <w:tcPr>
            <w:tcW w:w="500" w:type="dxa"/>
            <w:vMerge/>
            <w:tcBorders>
              <w:right w:val="single" w:sz="8" w:space="0" w:color="auto"/>
            </w:tcBorders>
            <w:vAlign w:val="bottom"/>
          </w:tcPr>
          <w:p w14:paraId="69036FCF" w14:textId="77777777" w:rsidR="00992061" w:rsidRDefault="00992061">
            <w:pPr>
              <w:rPr>
                <w:sz w:val="10"/>
                <w:szCs w:val="10"/>
              </w:rPr>
            </w:pPr>
          </w:p>
        </w:tc>
        <w:tc>
          <w:tcPr>
            <w:tcW w:w="1120" w:type="dxa"/>
            <w:vMerge/>
            <w:tcBorders>
              <w:right w:val="single" w:sz="8" w:space="0" w:color="auto"/>
            </w:tcBorders>
            <w:vAlign w:val="bottom"/>
          </w:tcPr>
          <w:p w14:paraId="43E53EC7" w14:textId="77777777" w:rsidR="00992061" w:rsidRDefault="00992061">
            <w:pPr>
              <w:rPr>
                <w:sz w:val="10"/>
                <w:szCs w:val="10"/>
              </w:rPr>
            </w:pPr>
          </w:p>
        </w:tc>
        <w:tc>
          <w:tcPr>
            <w:tcW w:w="1160" w:type="dxa"/>
            <w:vMerge/>
            <w:tcBorders>
              <w:right w:val="single" w:sz="8" w:space="0" w:color="auto"/>
            </w:tcBorders>
            <w:vAlign w:val="bottom"/>
          </w:tcPr>
          <w:p w14:paraId="4CA62552" w14:textId="77777777" w:rsidR="00992061" w:rsidRDefault="00992061">
            <w:pPr>
              <w:rPr>
                <w:sz w:val="10"/>
                <w:szCs w:val="10"/>
              </w:rPr>
            </w:pPr>
          </w:p>
        </w:tc>
        <w:tc>
          <w:tcPr>
            <w:tcW w:w="30" w:type="dxa"/>
            <w:vAlign w:val="bottom"/>
          </w:tcPr>
          <w:p w14:paraId="1CF28A24" w14:textId="77777777" w:rsidR="00992061" w:rsidRDefault="00992061">
            <w:pPr>
              <w:rPr>
                <w:sz w:val="1"/>
                <w:szCs w:val="1"/>
              </w:rPr>
            </w:pPr>
          </w:p>
        </w:tc>
      </w:tr>
      <w:tr w:rsidR="00992061" w14:paraId="3EE6B4CE" w14:textId="77777777" w:rsidTr="00AF0AA0">
        <w:trPr>
          <w:trHeight w:val="122"/>
        </w:trPr>
        <w:tc>
          <w:tcPr>
            <w:tcW w:w="2000" w:type="dxa"/>
            <w:vMerge w:val="restart"/>
            <w:tcBorders>
              <w:left w:val="single" w:sz="8" w:space="0" w:color="auto"/>
              <w:right w:val="single" w:sz="8" w:space="0" w:color="auto"/>
            </w:tcBorders>
            <w:vAlign w:val="bottom"/>
          </w:tcPr>
          <w:p w14:paraId="62A33397" w14:textId="77777777" w:rsidR="00992061" w:rsidRDefault="00D1402E">
            <w:pPr>
              <w:ind w:left="60"/>
              <w:rPr>
                <w:sz w:val="20"/>
                <w:szCs w:val="20"/>
              </w:rPr>
            </w:pPr>
            <w:r>
              <w:rPr>
                <w:rFonts w:eastAsia="Times New Roman"/>
                <w:sz w:val="20"/>
                <w:szCs w:val="20"/>
              </w:rPr>
              <w:t>Средна обща</w:t>
            </w:r>
          </w:p>
        </w:tc>
        <w:tc>
          <w:tcPr>
            <w:tcW w:w="1099" w:type="dxa"/>
            <w:vMerge w:val="restart"/>
            <w:tcBorders>
              <w:right w:val="single" w:sz="8" w:space="0" w:color="auto"/>
            </w:tcBorders>
            <w:vAlign w:val="bottom"/>
          </w:tcPr>
          <w:p w14:paraId="29FF0E5C" w14:textId="77777777" w:rsidR="00992061" w:rsidRDefault="00D1402E">
            <w:pPr>
              <w:jc w:val="center"/>
              <w:rPr>
                <w:sz w:val="20"/>
                <w:szCs w:val="20"/>
              </w:rPr>
            </w:pPr>
            <w:r>
              <w:rPr>
                <w:rFonts w:eastAsia="Times New Roman"/>
                <w:sz w:val="20"/>
                <w:szCs w:val="20"/>
              </w:rPr>
              <w:t>8,1</w:t>
            </w:r>
          </w:p>
        </w:tc>
        <w:tc>
          <w:tcPr>
            <w:tcW w:w="881" w:type="dxa"/>
            <w:vMerge w:val="restart"/>
            <w:tcBorders>
              <w:right w:val="single" w:sz="8" w:space="0" w:color="auto"/>
            </w:tcBorders>
            <w:vAlign w:val="bottom"/>
          </w:tcPr>
          <w:p w14:paraId="38D6A57B" w14:textId="77777777" w:rsidR="00992061" w:rsidRDefault="00D1402E">
            <w:pPr>
              <w:jc w:val="center"/>
              <w:rPr>
                <w:sz w:val="20"/>
                <w:szCs w:val="20"/>
              </w:rPr>
            </w:pPr>
            <w:r>
              <w:rPr>
                <w:rFonts w:eastAsia="Times New Roman"/>
                <w:sz w:val="20"/>
                <w:szCs w:val="20"/>
              </w:rPr>
              <w:t>6,7</w:t>
            </w:r>
          </w:p>
        </w:tc>
        <w:tc>
          <w:tcPr>
            <w:tcW w:w="1000" w:type="dxa"/>
            <w:vMerge w:val="restart"/>
            <w:tcBorders>
              <w:right w:val="single" w:sz="8" w:space="0" w:color="auto"/>
            </w:tcBorders>
            <w:vAlign w:val="bottom"/>
          </w:tcPr>
          <w:p w14:paraId="1D973328" w14:textId="77777777" w:rsidR="00992061" w:rsidRDefault="00D1402E">
            <w:pPr>
              <w:jc w:val="center"/>
              <w:rPr>
                <w:sz w:val="20"/>
                <w:szCs w:val="20"/>
              </w:rPr>
            </w:pPr>
            <w:r>
              <w:rPr>
                <w:rFonts w:eastAsia="Times New Roman"/>
                <w:sz w:val="20"/>
                <w:szCs w:val="20"/>
              </w:rPr>
              <w:t>1,43</w:t>
            </w:r>
          </w:p>
        </w:tc>
        <w:tc>
          <w:tcPr>
            <w:tcW w:w="1120" w:type="dxa"/>
            <w:vMerge w:val="restart"/>
            <w:tcBorders>
              <w:right w:val="single" w:sz="8" w:space="0" w:color="auto"/>
            </w:tcBorders>
            <w:vAlign w:val="bottom"/>
          </w:tcPr>
          <w:p w14:paraId="4C924658" w14:textId="77777777" w:rsidR="00992061" w:rsidRDefault="00D1402E">
            <w:pPr>
              <w:jc w:val="center"/>
              <w:rPr>
                <w:sz w:val="20"/>
                <w:szCs w:val="20"/>
              </w:rPr>
            </w:pPr>
            <w:r>
              <w:rPr>
                <w:rFonts w:eastAsia="Times New Roman"/>
                <w:sz w:val="20"/>
                <w:szCs w:val="20"/>
              </w:rPr>
              <w:t>0,17-2,66</w:t>
            </w:r>
          </w:p>
        </w:tc>
        <w:tc>
          <w:tcPr>
            <w:tcW w:w="80" w:type="dxa"/>
            <w:vAlign w:val="bottom"/>
          </w:tcPr>
          <w:p w14:paraId="22A17C61" w14:textId="77777777" w:rsidR="00992061" w:rsidRDefault="00992061">
            <w:pPr>
              <w:rPr>
                <w:sz w:val="10"/>
                <w:szCs w:val="10"/>
              </w:rPr>
            </w:pPr>
          </w:p>
        </w:tc>
        <w:tc>
          <w:tcPr>
            <w:tcW w:w="500" w:type="dxa"/>
            <w:vMerge/>
            <w:tcBorders>
              <w:right w:val="single" w:sz="8" w:space="0" w:color="auto"/>
            </w:tcBorders>
            <w:vAlign w:val="bottom"/>
          </w:tcPr>
          <w:p w14:paraId="282D69FC" w14:textId="77777777" w:rsidR="00992061" w:rsidRDefault="00992061">
            <w:pPr>
              <w:rPr>
                <w:sz w:val="10"/>
                <w:szCs w:val="10"/>
              </w:rPr>
            </w:pPr>
          </w:p>
        </w:tc>
        <w:tc>
          <w:tcPr>
            <w:tcW w:w="1120" w:type="dxa"/>
            <w:vMerge/>
            <w:tcBorders>
              <w:right w:val="single" w:sz="8" w:space="0" w:color="auto"/>
            </w:tcBorders>
            <w:vAlign w:val="bottom"/>
          </w:tcPr>
          <w:p w14:paraId="7147ACBB" w14:textId="77777777" w:rsidR="00992061" w:rsidRDefault="00992061">
            <w:pPr>
              <w:rPr>
                <w:sz w:val="10"/>
                <w:szCs w:val="10"/>
              </w:rPr>
            </w:pPr>
          </w:p>
        </w:tc>
        <w:tc>
          <w:tcPr>
            <w:tcW w:w="1160" w:type="dxa"/>
            <w:vMerge/>
            <w:tcBorders>
              <w:right w:val="single" w:sz="8" w:space="0" w:color="auto"/>
            </w:tcBorders>
            <w:vAlign w:val="bottom"/>
          </w:tcPr>
          <w:p w14:paraId="65BA6703" w14:textId="77777777" w:rsidR="00992061" w:rsidRDefault="00992061">
            <w:pPr>
              <w:rPr>
                <w:sz w:val="10"/>
                <w:szCs w:val="10"/>
              </w:rPr>
            </w:pPr>
          </w:p>
        </w:tc>
        <w:tc>
          <w:tcPr>
            <w:tcW w:w="30" w:type="dxa"/>
            <w:vAlign w:val="bottom"/>
          </w:tcPr>
          <w:p w14:paraId="3B0EB947" w14:textId="77777777" w:rsidR="00992061" w:rsidRDefault="00992061">
            <w:pPr>
              <w:rPr>
                <w:sz w:val="1"/>
                <w:szCs w:val="1"/>
              </w:rPr>
            </w:pPr>
          </w:p>
        </w:tc>
      </w:tr>
      <w:tr w:rsidR="00992061" w14:paraId="56CC6E0B" w14:textId="77777777" w:rsidTr="00AF0AA0">
        <w:trPr>
          <w:trHeight w:val="114"/>
        </w:trPr>
        <w:tc>
          <w:tcPr>
            <w:tcW w:w="2000" w:type="dxa"/>
            <w:vMerge/>
            <w:tcBorders>
              <w:left w:val="single" w:sz="8" w:space="0" w:color="auto"/>
              <w:right w:val="single" w:sz="8" w:space="0" w:color="auto"/>
            </w:tcBorders>
            <w:vAlign w:val="bottom"/>
          </w:tcPr>
          <w:p w14:paraId="33B31EC6" w14:textId="77777777" w:rsidR="00992061" w:rsidRDefault="00992061">
            <w:pPr>
              <w:rPr>
                <w:sz w:val="9"/>
                <w:szCs w:val="9"/>
              </w:rPr>
            </w:pPr>
          </w:p>
        </w:tc>
        <w:tc>
          <w:tcPr>
            <w:tcW w:w="1099" w:type="dxa"/>
            <w:vMerge/>
            <w:tcBorders>
              <w:right w:val="single" w:sz="8" w:space="0" w:color="auto"/>
            </w:tcBorders>
            <w:vAlign w:val="bottom"/>
          </w:tcPr>
          <w:p w14:paraId="79B066E5" w14:textId="77777777" w:rsidR="00992061" w:rsidRDefault="00992061">
            <w:pPr>
              <w:rPr>
                <w:sz w:val="9"/>
                <w:szCs w:val="9"/>
              </w:rPr>
            </w:pPr>
          </w:p>
        </w:tc>
        <w:tc>
          <w:tcPr>
            <w:tcW w:w="881" w:type="dxa"/>
            <w:vMerge/>
            <w:tcBorders>
              <w:right w:val="single" w:sz="8" w:space="0" w:color="auto"/>
            </w:tcBorders>
            <w:vAlign w:val="bottom"/>
          </w:tcPr>
          <w:p w14:paraId="7F685EA4" w14:textId="77777777" w:rsidR="00992061" w:rsidRDefault="00992061">
            <w:pPr>
              <w:rPr>
                <w:sz w:val="9"/>
                <w:szCs w:val="9"/>
              </w:rPr>
            </w:pPr>
          </w:p>
        </w:tc>
        <w:tc>
          <w:tcPr>
            <w:tcW w:w="1000" w:type="dxa"/>
            <w:vMerge/>
            <w:tcBorders>
              <w:right w:val="single" w:sz="8" w:space="0" w:color="auto"/>
            </w:tcBorders>
            <w:vAlign w:val="bottom"/>
          </w:tcPr>
          <w:p w14:paraId="6203B8BB" w14:textId="77777777" w:rsidR="00992061" w:rsidRDefault="00992061">
            <w:pPr>
              <w:rPr>
                <w:sz w:val="9"/>
                <w:szCs w:val="9"/>
              </w:rPr>
            </w:pPr>
          </w:p>
        </w:tc>
        <w:tc>
          <w:tcPr>
            <w:tcW w:w="1120" w:type="dxa"/>
            <w:vMerge/>
            <w:tcBorders>
              <w:right w:val="single" w:sz="8" w:space="0" w:color="auto"/>
            </w:tcBorders>
            <w:vAlign w:val="bottom"/>
          </w:tcPr>
          <w:p w14:paraId="43D2C137" w14:textId="77777777" w:rsidR="00992061" w:rsidRDefault="00992061">
            <w:pPr>
              <w:rPr>
                <w:sz w:val="9"/>
                <w:szCs w:val="9"/>
              </w:rPr>
            </w:pPr>
          </w:p>
        </w:tc>
        <w:tc>
          <w:tcPr>
            <w:tcW w:w="80" w:type="dxa"/>
            <w:vAlign w:val="bottom"/>
          </w:tcPr>
          <w:p w14:paraId="074B284F" w14:textId="77777777" w:rsidR="00992061" w:rsidRDefault="00992061">
            <w:pPr>
              <w:rPr>
                <w:sz w:val="9"/>
                <w:szCs w:val="9"/>
              </w:rPr>
            </w:pPr>
          </w:p>
        </w:tc>
        <w:tc>
          <w:tcPr>
            <w:tcW w:w="500" w:type="dxa"/>
            <w:tcBorders>
              <w:right w:val="single" w:sz="8" w:space="0" w:color="auto"/>
            </w:tcBorders>
            <w:vAlign w:val="bottom"/>
          </w:tcPr>
          <w:p w14:paraId="6956238E" w14:textId="77777777" w:rsidR="00992061" w:rsidRDefault="00992061">
            <w:pPr>
              <w:rPr>
                <w:sz w:val="9"/>
                <w:szCs w:val="9"/>
              </w:rPr>
            </w:pPr>
          </w:p>
        </w:tc>
        <w:tc>
          <w:tcPr>
            <w:tcW w:w="1120" w:type="dxa"/>
            <w:tcBorders>
              <w:right w:val="single" w:sz="8" w:space="0" w:color="auto"/>
            </w:tcBorders>
            <w:vAlign w:val="bottom"/>
          </w:tcPr>
          <w:p w14:paraId="289EFC05" w14:textId="77777777" w:rsidR="00992061" w:rsidRDefault="00992061">
            <w:pPr>
              <w:rPr>
                <w:sz w:val="9"/>
                <w:szCs w:val="9"/>
              </w:rPr>
            </w:pPr>
          </w:p>
        </w:tc>
        <w:tc>
          <w:tcPr>
            <w:tcW w:w="1160" w:type="dxa"/>
            <w:tcBorders>
              <w:right w:val="single" w:sz="8" w:space="0" w:color="auto"/>
            </w:tcBorders>
            <w:vAlign w:val="bottom"/>
          </w:tcPr>
          <w:p w14:paraId="763701D6" w14:textId="77777777" w:rsidR="00992061" w:rsidRDefault="00992061">
            <w:pPr>
              <w:rPr>
                <w:sz w:val="9"/>
                <w:szCs w:val="9"/>
              </w:rPr>
            </w:pPr>
          </w:p>
        </w:tc>
        <w:tc>
          <w:tcPr>
            <w:tcW w:w="30" w:type="dxa"/>
            <w:vAlign w:val="bottom"/>
          </w:tcPr>
          <w:p w14:paraId="374E6D86" w14:textId="77777777" w:rsidR="00992061" w:rsidRDefault="00992061">
            <w:pPr>
              <w:rPr>
                <w:sz w:val="1"/>
                <w:szCs w:val="1"/>
              </w:rPr>
            </w:pPr>
          </w:p>
        </w:tc>
      </w:tr>
      <w:tr w:rsidR="00992061" w14:paraId="6B32DEA6" w14:textId="77777777" w:rsidTr="00AF0AA0">
        <w:trPr>
          <w:trHeight w:val="150"/>
        </w:trPr>
        <w:tc>
          <w:tcPr>
            <w:tcW w:w="2000" w:type="dxa"/>
            <w:vMerge w:val="restart"/>
            <w:tcBorders>
              <w:left w:val="single" w:sz="8" w:space="0" w:color="auto"/>
              <w:right w:val="single" w:sz="8" w:space="0" w:color="auto"/>
            </w:tcBorders>
            <w:vAlign w:val="bottom"/>
          </w:tcPr>
          <w:p w14:paraId="7BA676F5" w14:textId="77777777" w:rsidR="00992061" w:rsidRDefault="00D1402E">
            <w:pPr>
              <w:ind w:left="60"/>
              <w:rPr>
                <w:sz w:val="20"/>
                <w:szCs w:val="20"/>
              </w:rPr>
            </w:pPr>
            <w:r>
              <w:rPr>
                <w:rFonts w:eastAsia="Times New Roman"/>
                <w:sz w:val="20"/>
                <w:szCs w:val="20"/>
              </w:rPr>
              <w:t>преживяемост</w:t>
            </w:r>
          </w:p>
        </w:tc>
        <w:tc>
          <w:tcPr>
            <w:tcW w:w="1099" w:type="dxa"/>
            <w:vMerge/>
            <w:tcBorders>
              <w:right w:val="single" w:sz="8" w:space="0" w:color="auto"/>
            </w:tcBorders>
            <w:vAlign w:val="bottom"/>
          </w:tcPr>
          <w:p w14:paraId="3C2E827A" w14:textId="77777777" w:rsidR="00992061" w:rsidRDefault="00992061">
            <w:pPr>
              <w:rPr>
                <w:sz w:val="13"/>
                <w:szCs w:val="13"/>
              </w:rPr>
            </w:pPr>
          </w:p>
        </w:tc>
        <w:tc>
          <w:tcPr>
            <w:tcW w:w="881" w:type="dxa"/>
            <w:vMerge/>
            <w:tcBorders>
              <w:right w:val="single" w:sz="8" w:space="0" w:color="auto"/>
            </w:tcBorders>
            <w:vAlign w:val="bottom"/>
          </w:tcPr>
          <w:p w14:paraId="5F504455" w14:textId="77777777" w:rsidR="00992061" w:rsidRDefault="00992061">
            <w:pPr>
              <w:rPr>
                <w:sz w:val="13"/>
                <w:szCs w:val="13"/>
              </w:rPr>
            </w:pPr>
          </w:p>
        </w:tc>
        <w:tc>
          <w:tcPr>
            <w:tcW w:w="1000" w:type="dxa"/>
            <w:vMerge/>
            <w:tcBorders>
              <w:right w:val="single" w:sz="8" w:space="0" w:color="auto"/>
            </w:tcBorders>
            <w:vAlign w:val="bottom"/>
          </w:tcPr>
          <w:p w14:paraId="255A4BB2" w14:textId="77777777" w:rsidR="00992061" w:rsidRDefault="00992061">
            <w:pPr>
              <w:rPr>
                <w:sz w:val="13"/>
                <w:szCs w:val="13"/>
              </w:rPr>
            </w:pPr>
          </w:p>
        </w:tc>
        <w:tc>
          <w:tcPr>
            <w:tcW w:w="1120" w:type="dxa"/>
            <w:vMerge/>
            <w:tcBorders>
              <w:right w:val="single" w:sz="8" w:space="0" w:color="auto"/>
            </w:tcBorders>
            <w:vAlign w:val="bottom"/>
          </w:tcPr>
          <w:p w14:paraId="1416A4D6" w14:textId="77777777" w:rsidR="00992061" w:rsidRDefault="00992061">
            <w:pPr>
              <w:rPr>
                <w:sz w:val="13"/>
                <w:szCs w:val="13"/>
              </w:rPr>
            </w:pPr>
          </w:p>
        </w:tc>
        <w:tc>
          <w:tcPr>
            <w:tcW w:w="80" w:type="dxa"/>
            <w:vAlign w:val="bottom"/>
          </w:tcPr>
          <w:p w14:paraId="43BE6FEC" w14:textId="77777777" w:rsidR="00992061" w:rsidRDefault="00992061">
            <w:pPr>
              <w:rPr>
                <w:sz w:val="13"/>
                <w:szCs w:val="13"/>
              </w:rPr>
            </w:pPr>
          </w:p>
        </w:tc>
        <w:tc>
          <w:tcPr>
            <w:tcW w:w="500" w:type="dxa"/>
            <w:tcBorders>
              <w:right w:val="single" w:sz="8" w:space="0" w:color="auto"/>
            </w:tcBorders>
            <w:vAlign w:val="bottom"/>
          </w:tcPr>
          <w:p w14:paraId="7BD883D4" w14:textId="77777777" w:rsidR="00992061" w:rsidRDefault="00992061">
            <w:pPr>
              <w:rPr>
                <w:sz w:val="13"/>
                <w:szCs w:val="13"/>
              </w:rPr>
            </w:pPr>
          </w:p>
        </w:tc>
        <w:tc>
          <w:tcPr>
            <w:tcW w:w="1120" w:type="dxa"/>
            <w:tcBorders>
              <w:right w:val="single" w:sz="8" w:space="0" w:color="auto"/>
            </w:tcBorders>
            <w:vAlign w:val="bottom"/>
          </w:tcPr>
          <w:p w14:paraId="3C4646B7" w14:textId="77777777" w:rsidR="00992061" w:rsidRDefault="00992061">
            <w:pPr>
              <w:rPr>
                <w:sz w:val="13"/>
                <w:szCs w:val="13"/>
              </w:rPr>
            </w:pPr>
          </w:p>
        </w:tc>
        <w:tc>
          <w:tcPr>
            <w:tcW w:w="1160" w:type="dxa"/>
            <w:tcBorders>
              <w:right w:val="single" w:sz="8" w:space="0" w:color="auto"/>
            </w:tcBorders>
            <w:vAlign w:val="bottom"/>
          </w:tcPr>
          <w:p w14:paraId="6F13A721" w14:textId="77777777" w:rsidR="00992061" w:rsidRDefault="00992061">
            <w:pPr>
              <w:rPr>
                <w:sz w:val="13"/>
                <w:szCs w:val="13"/>
              </w:rPr>
            </w:pPr>
          </w:p>
        </w:tc>
        <w:tc>
          <w:tcPr>
            <w:tcW w:w="30" w:type="dxa"/>
            <w:vAlign w:val="bottom"/>
          </w:tcPr>
          <w:p w14:paraId="5FFF9638" w14:textId="77777777" w:rsidR="00992061" w:rsidRDefault="00992061">
            <w:pPr>
              <w:rPr>
                <w:sz w:val="1"/>
                <w:szCs w:val="1"/>
              </w:rPr>
            </w:pPr>
          </w:p>
        </w:tc>
      </w:tr>
      <w:tr w:rsidR="00992061" w14:paraId="64AAA3F5" w14:textId="77777777" w:rsidTr="00AF0AA0">
        <w:trPr>
          <w:trHeight w:val="128"/>
        </w:trPr>
        <w:tc>
          <w:tcPr>
            <w:tcW w:w="2000" w:type="dxa"/>
            <w:vMerge/>
            <w:tcBorders>
              <w:left w:val="single" w:sz="8" w:space="0" w:color="auto"/>
              <w:bottom w:val="single" w:sz="8" w:space="0" w:color="auto"/>
              <w:right w:val="single" w:sz="8" w:space="0" w:color="auto"/>
            </w:tcBorders>
            <w:vAlign w:val="bottom"/>
          </w:tcPr>
          <w:p w14:paraId="19946D42" w14:textId="77777777" w:rsidR="00992061" w:rsidRDefault="00992061">
            <w:pPr>
              <w:rPr>
                <w:sz w:val="11"/>
                <w:szCs w:val="11"/>
              </w:rPr>
            </w:pPr>
          </w:p>
        </w:tc>
        <w:tc>
          <w:tcPr>
            <w:tcW w:w="1099" w:type="dxa"/>
            <w:tcBorders>
              <w:bottom w:val="single" w:sz="8" w:space="0" w:color="auto"/>
              <w:right w:val="single" w:sz="8" w:space="0" w:color="auto"/>
            </w:tcBorders>
            <w:vAlign w:val="bottom"/>
          </w:tcPr>
          <w:p w14:paraId="6E3046A1" w14:textId="77777777" w:rsidR="00992061" w:rsidRDefault="00992061">
            <w:pPr>
              <w:rPr>
                <w:sz w:val="11"/>
                <w:szCs w:val="11"/>
              </w:rPr>
            </w:pPr>
          </w:p>
        </w:tc>
        <w:tc>
          <w:tcPr>
            <w:tcW w:w="881" w:type="dxa"/>
            <w:tcBorders>
              <w:bottom w:val="single" w:sz="8" w:space="0" w:color="auto"/>
              <w:right w:val="single" w:sz="8" w:space="0" w:color="auto"/>
            </w:tcBorders>
            <w:vAlign w:val="bottom"/>
          </w:tcPr>
          <w:p w14:paraId="4D127D88" w14:textId="77777777" w:rsidR="00992061" w:rsidRDefault="00992061">
            <w:pPr>
              <w:rPr>
                <w:sz w:val="11"/>
                <w:szCs w:val="11"/>
              </w:rPr>
            </w:pPr>
          </w:p>
        </w:tc>
        <w:tc>
          <w:tcPr>
            <w:tcW w:w="1000" w:type="dxa"/>
            <w:tcBorders>
              <w:bottom w:val="single" w:sz="8" w:space="0" w:color="auto"/>
              <w:right w:val="single" w:sz="8" w:space="0" w:color="auto"/>
            </w:tcBorders>
            <w:vAlign w:val="bottom"/>
          </w:tcPr>
          <w:p w14:paraId="5966ABBD" w14:textId="77777777" w:rsidR="00992061" w:rsidRDefault="00992061">
            <w:pPr>
              <w:rPr>
                <w:sz w:val="11"/>
                <w:szCs w:val="11"/>
              </w:rPr>
            </w:pPr>
          </w:p>
        </w:tc>
        <w:tc>
          <w:tcPr>
            <w:tcW w:w="1120" w:type="dxa"/>
            <w:tcBorders>
              <w:bottom w:val="single" w:sz="8" w:space="0" w:color="auto"/>
              <w:right w:val="single" w:sz="8" w:space="0" w:color="auto"/>
            </w:tcBorders>
            <w:vAlign w:val="bottom"/>
          </w:tcPr>
          <w:p w14:paraId="52D749A0" w14:textId="77777777" w:rsidR="00992061" w:rsidRDefault="00992061">
            <w:pPr>
              <w:rPr>
                <w:sz w:val="11"/>
                <w:szCs w:val="11"/>
              </w:rPr>
            </w:pPr>
          </w:p>
        </w:tc>
        <w:tc>
          <w:tcPr>
            <w:tcW w:w="80" w:type="dxa"/>
            <w:tcBorders>
              <w:bottom w:val="single" w:sz="8" w:space="0" w:color="auto"/>
            </w:tcBorders>
            <w:vAlign w:val="bottom"/>
          </w:tcPr>
          <w:p w14:paraId="28306268" w14:textId="77777777" w:rsidR="00992061" w:rsidRDefault="00992061">
            <w:pPr>
              <w:rPr>
                <w:sz w:val="11"/>
                <w:szCs w:val="11"/>
              </w:rPr>
            </w:pPr>
          </w:p>
        </w:tc>
        <w:tc>
          <w:tcPr>
            <w:tcW w:w="500" w:type="dxa"/>
            <w:tcBorders>
              <w:bottom w:val="single" w:sz="8" w:space="0" w:color="auto"/>
              <w:right w:val="single" w:sz="8" w:space="0" w:color="auto"/>
            </w:tcBorders>
            <w:vAlign w:val="bottom"/>
          </w:tcPr>
          <w:p w14:paraId="633BFD1B" w14:textId="77777777" w:rsidR="00992061" w:rsidRDefault="00992061">
            <w:pPr>
              <w:rPr>
                <w:sz w:val="11"/>
                <w:szCs w:val="11"/>
              </w:rPr>
            </w:pPr>
          </w:p>
        </w:tc>
        <w:tc>
          <w:tcPr>
            <w:tcW w:w="1120" w:type="dxa"/>
            <w:tcBorders>
              <w:bottom w:val="single" w:sz="8" w:space="0" w:color="auto"/>
              <w:right w:val="single" w:sz="8" w:space="0" w:color="auto"/>
            </w:tcBorders>
            <w:vAlign w:val="bottom"/>
          </w:tcPr>
          <w:p w14:paraId="0F69E009" w14:textId="77777777" w:rsidR="00992061" w:rsidRDefault="00992061">
            <w:pPr>
              <w:rPr>
                <w:sz w:val="11"/>
                <w:szCs w:val="11"/>
              </w:rPr>
            </w:pPr>
          </w:p>
        </w:tc>
        <w:tc>
          <w:tcPr>
            <w:tcW w:w="1160" w:type="dxa"/>
            <w:tcBorders>
              <w:bottom w:val="single" w:sz="8" w:space="0" w:color="auto"/>
              <w:right w:val="single" w:sz="8" w:space="0" w:color="auto"/>
            </w:tcBorders>
            <w:vAlign w:val="bottom"/>
          </w:tcPr>
          <w:p w14:paraId="6BC469F8" w14:textId="77777777" w:rsidR="00992061" w:rsidRDefault="00992061">
            <w:pPr>
              <w:rPr>
                <w:sz w:val="11"/>
                <w:szCs w:val="11"/>
              </w:rPr>
            </w:pPr>
          </w:p>
        </w:tc>
        <w:tc>
          <w:tcPr>
            <w:tcW w:w="30" w:type="dxa"/>
            <w:vAlign w:val="bottom"/>
          </w:tcPr>
          <w:p w14:paraId="692251D7" w14:textId="77777777" w:rsidR="00992061" w:rsidRDefault="00992061">
            <w:pPr>
              <w:rPr>
                <w:sz w:val="1"/>
                <w:szCs w:val="1"/>
              </w:rPr>
            </w:pPr>
          </w:p>
        </w:tc>
      </w:tr>
      <w:tr w:rsidR="00992061" w14:paraId="2BBE8D58" w14:textId="77777777" w:rsidTr="00007066">
        <w:trPr>
          <w:trHeight w:val="278"/>
        </w:trPr>
        <w:tc>
          <w:tcPr>
            <w:tcW w:w="2000" w:type="dxa"/>
            <w:tcBorders>
              <w:left w:val="single" w:sz="8" w:space="0" w:color="auto"/>
              <w:bottom w:val="single" w:sz="8" w:space="0" w:color="auto"/>
            </w:tcBorders>
            <w:vAlign w:val="bottom"/>
          </w:tcPr>
          <w:p w14:paraId="0160DBB4" w14:textId="77777777" w:rsidR="00992061" w:rsidRDefault="00992061">
            <w:pPr>
              <w:rPr>
                <w:sz w:val="24"/>
                <w:szCs w:val="24"/>
              </w:rPr>
            </w:pPr>
          </w:p>
        </w:tc>
        <w:tc>
          <w:tcPr>
            <w:tcW w:w="4680" w:type="dxa"/>
            <w:gridSpan w:val="6"/>
            <w:tcBorders>
              <w:bottom w:val="single" w:sz="8" w:space="0" w:color="auto"/>
            </w:tcBorders>
            <w:vAlign w:val="bottom"/>
          </w:tcPr>
          <w:p w14:paraId="7BD938DE" w14:textId="77777777" w:rsidR="00992061" w:rsidRDefault="00D1402E">
            <w:pPr>
              <w:ind w:left="139"/>
              <w:jc w:val="center"/>
              <w:rPr>
                <w:sz w:val="20"/>
                <w:szCs w:val="20"/>
              </w:rPr>
            </w:pPr>
            <w:r>
              <w:rPr>
                <w:rFonts w:eastAsia="Times New Roman"/>
                <w:sz w:val="20"/>
                <w:szCs w:val="20"/>
              </w:rPr>
              <w:t>Популация с локално авансирало заболяване</w:t>
            </w:r>
          </w:p>
        </w:tc>
        <w:tc>
          <w:tcPr>
            <w:tcW w:w="1120" w:type="dxa"/>
            <w:tcBorders>
              <w:bottom w:val="single" w:sz="8" w:space="0" w:color="auto"/>
            </w:tcBorders>
            <w:vAlign w:val="bottom"/>
          </w:tcPr>
          <w:p w14:paraId="57678A7E" w14:textId="77777777" w:rsidR="00992061" w:rsidRDefault="00992061">
            <w:pPr>
              <w:rPr>
                <w:sz w:val="24"/>
                <w:szCs w:val="24"/>
              </w:rPr>
            </w:pPr>
          </w:p>
        </w:tc>
        <w:tc>
          <w:tcPr>
            <w:tcW w:w="1160" w:type="dxa"/>
            <w:tcBorders>
              <w:bottom w:val="single" w:sz="8" w:space="0" w:color="auto"/>
              <w:right w:val="single" w:sz="8" w:space="0" w:color="auto"/>
            </w:tcBorders>
            <w:vAlign w:val="bottom"/>
          </w:tcPr>
          <w:p w14:paraId="3A38F417" w14:textId="77777777" w:rsidR="00992061" w:rsidRDefault="00992061">
            <w:pPr>
              <w:rPr>
                <w:sz w:val="24"/>
                <w:szCs w:val="24"/>
              </w:rPr>
            </w:pPr>
          </w:p>
        </w:tc>
        <w:tc>
          <w:tcPr>
            <w:tcW w:w="30" w:type="dxa"/>
            <w:vAlign w:val="bottom"/>
          </w:tcPr>
          <w:p w14:paraId="35F8FAE9" w14:textId="77777777" w:rsidR="00992061" w:rsidRDefault="00992061">
            <w:pPr>
              <w:rPr>
                <w:sz w:val="1"/>
                <w:szCs w:val="1"/>
              </w:rPr>
            </w:pPr>
          </w:p>
        </w:tc>
      </w:tr>
      <w:tr w:rsidR="00992061" w14:paraId="566AC691" w14:textId="77777777" w:rsidTr="00AF0AA0">
        <w:trPr>
          <w:trHeight w:val="230"/>
        </w:trPr>
        <w:tc>
          <w:tcPr>
            <w:tcW w:w="2000" w:type="dxa"/>
            <w:tcBorders>
              <w:left w:val="single" w:sz="8" w:space="0" w:color="auto"/>
              <w:right w:val="single" w:sz="8" w:space="0" w:color="auto"/>
            </w:tcBorders>
            <w:vAlign w:val="bottom"/>
          </w:tcPr>
          <w:p w14:paraId="4841347F" w14:textId="77777777" w:rsidR="00992061" w:rsidRDefault="00D1402E">
            <w:pPr>
              <w:ind w:left="60"/>
              <w:rPr>
                <w:sz w:val="20"/>
                <w:szCs w:val="20"/>
              </w:rPr>
            </w:pPr>
            <w:r>
              <w:rPr>
                <w:rFonts w:eastAsia="Times New Roman"/>
                <w:sz w:val="20"/>
                <w:szCs w:val="20"/>
              </w:rPr>
              <w:t>Медиана на обща</w:t>
            </w:r>
          </w:p>
        </w:tc>
        <w:tc>
          <w:tcPr>
            <w:tcW w:w="1099" w:type="dxa"/>
            <w:vMerge w:val="restart"/>
            <w:tcBorders>
              <w:right w:val="single" w:sz="8" w:space="0" w:color="auto"/>
            </w:tcBorders>
            <w:vAlign w:val="bottom"/>
          </w:tcPr>
          <w:p w14:paraId="0887C993" w14:textId="77777777" w:rsidR="00992061" w:rsidRDefault="00D1402E">
            <w:pPr>
              <w:jc w:val="center"/>
              <w:rPr>
                <w:sz w:val="20"/>
                <w:szCs w:val="20"/>
              </w:rPr>
            </w:pPr>
            <w:r>
              <w:rPr>
                <w:rFonts w:eastAsia="Times New Roman"/>
                <w:sz w:val="20"/>
                <w:szCs w:val="20"/>
              </w:rPr>
              <w:t>8,5</w:t>
            </w:r>
          </w:p>
        </w:tc>
        <w:tc>
          <w:tcPr>
            <w:tcW w:w="881" w:type="dxa"/>
            <w:vMerge w:val="restart"/>
            <w:tcBorders>
              <w:right w:val="single" w:sz="8" w:space="0" w:color="auto"/>
            </w:tcBorders>
            <w:vAlign w:val="bottom"/>
          </w:tcPr>
          <w:p w14:paraId="5C4CD348" w14:textId="77777777" w:rsidR="00992061" w:rsidRDefault="00D1402E">
            <w:pPr>
              <w:jc w:val="center"/>
              <w:rPr>
                <w:sz w:val="20"/>
                <w:szCs w:val="20"/>
              </w:rPr>
            </w:pPr>
            <w:r>
              <w:rPr>
                <w:rFonts w:eastAsia="Times New Roman"/>
                <w:sz w:val="20"/>
                <w:szCs w:val="20"/>
              </w:rPr>
              <w:t>8,2</w:t>
            </w:r>
          </w:p>
        </w:tc>
        <w:tc>
          <w:tcPr>
            <w:tcW w:w="1000" w:type="dxa"/>
            <w:vMerge w:val="restart"/>
            <w:tcBorders>
              <w:right w:val="single" w:sz="8" w:space="0" w:color="auto"/>
            </w:tcBorders>
            <w:vAlign w:val="bottom"/>
          </w:tcPr>
          <w:p w14:paraId="0A526AEB" w14:textId="77777777" w:rsidR="00992061" w:rsidRDefault="00D1402E">
            <w:pPr>
              <w:jc w:val="center"/>
              <w:rPr>
                <w:sz w:val="20"/>
                <w:szCs w:val="20"/>
              </w:rPr>
            </w:pPr>
            <w:r>
              <w:rPr>
                <w:rFonts w:eastAsia="Times New Roman"/>
                <w:sz w:val="20"/>
                <w:szCs w:val="20"/>
              </w:rPr>
              <w:t>0,36</w:t>
            </w:r>
          </w:p>
        </w:tc>
        <w:tc>
          <w:tcPr>
            <w:tcW w:w="1120" w:type="dxa"/>
            <w:vMerge w:val="restart"/>
            <w:tcBorders>
              <w:right w:val="single" w:sz="8" w:space="0" w:color="auto"/>
            </w:tcBorders>
            <w:vAlign w:val="bottom"/>
          </w:tcPr>
          <w:p w14:paraId="16DC7338" w14:textId="77777777" w:rsidR="00992061" w:rsidRDefault="00D1402E">
            <w:pPr>
              <w:jc w:val="center"/>
              <w:rPr>
                <w:sz w:val="20"/>
                <w:szCs w:val="20"/>
              </w:rPr>
            </w:pPr>
            <w:r>
              <w:rPr>
                <w:rFonts w:eastAsia="Times New Roman"/>
                <w:sz w:val="20"/>
                <w:szCs w:val="20"/>
              </w:rPr>
              <w:t>-2,43-2,96</w:t>
            </w:r>
          </w:p>
        </w:tc>
        <w:tc>
          <w:tcPr>
            <w:tcW w:w="80" w:type="dxa"/>
            <w:vAlign w:val="bottom"/>
          </w:tcPr>
          <w:p w14:paraId="223CE783" w14:textId="77777777" w:rsidR="00992061" w:rsidRDefault="00992061">
            <w:pPr>
              <w:rPr>
                <w:sz w:val="19"/>
                <w:szCs w:val="19"/>
              </w:rPr>
            </w:pPr>
          </w:p>
        </w:tc>
        <w:tc>
          <w:tcPr>
            <w:tcW w:w="500" w:type="dxa"/>
            <w:tcBorders>
              <w:right w:val="single" w:sz="8" w:space="0" w:color="auto"/>
            </w:tcBorders>
            <w:vAlign w:val="bottom"/>
          </w:tcPr>
          <w:p w14:paraId="158A60F6" w14:textId="77777777" w:rsidR="00992061" w:rsidRDefault="00992061">
            <w:pPr>
              <w:rPr>
                <w:sz w:val="19"/>
                <w:szCs w:val="19"/>
              </w:rPr>
            </w:pPr>
          </w:p>
        </w:tc>
        <w:tc>
          <w:tcPr>
            <w:tcW w:w="1120" w:type="dxa"/>
            <w:tcBorders>
              <w:right w:val="single" w:sz="8" w:space="0" w:color="auto"/>
            </w:tcBorders>
            <w:vAlign w:val="bottom"/>
          </w:tcPr>
          <w:p w14:paraId="78B68512" w14:textId="77777777" w:rsidR="00992061" w:rsidRDefault="00992061">
            <w:pPr>
              <w:rPr>
                <w:sz w:val="19"/>
                <w:szCs w:val="19"/>
              </w:rPr>
            </w:pPr>
          </w:p>
        </w:tc>
        <w:tc>
          <w:tcPr>
            <w:tcW w:w="1160" w:type="dxa"/>
            <w:tcBorders>
              <w:right w:val="single" w:sz="8" w:space="0" w:color="auto"/>
            </w:tcBorders>
            <w:vAlign w:val="bottom"/>
          </w:tcPr>
          <w:p w14:paraId="0D1BFD3A" w14:textId="77777777" w:rsidR="00992061" w:rsidRDefault="00992061">
            <w:pPr>
              <w:rPr>
                <w:sz w:val="19"/>
                <w:szCs w:val="19"/>
              </w:rPr>
            </w:pPr>
          </w:p>
        </w:tc>
        <w:tc>
          <w:tcPr>
            <w:tcW w:w="30" w:type="dxa"/>
            <w:vAlign w:val="bottom"/>
          </w:tcPr>
          <w:p w14:paraId="05CE4CF3" w14:textId="77777777" w:rsidR="00992061" w:rsidRDefault="00992061">
            <w:pPr>
              <w:rPr>
                <w:sz w:val="1"/>
                <w:szCs w:val="1"/>
              </w:rPr>
            </w:pPr>
          </w:p>
        </w:tc>
      </w:tr>
      <w:tr w:rsidR="00992061" w14:paraId="1E56AD6C" w14:textId="77777777" w:rsidTr="00AF0AA0">
        <w:trPr>
          <w:trHeight w:val="155"/>
        </w:trPr>
        <w:tc>
          <w:tcPr>
            <w:tcW w:w="2000" w:type="dxa"/>
            <w:vMerge w:val="restart"/>
            <w:tcBorders>
              <w:left w:val="single" w:sz="8" w:space="0" w:color="auto"/>
              <w:right w:val="single" w:sz="8" w:space="0" w:color="auto"/>
            </w:tcBorders>
            <w:vAlign w:val="bottom"/>
          </w:tcPr>
          <w:p w14:paraId="59507CAB" w14:textId="77777777" w:rsidR="00992061" w:rsidRDefault="00D1402E">
            <w:pPr>
              <w:ind w:left="60"/>
              <w:rPr>
                <w:sz w:val="20"/>
                <w:szCs w:val="20"/>
              </w:rPr>
            </w:pPr>
            <w:r>
              <w:rPr>
                <w:rFonts w:eastAsia="Times New Roman"/>
                <w:sz w:val="20"/>
                <w:szCs w:val="20"/>
              </w:rPr>
              <w:t>преживяемост</w:t>
            </w:r>
          </w:p>
        </w:tc>
        <w:tc>
          <w:tcPr>
            <w:tcW w:w="1099" w:type="dxa"/>
            <w:vMerge/>
            <w:tcBorders>
              <w:right w:val="single" w:sz="8" w:space="0" w:color="auto"/>
            </w:tcBorders>
            <w:vAlign w:val="bottom"/>
          </w:tcPr>
          <w:p w14:paraId="7FCB9DB5" w14:textId="77777777" w:rsidR="00992061" w:rsidRDefault="00992061">
            <w:pPr>
              <w:rPr>
                <w:sz w:val="13"/>
                <w:szCs w:val="13"/>
              </w:rPr>
            </w:pPr>
          </w:p>
        </w:tc>
        <w:tc>
          <w:tcPr>
            <w:tcW w:w="881" w:type="dxa"/>
            <w:vMerge/>
            <w:tcBorders>
              <w:right w:val="single" w:sz="8" w:space="0" w:color="auto"/>
            </w:tcBorders>
            <w:vAlign w:val="bottom"/>
          </w:tcPr>
          <w:p w14:paraId="416E370B" w14:textId="77777777" w:rsidR="00992061" w:rsidRDefault="00992061">
            <w:pPr>
              <w:rPr>
                <w:sz w:val="13"/>
                <w:szCs w:val="13"/>
              </w:rPr>
            </w:pPr>
          </w:p>
        </w:tc>
        <w:tc>
          <w:tcPr>
            <w:tcW w:w="1000" w:type="dxa"/>
            <w:vMerge/>
            <w:tcBorders>
              <w:right w:val="single" w:sz="8" w:space="0" w:color="auto"/>
            </w:tcBorders>
            <w:vAlign w:val="bottom"/>
          </w:tcPr>
          <w:p w14:paraId="3C427870" w14:textId="77777777" w:rsidR="00992061" w:rsidRDefault="00992061">
            <w:pPr>
              <w:rPr>
                <w:sz w:val="13"/>
                <w:szCs w:val="13"/>
              </w:rPr>
            </w:pPr>
          </w:p>
        </w:tc>
        <w:tc>
          <w:tcPr>
            <w:tcW w:w="1120" w:type="dxa"/>
            <w:vMerge/>
            <w:tcBorders>
              <w:right w:val="single" w:sz="8" w:space="0" w:color="auto"/>
            </w:tcBorders>
            <w:vAlign w:val="bottom"/>
          </w:tcPr>
          <w:p w14:paraId="5D13398D" w14:textId="77777777" w:rsidR="00992061" w:rsidRDefault="00992061">
            <w:pPr>
              <w:rPr>
                <w:sz w:val="13"/>
                <w:szCs w:val="13"/>
              </w:rPr>
            </w:pPr>
          </w:p>
        </w:tc>
        <w:tc>
          <w:tcPr>
            <w:tcW w:w="80" w:type="dxa"/>
            <w:vAlign w:val="bottom"/>
          </w:tcPr>
          <w:p w14:paraId="4593C065" w14:textId="77777777" w:rsidR="00992061" w:rsidRDefault="00992061">
            <w:pPr>
              <w:rPr>
                <w:sz w:val="13"/>
                <w:szCs w:val="13"/>
              </w:rPr>
            </w:pPr>
          </w:p>
        </w:tc>
        <w:tc>
          <w:tcPr>
            <w:tcW w:w="500" w:type="dxa"/>
            <w:vMerge w:val="restart"/>
            <w:tcBorders>
              <w:right w:val="single" w:sz="8" w:space="0" w:color="auto"/>
            </w:tcBorders>
            <w:vAlign w:val="bottom"/>
          </w:tcPr>
          <w:p w14:paraId="5048CB4A" w14:textId="77777777" w:rsidR="00992061" w:rsidRDefault="00D1402E">
            <w:pPr>
              <w:ind w:left="20"/>
              <w:rPr>
                <w:sz w:val="20"/>
                <w:szCs w:val="20"/>
              </w:rPr>
            </w:pPr>
            <w:r>
              <w:rPr>
                <w:rFonts w:eastAsia="Times New Roman"/>
                <w:sz w:val="20"/>
                <w:szCs w:val="20"/>
              </w:rPr>
              <w:t>0,93</w:t>
            </w:r>
          </w:p>
        </w:tc>
        <w:tc>
          <w:tcPr>
            <w:tcW w:w="1120" w:type="dxa"/>
            <w:vMerge w:val="restart"/>
            <w:tcBorders>
              <w:right w:val="single" w:sz="8" w:space="0" w:color="auto"/>
            </w:tcBorders>
            <w:vAlign w:val="bottom"/>
          </w:tcPr>
          <w:p w14:paraId="13ABC59B" w14:textId="77777777" w:rsidR="00992061" w:rsidRDefault="00D1402E">
            <w:pPr>
              <w:jc w:val="center"/>
              <w:rPr>
                <w:sz w:val="20"/>
                <w:szCs w:val="20"/>
              </w:rPr>
            </w:pPr>
            <w:r>
              <w:rPr>
                <w:rFonts w:eastAsia="Times New Roman"/>
                <w:sz w:val="20"/>
                <w:szCs w:val="20"/>
              </w:rPr>
              <w:t>0,65-1,35</w:t>
            </w:r>
          </w:p>
        </w:tc>
        <w:tc>
          <w:tcPr>
            <w:tcW w:w="1160" w:type="dxa"/>
            <w:vMerge w:val="restart"/>
            <w:tcBorders>
              <w:right w:val="single" w:sz="8" w:space="0" w:color="auto"/>
            </w:tcBorders>
            <w:vAlign w:val="bottom"/>
          </w:tcPr>
          <w:p w14:paraId="3FC8781E" w14:textId="77777777" w:rsidR="00992061" w:rsidRDefault="00D1402E">
            <w:pPr>
              <w:jc w:val="center"/>
              <w:rPr>
                <w:sz w:val="20"/>
                <w:szCs w:val="20"/>
              </w:rPr>
            </w:pPr>
            <w:r>
              <w:rPr>
                <w:rFonts w:eastAsia="Times New Roman"/>
                <w:w w:val="97"/>
                <w:sz w:val="20"/>
                <w:szCs w:val="20"/>
              </w:rPr>
              <w:t>0,713</w:t>
            </w:r>
          </w:p>
        </w:tc>
        <w:tc>
          <w:tcPr>
            <w:tcW w:w="30" w:type="dxa"/>
            <w:vAlign w:val="bottom"/>
          </w:tcPr>
          <w:p w14:paraId="08B4E234" w14:textId="77777777" w:rsidR="00992061" w:rsidRDefault="00992061">
            <w:pPr>
              <w:rPr>
                <w:sz w:val="1"/>
                <w:szCs w:val="1"/>
              </w:rPr>
            </w:pPr>
          </w:p>
        </w:tc>
      </w:tr>
      <w:tr w:rsidR="00992061" w14:paraId="6B1240AF" w14:textId="77777777" w:rsidTr="00AF0AA0">
        <w:trPr>
          <w:trHeight w:val="115"/>
        </w:trPr>
        <w:tc>
          <w:tcPr>
            <w:tcW w:w="2000" w:type="dxa"/>
            <w:vMerge/>
            <w:tcBorders>
              <w:left w:val="single" w:sz="8" w:space="0" w:color="auto"/>
              <w:right w:val="single" w:sz="8" w:space="0" w:color="auto"/>
            </w:tcBorders>
            <w:vAlign w:val="bottom"/>
          </w:tcPr>
          <w:p w14:paraId="7E47DB7A" w14:textId="77777777" w:rsidR="00992061" w:rsidRDefault="00992061">
            <w:pPr>
              <w:rPr>
                <w:sz w:val="10"/>
                <w:szCs w:val="10"/>
              </w:rPr>
            </w:pPr>
          </w:p>
        </w:tc>
        <w:tc>
          <w:tcPr>
            <w:tcW w:w="1099" w:type="dxa"/>
            <w:tcBorders>
              <w:right w:val="single" w:sz="8" w:space="0" w:color="auto"/>
            </w:tcBorders>
            <w:vAlign w:val="bottom"/>
          </w:tcPr>
          <w:p w14:paraId="25BBCFF5" w14:textId="77777777" w:rsidR="00992061" w:rsidRDefault="00992061">
            <w:pPr>
              <w:rPr>
                <w:sz w:val="10"/>
                <w:szCs w:val="10"/>
              </w:rPr>
            </w:pPr>
          </w:p>
        </w:tc>
        <w:tc>
          <w:tcPr>
            <w:tcW w:w="881" w:type="dxa"/>
            <w:tcBorders>
              <w:right w:val="single" w:sz="8" w:space="0" w:color="auto"/>
            </w:tcBorders>
            <w:vAlign w:val="bottom"/>
          </w:tcPr>
          <w:p w14:paraId="3125AE91" w14:textId="77777777" w:rsidR="00992061" w:rsidRDefault="00992061">
            <w:pPr>
              <w:rPr>
                <w:sz w:val="10"/>
                <w:szCs w:val="10"/>
              </w:rPr>
            </w:pPr>
          </w:p>
        </w:tc>
        <w:tc>
          <w:tcPr>
            <w:tcW w:w="1000" w:type="dxa"/>
            <w:tcBorders>
              <w:right w:val="single" w:sz="8" w:space="0" w:color="auto"/>
            </w:tcBorders>
            <w:vAlign w:val="bottom"/>
          </w:tcPr>
          <w:p w14:paraId="0DA6ABDF" w14:textId="77777777" w:rsidR="00992061" w:rsidRDefault="00992061">
            <w:pPr>
              <w:rPr>
                <w:sz w:val="10"/>
                <w:szCs w:val="10"/>
              </w:rPr>
            </w:pPr>
          </w:p>
        </w:tc>
        <w:tc>
          <w:tcPr>
            <w:tcW w:w="1120" w:type="dxa"/>
            <w:tcBorders>
              <w:right w:val="single" w:sz="8" w:space="0" w:color="auto"/>
            </w:tcBorders>
            <w:vAlign w:val="bottom"/>
          </w:tcPr>
          <w:p w14:paraId="4E1C5085" w14:textId="77777777" w:rsidR="00992061" w:rsidRDefault="00992061">
            <w:pPr>
              <w:rPr>
                <w:sz w:val="10"/>
                <w:szCs w:val="10"/>
              </w:rPr>
            </w:pPr>
          </w:p>
        </w:tc>
        <w:tc>
          <w:tcPr>
            <w:tcW w:w="80" w:type="dxa"/>
            <w:vAlign w:val="bottom"/>
          </w:tcPr>
          <w:p w14:paraId="2F49D53C" w14:textId="77777777" w:rsidR="00992061" w:rsidRDefault="00992061">
            <w:pPr>
              <w:rPr>
                <w:sz w:val="10"/>
                <w:szCs w:val="10"/>
              </w:rPr>
            </w:pPr>
          </w:p>
        </w:tc>
        <w:tc>
          <w:tcPr>
            <w:tcW w:w="500" w:type="dxa"/>
            <w:vMerge/>
            <w:tcBorders>
              <w:right w:val="single" w:sz="8" w:space="0" w:color="auto"/>
            </w:tcBorders>
            <w:vAlign w:val="bottom"/>
          </w:tcPr>
          <w:p w14:paraId="3E862D3F" w14:textId="77777777" w:rsidR="00992061" w:rsidRDefault="00992061">
            <w:pPr>
              <w:rPr>
                <w:sz w:val="10"/>
                <w:szCs w:val="10"/>
              </w:rPr>
            </w:pPr>
          </w:p>
        </w:tc>
        <w:tc>
          <w:tcPr>
            <w:tcW w:w="1120" w:type="dxa"/>
            <w:vMerge/>
            <w:tcBorders>
              <w:right w:val="single" w:sz="8" w:space="0" w:color="auto"/>
            </w:tcBorders>
            <w:vAlign w:val="bottom"/>
          </w:tcPr>
          <w:p w14:paraId="3C82AA8B" w14:textId="77777777" w:rsidR="00992061" w:rsidRDefault="00992061">
            <w:pPr>
              <w:rPr>
                <w:sz w:val="10"/>
                <w:szCs w:val="10"/>
              </w:rPr>
            </w:pPr>
          </w:p>
        </w:tc>
        <w:tc>
          <w:tcPr>
            <w:tcW w:w="1160" w:type="dxa"/>
            <w:vMerge/>
            <w:tcBorders>
              <w:right w:val="single" w:sz="8" w:space="0" w:color="auto"/>
            </w:tcBorders>
            <w:vAlign w:val="bottom"/>
          </w:tcPr>
          <w:p w14:paraId="7BD57C78" w14:textId="77777777" w:rsidR="00992061" w:rsidRDefault="00992061">
            <w:pPr>
              <w:rPr>
                <w:sz w:val="10"/>
                <w:szCs w:val="10"/>
              </w:rPr>
            </w:pPr>
          </w:p>
        </w:tc>
        <w:tc>
          <w:tcPr>
            <w:tcW w:w="30" w:type="dxa"/>
            <w:vAlign w:val="bottom"/>
          </w:tcPr>
          <w:p w14:paraId="48150FF7" w14:textId="77777777" w:rsidR="00992061" w:rsidRDefault="00992061">
            <w:pPr>
              <w:rPr>
                <w:sz w:val="1"/>
                <w:szCs w:val="1"/>
              </w:rPr>
            </w:pPr>
          </w:p>
        </w:tc>
      </w:tr>
      <w:tr w:rsidR="00992061" w14:paraId="41D17024" w14:textId="77777777" w:rsidTr="00AF0AA0">
        <w:trPr>
          <w:trHeight w:val="22"/>
        </w:trPr>
        <w:tc>
          <w:tcPr>
            <w:tcW w:w="2000" w:type="dxa"/>
            <w:tcBorders>
              <w:left w:val="single" w:sz="8" w:space="0" w:color="auto"/>
              <w:bottom w:val="single" w:sz="8" w:space="0" w:color="auto"/>
              <w:right w:val="single" w:sz="8" w:space="0" w:color="auto"/>
            </w:tcBorders>
            <w:vAlign w:val="bottom"/>
          </w:tcPr>
          <w:p w14:paraId="36485E21" w14:textId="77777777" w:rsidR="00992061" w:rsidRDefault="00992061">
            <w:pPr>
              <w:spacing w:line="20" w:lineRule="exact"/>
              <w:rPr>
                <w:sz w:val="1"/>
                <w:szCs w:val="1"/>
              </w:rPr>
            </w:pPr>
          </w:p>
        </w:tc>
        <w:tc>
          <w:tcPr>
            <w:tcW w:w="1099" w:type="dxa"/>
            <w:tcBorders>
              <w:bottom w:val="single" w:sz="8" w:space="0" w:color="auto"/>
              <w:right w:val="single" w:sz="8" w:space="0" w:color="auto"/>
            </w:tcBorders>
            <w:vAlign w:val="bottom"/>
          </w:tcPr>
          <w:p w14:paraId="114FE8D7" w14:textId="77777777" w:rsidR="00992061" w:rsidRDefault="00992061">
            <w:pPr>
              <w:spacing w:line="20" w:lineRule="exact"/>
              <w:rPr>
                <w:sz w:val="1"/>
                <w:szCs w:val="1"/>
              </w:rPr>
            </w:pPr>
          </w:p>
        </w:tc>
        <w:tc>
          <w:tcPr>
            <w:tcW w:w="881" w:type="dxa"/>
            <w:tcBorders>
              <w:bottom w:val="single" w:sz="8" w:space="0" w:color="auto"/>
              <w:right w:val="single" w:sz="8" w:space="0" w:color="auto"/>
            </w:tcBorders>
            <w:vAlign w:val="bottom"/>
          </w:tcPr>
          <w:p w14:paraId="41A43335" w14:textId="77777777" w:rsidR="00992061" w:rsidRDefault="00992061">
            <w:pPr>
              <w:spacing w:line="20" w:lineRule="exact"/>
              <w:rPr>
                <w:sz w:val="1"/>
                <w:szCs w:val="1"/>
              </w:rPr>
            </w:pPr>
          </w:p>
        </w:tc>
        <w:tc>
          <w:tcPr>
            <w:tcW w:w="1000" w:type="dxa"/>
            <w:tcBorders>
              <w:bottom w:val="single" w:sz="8" w:space="0" w:color="auto"/>
              <w:right w:val="single" w:sz="8" w:space="0" w:color="auto"/>
            </w:tcBorders>
            <w:vAlign w:val="bottom"/>
          </w:tcPr>
          <w:p w14:paraId="534D4D72" w14:textId="77777777" w:rsidR="00992061" w:rsidRDefault="00992061">
            <w:pPr>
              <w:spacing w:line="20" w:lineRule="exact"/>
              <w:rPr>
                <w:sz w:val="1"/>
                <w:szCs w:val="1"/>
              </w:rPr>
            </w:pPr>
          </w:p>
        </w:tc>
        <w:tc>
          <w:tcPr>
            <w:tcW w:w="1120" w:type="dxa"/>
            <w:tcBorders>
              <w:bottom w:val="single" w:sz="8" w:space="0" w:color="auto"/>
              <w:right w:val="single" w:sz="8" w:space="0" w:color="auto"/>
            </w:tcBorders>
            <w:vAlign w:val="bottom"/>
          </w:tcPr>
          <w:p w14:paraId="57A0FC68" w14:textId="77777777" w:rsidR="00992061" w:rsidRDefault="00992061">
            <w:pPr>
              <w:spacing w:line="20" w:lineRule="exact"/>
              <w:rPr>
                <w:sz w:val="1"/>
                <w:szCs w:val="1"/>
              </w:rPr>
            </w:pPr>
          </w:p>
        </w:tc>
        <w:tc>
          <w:tcPr>
            <w:tcW w:w="80" w:type="dxa"/>
            <w:vAlign w:val="bottom"/>
          </w:tcPr>
          <w:p w14:paraId="5600147F" w14:textId="77777777" w:rsidR="00992061" w:rsidRDefault="00992061">
            <w:pPr>
              <w:spacing w:line="20" w:lineRule="exact"/>
              <w:rPr>
                <w:sz w:val="1"/>
                <w:szCs w:val="1"/>
              </w:rPr>
            </w:pPr>
          </w:p>
        </w:tc>
        <w:tc>
          <w:tcPr>
            <w:tcW w:w="500" w:type="dxa"/>
            <w:vMerge/>
            <w:tcBorders>
              <w:right w:val="single" w:sz="8" w:space="0" w:color="auto"/>
            </w:tcBorders>
            <w:vAlign w:val="bottom"/>
          </w:tcPr>
          <w:p w14:paraId="5C1F297F" w14:textId="77777777" w:rsidR="00992061" w:rsidRDefault="00992061">
            <w:pPr>
              <w:spacing w:line="20" w:lineRule="exact"/>
              <w:rPr>
                <w:sz w:val="1"/>
                <w:szCs w:val="1"/>
              </w:rPr>
            </w:pPr>
          </w:p>
        </w:tc>
        <w:tc>
          <w:tcPr>
            <w:tcW w:w="1120" w:type="dxa"/>
            <w:vMerge/>
            <w:tcBorders>
              <w:right w:val="single" w:sz="8" w:space="0" w:color="auto"/>
            </w:tcBorders>
            <w:vAlign w:val="bottom"/>
          </w:tcPr>
          <w:p w14:paraId="3287D36A" w14:textId="77777777" w:rsidR="00992061" w:rsidRDefault="00992061">
            <w:pPr>
              <w:spacing w:line="20" w:lineRule="exact"/>
              <w:rPr>
                <w:sz w:val="1"/>
                <w:szCs w:val="1"/>
              </w:rPr>
            </w:pPr>
          </w:p>
        </w:tc>
        <w:tc>
          <w:tcPr>
            <w:tcW w:w="1160" w:type="dxa"/>
            <w:vMerge/>
            <w:tcBorders>
              <w:right w:val="single" w:sz="8" w:space="0" w:color="auto"/>
            </w:tcBorders>
            <w:vAlign w:val="bottom"/>
          </w:tcPr>
          <w:p w14:paraId="1FC66107" w14:textId="77777777" w:rsidR="00992061" w:rsidRDefault="00992061">
            <w:pPr>
              <w:spacing w:line="20" w:lineRule="exact"/>
              <w:rPr>
                <w:sz w:val="1"/>
                <w:szCs w:val="1"/>
              </w:rPr>
            </w:pPr>
          </w:p>
        </w:tc>
        <w:tc>
          <w:tcPr>
            <w:tcW w:w="30" w:type="dxa"/>
            <w:vAlign w:val="bottom"/>
          </w:tcPr>
          <w:p w14:paraId="18850304" w14:textId="77777777" w:rsidR="00992061" w:rsidRDefault="00992061">
            <w:pPr>
              <w:rPr>
                <w:sz w:val="1"/>
                <w:szCs w:val="1"/>
              </w:rPr>
            </w:pPr>
          </w:p>
        </w:tc>
      </w:tr>
      <w:tr w:rsidR="00992061" w14:paraId="67799576" w14:textId="77777777" w:rsidTr="00AF0AA0">
        <w:trPr>
          <w:trHeight w:val="107"/>
        </w:trPr>
        <w:tc>
          <w:tcPr>
            <w:tcW w:w="2000" w:type="dxa"/>
            <w:vMerge w:val="restart"/>
            <w:tcBorders>
              <w:left w:val="single" w:sz="8" w:space="0" w:color="auto"/>
              <w:right w:val="single" w:sz="8" w:space="0" w:color="auto"/>
            </w:tcBorders>
            <w:vAlign w:val="bottom"/>
          </w:tcPr>
          <w:p w14:paraId="1AC7FE0E" w14:textId="77777777" w:rsidR="00992061" w:rsidRDefault="00D1402E">
            <w:pPr>
              <w:spacing w:line="222" w:lineRule="exact"/>
              <w:ind w:left="60"/>
              <w:rPr>
                <w:sz w:val="20"/>
                <w:szCs w:val="20"/>
              </w:rPr>
            </w:pPr>
            <w:r>
              <w:rPr>
                <w:rFonts w:eastAsia="Times New Roman"/>
                <w:sz w:val="20"/>
                <w:szCs w:val="20"/>
              </w:rPr>
              <w:t>Средна обща</w:t>
            </w:r>
          </w:p>
        </w:tc>
        <w:tc>
          <w:tcPr>
            <w:tcW w:w="1099" w:type="dxa"/>
            <w:vMerge w:val="restart"/>
            <w:tcBorders>
              <w:right w:val="single" w:sz="8" w:space="0" w:color="auto"/>
            </w:tcBorders>
            <w:vAlign w:val="bottom"/>
          </w:tcPr>
          <w:p w14:paraId="056A24EC" w14:textId="77777777" w:rsidR="00992061" w:rsidRDefault="00D1402E">
            <w:pPr>
              <w:jc w:val="center"/>
              <w:rPr>
                <w:sz w:val="20"/>
                <w:szCs w:val="20"/>
              </w:rPr>
            </w:pPr>
            <w:r>
              <w:rPr>
                <w:rFonts w:eastAsia="Times New Roman"/>
                <w:sz w:val="20"/>
                <w:szCs w:val="20"/>
              </w:rPr>
              <w:t>10,7</w:t>
            </w:r>
          </w:p>
        </w:tc>
        <w:tc>
          <w:tcPr>
            <w:tcW w:w="881" w:type="dxa"/>
            <w:vMerge w:val="restart"/>
            <w:tcBorders>
              <w:right w:val="single" w:sz="8" w:space="0" w:color="auto"/>
            </w:tcBorders>
            <w:vAlign w:val="bottom"/>
          </w:tcPr>
          <w:p w14:paraId="5417304C" w14:textId="77777777" w:rsidR="00992061" w:rsidRDefault="00D1402E">
            <w:pPr>
              <w:jc w:val="center"/>
              <w:rPr>
                <w:sz w:val="20"/>
                <w:szCs w:val="20"/>
              </w:rPr>
            </w:pPr>
            <w:r>
              <w:rPr>
                <w:rFonts w:eastAsia="Times New Roman"/>
                <w:w w:val="97"/>
                <w:sz w:val="20"/>
                <w:szCs w:val="20"/>
              </w:rPr>
              <w:t>10,5</w:t>
            </w:r>
          </w:p>
        </w:tc>
        <w:tc>
          <w:tcPr>
            <w:tcW w:w="1000" w:type="dxa"/>
            <w:vMerge w:val="restart"/>
            <w:tcBorders>
              <w:right w:val="single" w:sz="8" w:space="0" w:color="auto"/>
            </w:tcBorders>
            <w:vAlign w:val="bottom"/>
          </w:tcPr>
          <w:p w14:paraId="18A4C727" w14:textId="77777777" w:rsidR="00992061" w:rsidRDefault="00D1402E">
            <w:pPr>
              <w:jc w:val="center"/>
              <w:rPr>
                <w:sz w:val="20"/>
                <w:szCs w:val="20"/>
              </w:rPr>
            </w:pPr>
            <w:r>
              <w:rPr>
                <w:rFonts w:eastAsia="Times New Roman"/>
                <w:sz w:val="20"/>
                <w:szCs w:val="20"/>
              </w:rPr>
              <w:t>0,19</w:t>
            </w:r>
          </w:p>
        </w:tc>
        <w:tc>
          <w:tcPr>
            <w:tcW w:w="1120" w:type="dxa"/>
            <w:vMerge w:val="restart"/>
            <w:tcBorders>
              <w:right w:val="single" w:sz="8" w:space="0" w:color="auto"/>
            </w:tcBorders>
            <w:vAlign w:val="bottom"/>
          </w:tcPr>
          <w:p w14:paraId="0478DA18" w14:textId="77777777" w:rsidR="00992061" w:rsidRDefault="00D1402E">
            <w:pPr>
              <w:jc w:val="center"/>
              <w:rPr>
                <w:sz w:val="20"/>
                <w:szCs w:val="20"/>
              </w:rPr>
            </w:pPr>
            <w:r>
              <w:rPr>
                <w:rFonts w:eastAsia="Times New Roman"/>
                <w:sz w:val="20"/>
                <w:szCs w:val="20"/>
              </w:rPr>
              <w:t>-2,43-2,69</w:t>
            </w:r>
          </w:p>
        </w:tc>
        <w:tc>
          <w:tcPr>
            <w:tcW w:w="80" w:type="dxa"/>
            <w:vAlign w:val="bottom"/>
          </w:tcPr>
          <w:p w14:paraId="2B5383AA" w14:textId="77777777" w:rsidR="00992061" w:rsidRDefault="00992061">
            <w:pPr>
              <w:rPr>
                <w:sz w:val="9"/>
                <w:szCs w:val="9"/>
              </w:rPr>
            </w:pPr>
          </w:p>
        </w:tc>
        <w:tc>
          <w:tcPr>
            <w:tcW w:w="500" w:type="dxa"/>
            <w:vMerge/>
            <w:tcBorders>
              <w:right w:val="single" w:sz="8" w:space="0" w:color="auto"/>
            </w:tcBorders>
            <w:vAlign w:val="bottom"/>
          </w:tcPr>
          <w:p w14:paraId="3DEEEC65" w14:textId="77777777" w:rsidR="00992061" w:rsidRDefault="00992061">
            <w:pPr>
              <w:rPr>
                <w:sz w:val="9"/>
                <w:szCs w:val="9"/>
              </w:rPr>
            </w:pPr>
          </w:p>
        </w:tc>
        <w:tc>
          <w:tcPr>
            <w:tcW w:w="1120" w:type="dxa"/>
            <w:vMerge/>
            <w:tcBorders>
              <w:right w:val="single" w:sz="8" w:space="0" w:color="auto"/>
            </w:tcBorders>
            <w:vAlign w:val="bottom"/>
          </w:tcPr>
          <w:p w14:paraId="11EFBE27" w14:textId="77777777" w:rsidR="00992061" w:rsidRDefault="00992061">
            <w:pPr>
              <w:rPr>
                <w:sz w:val="9"/>
                <w:szCs w:val="9"/>
              </w:rPr>
            </w:pPr>
          </w:p>
        </w:tc>
        <w:tc>
          <w:tcPr>
            <w:tcW w:w="1160" w:type="dxa"/>
            <w:vMerge/>
            <w:tcBorders>
              <w:right w:val="single" w:sz="8" w:space="0" w:color="auto"/>
            </w:tcBorders>
            <w:vAlign w:val="bottom"/>
          </w:tcPr>
          <w:p w14:paraId="355EA161" w14:textId="77777777" w:rsidR="00992061" w:rsidRDefault="00992061">
            <w:pPr>
              <w:rPr>
                <w:sz w:val="9"/>
                <w:szCs w:val="9"/>
              </w:rPr>
            </w:pPr>
          </w:p>
        </w:tc>
        <w:tc>
          <w:tcPr>
            <w:tcW w:w="30" w:type="dxa"/>
            <w:vAlign w:val="bottom"/>
          </w:tcPr>
          <w:p w14:paraId="0A61DD75" w14:textId="77777777" w:rsidR="00992061" w:rsidRDefault="00992061">
            <w:pPr>
              <w:rPr>
                <w:sz w:val="1"/>
                <w:szCs w:val="1"/>
              </w:rPr>
            </w:pPr>
          </w:p>
        </w:tc>
      </w:tr>
      <w:tr w:rsidR="00992061" w14:paraId="229D9E95" w14:textId="77777777" w:rsidTr="00AF0AA0">
        <w:trPr>
          <w:trHeight w:val="114"/>
        </w:trPr>
        <w:tc>
          <w:tcPr>
            <w:tcW w:w="2000" w:type="dxa"/>
            <w:vMerge/>
            <w:tcBorders>
              <w:left w:val="single" w:sz="8" w:space="0" w:color="auto"/>
              <w:right w:val="single" w:sz="8" w:space="0" w:color="auto"/>
            </w:tcBorders>
            <w:vAlign w:val="bottom"/>
          </w:tcPr>
          <w:p w14:paraId="3E67C667" w14:textId="77777777" w:rsidR="00992061" w:rsidRDefault="00992061">
            <w:pPr>
              <w:rPr>
                <w:sz w:val="9"/>
                <w:szCs w:val="9"/>
              </w:rPr>
            </w:pPr>
          </w:p>
        </w:tc>
        <w:tc>
          <w:tcPr>
            <w:tcW w:w="1099" w:type="dxa"/>
            <w:vMerge/>
            <w:tcBorders>
              <w:right w:val="single" w:sz="8" w:space="0" w:color="auto"/>
            </w:tcBorders>
            <w:vAlign w:val="bottom"/>
          </w:tcPr>
          <w:p w14:paraId="2E3344E5" w14:textId="77777777" w:rsidR="00992061" w:rsidRDefault="00992061">
            <w:pPr>
              <w:rPr>
                <w:sz w:val="9"/>
                <w:szCs w:val="9"/>
              </w:rPr>
            </w:pPr>
          </w:p>
        </w:tc>
        <w:tc>
          <w:tcPr>
            <w:tcW w:w="881" w:type="dxa"/>
            <w:vMerge/>
            <w:tcBorders>
              <w:right w:val="single" w:sz="8" w:space="0" w:color="auto"/>
            </w:tcBorders>
            <w:vAlign w:val="bottom"/>
          </w:tcPr>
          <w:p w14:paraId="7FE6D91C" w14:textId="77777777" w:rsidR="00992061" w:rsidRDefault="00992061">
            <w:pPr>
              <w:rPr>
                <w:sz w:val="9"/>
                <w:szCs w:val="9"/>
              </w:rPr>
            </w:pPr>
          </w:p>
        </w:tc>
        <w:tc>
          <w:tcPr>
            <w:tcW w:w="1000" w:type="dxa"/>
            <w:vMerge/>
            <w:tcBorders>
              <w:right w:val="single" w:sz="8" w:space="0" w:color="auto"/>
            </w:tcBorders>
            <w:vAlign w:val="bottom"/>
          </w:tcPr>
          <w:p w14:paraId="5623F1CB" w14:textId="77777777" w:rsidR="00992061" w:rsidRDefault="00992061">
            <w:pPr>
              <w:rPr>
                <w:sz w:val="9"/>
                <w:szCs w:val="9"/>
              </w:rPr>
            </w:pPr>
          </w:p>
        </w:tc>
        <w:tc>
          <w:tcPr>
            <w:tcW w:w="1120" w:type="dxa"/>
            <w:vMerge/>
            <w:tcBorders>
              <w:right w:val="single" w:sz="8" w:space="0" w:color="auto"/>
            </w:tcBorders>
            <w:vAlign w:val="bottom"/>
          </w:tcPr>
          <w:p w14:paraId="3BFFE4DE" w14:textId="77777777" w:rsidR="00992061" w:rsidRDefault="00992061">
            <w:pPr>
              <w:rPr>
                <w:sz w:val="9"/>
                <w:szCs w:val="9"/>
              </w:rPr>
            </w:pPr>
          </w:p>
        </w:tc>
        <w:tc>
          <w:tcPr>
            <w:tcW w:w="80" w:type="dxa"/>
            <w:vAlign w:val="bottom"/>
          </w:tcPr>
          <w:p w14:paraId="62FBF69B" w14:textId="77777777" w:rsidR="00992061" w:rsidRDefault="00992061">
            <w:pPr>
              <w:rPr>
                <w:sz w:val="9"/>
                <w:szCs w:val="9"/>
              </w:rPr>
            </w:pPr>
          </w:p>
        </w:tc>
        <w:tc>
          <w:tcPr>
            <w:tcW w:w="500" w:type="dxa"/>
            <w:tcBorders>
              <w:right w:val="single" w:sz="8" w:space="0" w:color="auto"/>
            </w:tcBorders>
            <w:vAlign w:val="bottom"/>
          </w:tcPr>
          <w:p w14:paraId="77308FF7" w14:textId="77777777" w:rsidR="00992061" w:rsidRDefault="00992061">
            <w:pPr>
              <w:rPr>
                <w:sz w:val="9"/>
                <w:szCs w:val="9"/>
              </w:rPr>
            </w:pPr>
          </w:p>
        </w:tc>
        <w:tc>
          <w:tcPr>
            <w:tcW w:w="1120" w:type="dxa"/>
            <w:tcBorders>
              <w:right w:val="single" w:sz="8" w:space="0" w:color="auto"/>
            </w:tcBorders>
            <w:vAlign w:val="bottom"/>
          </w:tcPr>
          <w:p w14:paraId="1D0FFA02" w14:textId="77777777" w:rsidR="00992061" w:rsidRDefault="00992061">
            <w:pPr>
              <w:rPr>
                <w:sz w:val="9"/>
                <w:szCs w:val="9"/>
              </w:rPr>
            </w:pPr>
          </w:p>
        </w:tc>
        <w:tc>
          <w:tcPr>
            <w:tcW w:w="1160" w:type="dxa"/>
            <w:tcBorders>
              <w:right w:val="single" w:sz="8" w:space="0" w:color="auto"/>
            </w:tcBorders>
            <w:vAlign w:val="bottom"/>
          </w:tcPr>
          <w:p w14:paraId="08F6DB33" w14:textId="77777777" w:rsidR="00992061" w:rsidRDefault="00992061">
            <w:pPr>
              <w:rPr>
                <w:sz w:val="9"/>
                <w:szCs w:val="9"/>
              </w:rPr>
            </w:pPr>
          </w:p>
        </w:tc>
        <w:tc>
          <w:tcPr>
            <w:tcW w:w="30" w:type="dxa"/>
            <w:vAlign w:val="bottom"/>
          </w:tcPr>
          <w:p w14:paraId="0143D70C" w14:textId="77777777" w:rsidR="00992061" w:rsidRDefault="00992061">
            <w:pPr>
              <w:rPr>
                <w:sz w:val="1"/>
                <w:szCs w:val="1"/>
              </w:rPr>
            </w:pPr>
          </w:p>
        </w:tc>
      </w:tr>
      <w:tr w:rsidR="00992061" w14:paraId="620F5359" w14:textId="77777777" w:rsidTr="00AF0AA0">
        <w:trPr>
          <w:trHeight w:val="154"/>
        </w:trPr>
        <w:tc>
          <w:tcPr>
            <w:tcW w:w="2000" w:type="dxa"/>
            <w:vMerge w:val="restart"/>
            <w:tcBorders>
              <w:left w:val="single" w:sz="8" w:space="0" w:color="auto"/>
              <w:right w:val="single" w:sz="8" w:space="0" w:color="auto"/>
            </w:tcBorders>
            <w:vAlign w:val="bottom"/>
          </w:tcPr>
          <w:p w14:paraId="13D98EF4" w14:textId="77777777" w:rsidR="00992061" w:rsidRDefault="00D1402E">
            <w:pPr>
              <w:ind w:left="60"/>
              <w:rPr>
                <w:sz w:val="20"/>
                <w:szCs w:val="20"/>
              </w:rPr>
            </w:pPr>
            <w:r>
              <w:rPr>
                <w:rFonts w:eastAsia="Times New Roman"/>
                <w:sz w:val="20"/>
                <w:szCs w:val="20"/>
              </w:rPr>
              <w:t>преживяемост</w:t>
            </w:r>
          </w:p>
        </w:tc>
        <w:tc>
          <w:tcPr>
            <w:tcW w:w="1099" w:type="dxa"/>
            <w:vMerge/>
            <w:tcBorders>
              <w:right w:val="single" w:sz="8" w:space="0" w:color="auto"/>
            </w:tcBorders>
            <w:vAlign w:val="bottom"/>
          </w:tcPr>
          <w:p w14:paraId="1C4DD6EF" w14:textId="77777777" w:rsidR="00992061" w:rsidRDefault="00992061">
            <w:pPr>
              <w:rPr>
                <w:sz w:val="13"/>
                <w:szCs w:val="13"/>
              </w:rPr>
            </w:pPr>
          </w:p>
        </w:tc>
        <w:tc>
          <w:tcPr>
            <w:tcW w:w="881" w:type="dxa"/>
            <w:vMerge/>
            <w:tcBorders>
              <w:right w:val="single" w:sz="8" w:space="0" w:color="auto"/>
            </w:tcBorders>
            <w:vAlign w:val="bottom"/>
          </w:tcPr>
          <w:p w14:paraId="713B5810" w14:textId="77777777" w:rsidR="00992061" w:rsidRDefault="00992061">
            <w:pPr>
              <w:rPr>
                <w:sz w:val="13"/>
                <w:szCs w:val="13"/>
              </w:rPr>
            </w:pPr>
          </w:p>
        </w:tc>
        <w:tc>
          <w:tcPr>
            <w:tcW w:w="1000" w:type="dxa"/>
            <w:vMerge/>
            <w:tcBorders>
              <w:right w:val="single" w:sz="8" w:space="0" w:color="auto"/>
            </w:tcBorders>
            <w:vAlign w:val="bottom"/>
          </w:tcPr>
          <w:p w14:paraId="0CAE6014" w14:textId="77777777" w:rsidR="00992061" w:rsidRDefault="00992061">
            <w:pPr>
              <w:rPr>
                <w:sz w:val="13"/>
                <w:szCs w:val="13"/>
              </w:rPr>
            </w:pPr>
          </w:p>
        </w:tc>
        <w:tc>
          <w:tcPr>
            <w:tcW w:w="1120" w:type="dxa"/>
            <w:vMerge/>
            <w:tcBorders>
              <w:right w:val="single" w:sz="8" w:space="0" w:color="auto"/>
            </w:tcBorders>
            <w:vAlign w:val="bottom"/>
          </w:tcPr>
          <w:p w14:paraId="18A89DAF" w14:textId="77777777" w:rsidR="00992061" w:rsidRDefault="00992061">
            <w:pPr>
              <w:rPr>
                <w:sz w:val="13"/>
                <w:szCs w:val="13"/>
              </w:rPr>
            </w:pPr>
          </w:p>
        </w:tc>
        <w:tc>
          <w:tcPr>
            <w:tcW w:w="80" w:type="dxa"/>
            <w:vAlign w:val="bottom"/>
          </w:tcPr>
          <w:p w14:paraId="17B601D1" w14:textId="77777777" w:rsidR="00992061" w:rsidRDefault="00992061">
            <w:pPr>
              <w:rPr>
                <w:sz w:val="13"/>
                <w:szCs w:val="13"/>
              </w:rPr>
            </w:pPr>
          </w:p>
        </w:tc>
        <w:tc>
          <w:tcPr>
            <w:tcW w:w="500" w:type="dxa"/>
            <w:tcBorders>
              <w:right w:val="single" w:sz="8" w:space="0" w:color="auto"/>
            </w:tcBorders>
            <w:vAlign w:val="bottom"/>
          </w:tcPr>
          <w:p w14:paraId="3C706E17" w14:textId="77777777" w:rsidR="00992061" w:rsidRDefault="00992061">
            <w:pPr>
              <w:rPr>
                <w:sz w:val="13"/>
                <w:szCs w:val="13"/>
              </w:rPr>
            </w:pPr>
          </w:p>
        </w:tc>
        <w:tc>
          <w:tcPr>
            <w:tcW w:w="1120" w:type="dxa"/>
            <w:tcBorders>
              <w:right w:val="single" w:sz="8" w:space="0" w:color="auto"/>
            </w:tcBorders>
            <w:vAlign w:val="bottom"/>
          </w:tcPr>
          <w:p w14:paraId="403C46EA" w14:textId="77777777" w:rsidR="00992061" w:rsidRDefault="00992061">
            <w:pPr>
              <w:rPr>
                <w:sz w:val="13"/>
                <w:szCs w:val="13"/>
              </w:rPr>
            </w:pPr>
          </w:p>
        </w:tc>
        <w:tc>
          <w:tcPr>
            <w:tcW w:w="1160" w:type="dxa"/>
            <w:tcBorders>
              <w:right w:val="single" w:sz="8" w:space="0" w:color="auto"/>
            </w:tcBorders>
            <w:vAlign w:val="bottom"/>
          </w:tcPr>
          <w:p w14:paraId="637961B0" w14:textId="77777777" w:rsidR="00992061" w:rsidRDefault="00992061">
            <w:pPr>
              <w:rPr>
                <w:sz w:val="13"/>
                <w:szCs w:val="13"/>
              </w:rPr>
            </w:pPr>
          </w:p>
        </w:tc>
        <w:tc>
          <w:tcPr>
            <w:tcW w:w="30" w:type="dxa"/>
            <w:vAlign w:val="bottom"/>
          </w:tcPr>
          <w:p w14:paraId="42A57F3E" w14:textId="77777777" w:rsidR="00992061" w:rsidRDefault="00992061">
            <w:pPr>
              <w:rPr>
                <w:sz w:val="1"/>
                <w:szCs w:val="1"/>
              </w:rPr>
            </w:pPr>
          </w:p>
        </w:tc>
      </w:tr>
      <w:tr w:rsidR="00992061" w14:paraId="0B305D7D" w14:textId="77777777" w:rsidTr="00AF0AA0">
        <w:trPr>
          <w:trHeight w:val="124"/>
        </w:trPr>
        <w:tc>
          <w:tcPr>
            <w:tcW w:w="2000" w:type="dxa"/>
            <w:vMerge/>
            <w:tcBorders>
              <w:left w:val="single" w:sz="8" w:space="0" w:color="auto"/>
              <w:right w:val="single" w:sz="8" w:space="0" w:color="auto"/>
            </w:tcBorders>
            <w:vAlign w:val="bottom"/>
          </w:tcPr>
          <w:p w14:paraId="00FD77C5" w14:textId="77777777" w:rsidR="00992061" w:rsidRDefault="00992061">
            <w:pPr>
              <w:rPr>
                <w:sz w:val="10"/>
                <w:szCs w:val="10"/>
              </w:rPr>
            </w:pPr>
          </w:p>
        </w:tc>
        <w:tc>
          <w:tcPr>
            <w:tcW w:w="1099" w:type="dxa"/>
            <w:tcBorders>
              <w:right w:val="single" w:sz="8" w:space="0" w:color="auto"/>
            </w:tcBorders>
            <w:vAlign w:val="bottom"/>
          </w:tcPr>
          <w:p w14:paraId="16E86C67" w14:textId="77777777" w:rsidR="00992061" w:rsidRDefault="00992061">
            <w:pPr>
              <w:rPr>
                <w:sz w:val="10"/>
                <w:szCs w:val="10"/>
              </w:rPr>
            </w:pPr>
          </w:p>
        </w:tc>
        <w:tc>
          <w:tcPr>
            <w:tcW w:w="881" w:type="dxa"/>
            <w:tcBorders>
              <w:right w:val="single" w:sz="8" w:space="0" w:color="auto"/>
            </w:tcBorders>
            <w:vAlign w:val="bottom"/>
          </w:tcPr>
          <w:p w14:paraId="6D9368DC" w14:textId="77777777" w:rsidR="00992061" w:rsidRDefault="00992061">
            <w:pPr>
              <w:rPr>
                <w:sz w:val="10"/>
                <w:szCs w:val="10"/>
              </w:rPr>
            </w:pPr>
          </w:p>
        </w:tc>
        <w:tc>
          <w:tcPr>
            <w:tcW w:w="1000" w:type="dxa"/>
            <w:tcBorders>
              <w:right w:val="single" w:sz="8" w:space="0" w:color="auto"/>
            </w:tcBorders>
            <w:vAlign w:val="bottom"/>
          </w:tcPr>
          <w:p w14:paraId="4B2AA32A" w14:textId="77777777" w:rsidR="00992061" w:rsidRDefault="00992061">
            <w:pPr>
              <w:rPr>
                <w:sz w:val="10"/>
                <w:szCs w:val="10"/>
              </w:rPr>
            </w:pPr>
          </w:p>
        </w:tc>
        <w:tc>
          <w:tcPr>
            <w:tcW w:w="1120" w:type="dxa"/>
            <w:tcBorders>
              <w:right w:val="single" w:sz="8" w:space="0" w:color="auto"/>
            </w:tcBorders>
            <w:vAlign w:val="bottom"/>
          </w:tcPr>
          <w:p w14:paraId="3DC25F65" w14:textId="77777777" w:rsidR="00992061" w:rsidRDefault="00992061">
            <w:pPr>
              <w:rPr>
                <w:sz w:val="10"/>
                <w:szCs w:val="10"/>
              </w:rPr>
            </w:pPr>
          </w:p>
        </w:tc>
        <w:tc>
          <w:tcPr>
            <w:tcW w:w="80" w:type="dxa"/>
            <w:vAlign w:val="bottom"/>
          </w:tcPr>
          <w:p w14:paraId="64D27710" w14:textId="77777777" w:rsidR="00992061" w:rsidRDefault="00992061">
            <w:pPr>
              <w:rPr>
                <w:sz w:val="10"/>
                <w:szCs w:val="10"/>
              </w:rPr>
            </w:pPr>
          </w:p>
        </w:tc>
        <w:tc>
          <w:tcPr>
            <w:tcW w:w="500" w:type="dxa"/>
            <w:tcBorders>
              <w:right w:val="single" w:sz="8" w:space="0" w:color="auto"/>
            </w:tcBorders>
            <w:vAlign w:val="bottom"/>
          </w:tcPr>
          <w:p w14:paraId="792E84B0" w14:textId="77777777" w:rsidR="00992061" w:rsidRDefault="00992061">
            <w:pPr>
              <w:rPr>
                <w:sz w:val="10"/>
                <w:szCs w:val="10"/>
              </w:rPr>
            </w:pPr>
          </w:p>
        </w:tc>
        <w:tc>
          <w:tcPr>
            <w:tcW w:w="1120" w:type="dxa"/>
            <w:tcBorders>
              <w:right w:val="single" w:sz="8" w:space="0" w:color="auto"/>
            </w:tcBorders>
            <w:vAlign w:val="bottom"/>
          </w:tcPr>
          <w:p w14:paraId="08A55904" w14:textId="77777777" w:rsidR="00992061" w:rsidRDefault="00992061">
            <w:pPr>
              <w:rPr>
                <w:sz w:val="10"/>
                <w:szCs w:val="10"/>
              </w:rPr>
            </w:pPr>
          </w:p>
        </w:tc>
        <w:tc>
          <w:tcPr>
            <w:tcW w:w="1160" w:type="dxa"/>
            <w:tcBorders>
              <w:right w:val="single" w:sz="8" w:space="0" w:color="auto"/>
            </w:tcBorders>
            <w:vAlign w:val="bottom"/>
          </w:tcPr>
          <w:p w14:paraId="4A549258" w14:textId="77777777" w:rsidR="00992061" w:rsidRDefault="00992061">
            <w:pPr>
              <w:rPr>
                <w:sz w:val="10"/>
                <w:szCs w:val="10"/>
              </w:rPr>
            </w:pPr>
          </w:p>
        </w:tc>
        <w:tc>
          <w:tcPr>
            <w:tcW w:w="30" w:type="dxa"/>
            <w:vAlign w:val="bottom"/>
          </w:tcPr>
          <w:p w14:paraId="297F1409" w14:textId="77777777" w:rsidR="00992061" w:rsidRDefault="00992061">
            <w:pPr>
              <w:rPr>
                <w:sz w:val="1"/>
                <w:szCs w:val="1"/>
              </w:rPr>
            </w:pPr>
          </w:p>
        </w:tc>
      </w:tr>
      <w:tr w:rsidR="00007066" w14:paraId="2C5DDA90" w14:textId="77777777" w:rsidTr="00AF0AA0">
        <w:trPr>
          <w:trHeight w:val="124"/>
        </w:trPr>
        <w:tc>
          <w:tcPr>
            <w:tcW w:w="2000" w:type="dxa"/>
            <w:tcBorders>
              <w:left w:val="single" w:sz="8" w:space="0" w:color="auto"/>
              <w:bottom w:val="single" w:sz="8" w:space="0" w:color="auto"/>
              <w:right w:val="single" w:sz="8" w:space="0" w:color="auto"/>
            </w:tcBorders>
            <w:vAlign w:val="bottom"/>
          </w:tcPr>
          <w:p w14:paraId="761AEA18" w14:textId="77777777" w:rsidR="00007066" w:rsidRDefault="00007066">
            <w:pPr>
              <w:rPr>
                <w:sz w:val="10"/>
                <w:szCs w:val="10"/>
              </w:rPr>
            </w:pPr>
          </w:p>
        </w:tc>
        <w:tc>
          <w:tcPr>
            <w:tcW w:w="1099" w:type="dxa"/>
            <w:tcBorders>
              <w:bottom w:val="single" w:sz="8" w:space="0" w:color="auto"/>
              <w:right w:val="single" w:sz="8" w:space="0" w:color="auto"/>
            </w:tcBorders>
            <w:vAlign w:val="bottom"/>
          </w:tcPr>
          <w:p w14:paraId="0193A2A5" w14:textId="77777777" w:rsidR="00007066" w:rsidRDefault="00007066">
            <w:pPr>
              <w:rPr>
                <w:sz w:val="10"/>
                <w:szCs w:val="10"/>
              </w:rPr>
            </w:pPr>
          </w:p>
        </w:tc>
        <w:tc>
          <w:tcPr>
            <w:tcW w:w="881" w:type="dxa"/>
            <w:tcBorders>
              <w:bottom w:val="single" w:sz="8" w:space="0" w:color="auto"/>
              <w:right w:val="single" w:sz="8" w:space="0" w:color="auto"/>
            </w:tcBorders>
            <w:vAlign w:val="bottom"/>
          </w:tcPr>
          <w:p w14:paraId="17D3343D" w14:textId="77777777" w:rsidR="00007066" w:rsidRDefault="00007066">
            <w:pPr>
              <w:rPr>
                <w:sz w:val="10"/>
                <w:szCs w:val="10"/>
              </w:rPr>
            </w:pPr>
          </w:p>
        </w:tc>
        <w:tc>
          <w:tcPr>
            <w:tcW w:w="1000" w:type="dxa"/>
            <w:tcBorders>
              <w:bottom w:val="single" w:sz="8" w:space="0" w:color="auto"/>
              <w:right w:val="single" w:sz="8" w:space="0" w:color="auto"/>
            </w:tcBorders>
            <w:vAlign w:val="bottom"/>
          </w:tcPr>
          <w:p w14:paraId="1C87C6A7" w14:textId="77777777" w:rsidR="00007066" w:rsidRDefault="00007066">
            <w:pPr>
              <w:rPr>
                <w:sz w:val="10"/>
                <w:szCs w:val="10"/>
              </w:rPr>
            </w:pPr>
          </w:p>
        </w:tc>
        <w:tc>
          <w:tcPr>
            <w:tcW w:w="1120" w:type="dxa"/>
            <w:tcBorders>
              <w:bottom w:val="single" w:sz="8" w:space="0" w:color="auto"/>
              <w:right w:val="single" w:sz="8" w:space="0" w:color="auto"/>
            </w:tcBorders>
            <w:vAlign w:val="bottom"/>
          </w:tcPr>
          <w:p w14:paraId="1FDCC661" w14:textId="77777777" w:rsidR="00007066" w:rsidRDefault="00007066">
            <w:pPr>
              <w:rPr>
                <w:sz w:val="10"/>
                <w:szCs w:val="10"/>
              </w:rPr>
            </w:pPr>
          </w:p>
        </w:tc>
        <w:tc>
          <w:tcPr>
            <w:tcW w:w="80" w:type="dxa"/>
            <w:tcBorders>
              <w:bottom w:val="single" w:sz="8" w:space="0" w:color="auto"/>
            </w:tcBorders>
            <w:vAlign w:val="bottom"/>
          </w:tcPr>
          <w:p w14:paraId="73B340ED" w14:textId="77777777" w:rsidR="00007066" w:rsidRDefault="00007066">
            <w:pPr>
              <w:rPr>
                <w:sz w:val="10"/>
                <w:szCs w:val="10"/>
              </w:rPr>
            </w:pPr>
          </w:p>
        </w:tc>
        <w:tc>
          <w:tcPr>
            <w:tcW w:w="500" w:type="dxa"/>
            <w:tcBorders>
              <w:bottom w:val="single" w:sz="8" w:space="0" w:color="auto"/>
              <w:right w:val="single" w:sz="8" w:space="0" w:color="auto"/>
            </w:tcBorders>
            <w:vAlign w:val="bottom"/>
          </w:tcPr>
          <w:p w14:paraId="3ECEC9CF" w14:textId="77777777" w:rsidR="00007066" w:rsidRDefault="00007066">
            <w:pPr>
              <w:rPr>
                <w:sz w:val="10"/>
                <w:szCs w:val="10"/>
              </w:rPr>
            </w:pPr>
          </w:p>
        </w:tc>
        <w:tc>
          <w:tcPr>
            <w:tcW w:w="1120" w:type="dxa"/>
            <w:tcBorders>
              <w:bottom w:val="single" w:sz="8" w:space="0" w:color="auto"/>
              <w:right w:val="single" w:sz="8" w:space="0" w:color="auto"/>
            </w:tcBorders>
            <w:vAlign w:val="bottom"/>
          </w:tcPr>
          <w:p w14:paraId="1E20D641" w14:textId="77777777" w:rsidR="00007066" w:rsidRDefault="00007066">
            <w:pPr>
              <w:rPr>
                <w:sz w:val="10"/>
                <w:szCs w:val="10"/>
              </w:rPr>
            </w:pPr>
          </w:p>
        </w:tc>
        <w:tc>
          <w:tcPr>
            <w:tcW w:w="1160" w:type="dxa"/>
            <w:tcBorders>
              <w:bottom w:val="single" w:sz="8" w:space="0" w:color="auto"/>
              <w:right w:val="single" w:sz="8" w:space="0" w:color="auto"/>
            </w:tcBorders>
            <w:vAlign w:val="bottom"/>
          </w:tcPr>
          <w:p w14:paraId="6CC83D19" w14:textId="77777777" w:rsidR="00007066" w:rsidRDefault="00007066">
            <w:pPr>
              <w:rPr>
                <w:sz w:val="10"/>
                <w:szCs w:val="10"/>
              </w:rPr>
            </w:pPr>
          </w:p>
        </w:tc>
        <w:tc>
          <w:tcPr>
            <w:tcW w:w="30" w:type="dxa"/>
            <w:vAlign w:val="bottom"/>
          </w:tcPr>
          <w:p w14:paraId="58DCDED8" w14:textId="77777777" w:rsidR="00007066" w:rsidRDefault="00007066">
            <w:pPr>
              <w:rPr>
                <w:sz w:val="1"/>
                <w:szCs w:val="1"/>
              </w:rPr>
            </w:pPr>
          </w:p>
        </w:tc>
      </w:tr>
    </w:tbl>
    <w:p w14:paraId="7EA4473F" w14:textId="1F8F89E1" w:rsidR="00992061" w:rsidRDefault="00992061">
      <w:pPr>
        <w:sectPr w:rsidR="00992061">
          <w:pgSz w:w="11900" w:h="16838"/>
          <w:pgMar w:top="1112" w:right="1440" w:bottom="212" w:left="1420" w:header="0" w:footer="0" w:gutter="0"/>
          <w:cols w:space="720" w:equalWidth="0">
            <w:col w:w="9049"/>
          </w:cols>
        </w:sectPr>
      </w:pPr>
    </w:p>
    <w:p w14:paraId="05ACCCDB" w14:textId="726517C6" w:rsidR="00992061" w:rsidRDefault="00600A6F">
      <w:pPr>
        <w:spacing w:line="200" w:lineRule="exact"/>
        <w:rPr>
          <w:sz w:val="20"/>
          <w:szCs w:val="20"/>
        </w:rPr>
      </w:pPr>
      <w:r>
        <w:rPr>
          <w:noProof/>
          <w:sz w:val="20"/>
          <w:szCs w:val="20"/>
          <w:lang w:val="bg-BG" w:eastAsia="bg-BG"/>
        </w:rPr>
        <w:drawing>
          <wp:anchor distT="0" distB="0" distL="114300" distR="114300" simplePos="0" relativeHeight="251659264" behindDoc="0" locked="0" layoutInCell="1" allowOverlap="1" wp14:anchorId="088F0A1D" wp14:editId="57E8F44D">
            <wp:simplePos x="0" y="0"/>
            <wp:positionH relativeFrom="margin">
              <wp:align>left</wp:align>
            </wp:positionH>
            <wp:positionV relativeFrom="paragraph">
              <wp:posOffset>129540</wp:posOffset>
            </wp:positionV>
            <wp:extent cx="4257675" cy="310896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verall survival erlotinib.jpg"/>
                    <pic:cNvPicPr/>
                  </pic:nvPicPr>
                  <pic:blipFill>
                    <a:blip r:embed="rId11">
                      <a:extLst>
                        <a:ext uri="{28A0092B-C50C-407E-A947-70E740481C1C}">
                          <a14:useLocalDpi xmlns:a14="http://schemas.microsoft.com/office/drawing/2010/main" val="0"/>
                        </a:ext>
                      </a:extLst>
                    </a:blip>
                    <a:stretch>
                      <a:fillRect/>
                    </a:stretch>
                  </pic:blipFill>
                  <pic:spPr>
                    <a:xfrm>
                      <a:off x="0" y="0"/>
                      <a:ext cx="4257675" cy="3108960"/>
                    </a:xfrm>
                    <a:prstGeom prst="rect">
                      <a:avLst/>
                    </a:prstGeom>
                  </pic:spPr>
                </pic:pic>
              </a:graphicData>
            </a:graphic>
            <wp14:sizeRelH relativeFrom="margin">
              <wp14:pctWidth>0</wp14:pctWidth>
            </wp14:sizeRelH>
            <wp14:sizeRelV relativeFrom="margin">
              <wp14:pctHeight>0</wp14:pctHeight>
            </wp14:sizeRelV>
          </wp:anchor>
        </w:drawing>
      </w:r>
    </w:p>
    <w:p w14:paraId="3C3A1894" w14:textId="77777777" w:rsidR="00992061" w:rsidRDefault="00992061">
      <w:pPr>
        <w:sectPr w:rsidR="00992061">
          <w:type w:val="continuous"/>
          <w:pgSz w:w="11900" w:h="16838"/>
          <w:pgMar w:top="1112" w:right="1440" w:bottom="212" w:left="1420" w:header="0" w:footer="0" w:gutter="0"/>
          <w:cols w:space="720" w:equalWidth="0">
            <w:col w:w="9049"/>
          </w:cols>
        </w:sectPr>
      </w:pPr>
    </w:p>
    <w:p w14:paraId="709D52ED" w14:textId="291765D5" w:rsidR="00992061" w:rsidRDefault="00B57F4B">
      <w:pPr>
        <w:spacing w:line="200" w:lineRule="exact"/>
        <w:rPr>
          <w:sz w:val="20"/>
          <w:szCs w:val="20"/>
        </w:rPr>
      </w:pPr>
      <w:bookmarkStart w:id="19" w:name="page22"/>
      <w:bookmarkEnd w:id="19"/>
      <w:r>
        <w:rPr>
          <w:noProof/>
          <w:sz w:val="20"/>
          <w:szCs w:val="20"/>
          <w:lang w:val="bg-BG" w:eastAsia="bg-BG"/>
        </w:rPr>
        <w:lastRenderedPageBreak/>
        <w:drawing>
          <wp:anchor distT="0" distB="0" distL="114300" distR="114300" simplePos="0" relativeHeight="251660288" behindDoc="0" locked="0" layoutInCell="1" allowOverlap="1" wp14:anchorId="7CEC811E" wp14:editId="198973D8">
            <wp:simplePos x="0" y="0"/>
            <wp:positionH relativeFrom="margin">
              <wp:align>left</wp:align>
            </wp:positionH>
            <wp:positionV relativeFrom="paragraph">
              <wp:posOffset>236220</wp:posOffset>
            </wp:positionV>
            <wp:extent cx="4363085" cy="319468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verall erlotinib metastases.jpg"/>
                    <pic:cNvPicPr/>
                  </pic:nvPicPr>
                  <pic:blipFill>
                    <a:blip r:embed="rId12">
                      <a:extLst>
                        <a:ext uri="{28A0092B-C50C-407E-A947-70E740481C1C}">
                          <a14:useLocalDpi xmlns:a14="http://schemas.microsoft.com/office/drawing/2010/main" val="0"/>
                        </a:ext>
                      </a:extLst>
                    </a:blip>
                    <a:stretch>
                      <a:fillRect/>
                    </a:stretch>
                  </pic:blipFill>
                  <pic:spPr>
                    <a:xfrm>
                      <a:off x="0" y="0"/>
                      <a:ext cx="4363085" cy="3194685"/>
                    </a:xfrm>
                    <a:prstGeom prst="rect">
                      <a:avLst/>
                    </a:prstGeom>
                  </pic:spPr>
                </pic:pic>
              </a:graphicData>
            </a:graphic>
            <wp14:sizeRelH relativeFrom="margin">
              <wp14:pctWidth>0</wp14:pctWidth>
            </wp14:sizeRelH>
            <wp14:sizeRelV relativeFrom="margin">
              <wp14:pctHeight>0</wp14:pctHeight>
            </wp14:sizeRelV>
          </wp:anchor>
        </w:drawing>
      </w:r>
    </w:p>
    <w:p w14:paraId="1351F147" w14:textId="0531A4F2" w:rsidR="00992061" w:rsidRDefault="00D1402E" w:rsidP="00007066">
      <w:pPr>
        <w:spacing w:line="253" w:lineRule="auto"/>
        <w:ind w:right="-599"/>
        <w:rPr>
          <w:sz w:val="20"/>
          <w:szCs w:val="20"/>
        </w:rPr>
      </w:pPr>
      <w:r>
        <w:rPr>
          <w:rFonts w:eastAsia="Times New Roman"/>
        </w:rPr>
        <w:t xml:space="preserve">Според post-hoc анализа, пациентите с благоприятен клиничен статус в началото (слаба интензивност на болката, добро качество на живот и добър СП) могат да получат повече полза от лечението с </w:t>
      </w:r>
      <w:r w:rsidR="00007066">
        <w:rPr>
          <w:rFonts w:eastAsia="Times New Roman"/>
        </w:rPr>
        <w:t>ерлотиниб</w:t>
      </w:r>
      <w:r>
        <w:rPr>
          <w:rFonts w:eastAsia="Times New Roman"/>
        </w:rPr>
        <w:t>. Ползата се обуславя предимно от наличието на нисък скор на интензивност на болката.</w:t>
      </w:r>
    </w:p>
    <w:p w14:paraId="49A1F37B" w14:textId="77777777" w:rsidR="00992061" w:rsidRDefault="00992061">
      <w:pPr>
        <w:spacing w:line="200" w:lineRule="exact"/>
        <w:rPr>
          <w:sz w:val="20"/>
          <w:szCs w:val="20"/>
        </w:rPr>
      </w:pPr>
    </w:p>
    <w:p w14:paraId="6506827C" w14:textId="6B79FBD2" w:rsidR="00992061" w:rsidRDefault="00D1402E" w:rsidP="00007066">
      <w:pPr>
        <w:spacing w:line="239" w:lineRule="auto"/>
        <w:ind w:right="-599"/>
        <w:rPr>
          <w:sz w:val="20"/>
          <w:szCs w:val="20"/>
        </w:rPr>
      </w:pPr>
      <w:r>
        <w:rPr>
          <w:rFonts w:eastAsia="Times New Roman"/>
        </w:rPr>
        <w:t xml:space="preserve">Според post-hoc анализа, пациентите, лекувани с </w:t>
      </w:r>
      <w:r w:rsidR="00007066">
        <w:rPr>
          <w:rFonts w:eastAsia="Times New Roman"/>
        </w:rPr>
        <w:t>ерлотиниб</w:t>
      </w:r>
      <w:r>
        <w:rPr>
          <w:rFonts w:eastAsia="Times New Roman"/>
        </w:rPr>
        <w:t>, които получават обрив, имат по-продължителна обща преживяемост в сравнение с пациентите, които не получават обрив (медиана на ОП 7,2 месеца в сравнение с 5 месеца, HR:0,61).</w:t>
      </w:r>
    </w:p>
    <w:p w14:paraId="45C8AFDB" w14:textId="77777777" w:rsidR="00992061" w:rsidRDefault="00992061">
      <w:pPr>
        <w:spacing w:line="2" w:lineRule="exact"/>
        <w:rPr>
          <w:sz w:val="20"/>
          <w:szCs w:val="20"/>
        </w:rPr>
      </w:pPr>
    </w:p>
    <w:p w14:paraId="3F0F321C" w14:textId="4D1881ED" w:rsidR="00992061" w:rsidRDefault="00D1402E" w:rsidP="00007066">
      <w:pPr>
        <w:ind w:right="-601"/>
        <w:rPr>
          <w:sz w:val="20"/>
          <w:szCs w:val="20"/>
        </w:rPr>
      </w:pPr>
      <w:r>
        <w:rPr>
          <w:rFonts w:eastAsia="Times New Roman"/>
        </w:rPr>
        <w:t xml:space="preserve">90% от пациентите, лекувани с </w:t>
      </w:r>
      <w:r w:rsidR="00007066">
        <w:rPr>
          <w:rFonts w:eastAsia="Times New Roman"/>
        </w:rPr>
        <w:t>ерлотиниб</w:t>
      </w:r>
      <w:r>
        <w:rPr>
          <w:rFonts w:eastAsia="Times New Roman"/>
        </w:rPr>
        <w:t>, развиват обрив до първите 44 дни. Медианата на времето до появата на обрива е 10 дни.</w:t>
      </w:r>
    </w:p>
    <w:p w14:paraId="450235F0" w14:textId="77777777" w:rsidR="00992061" w:rsidRDefault="00992061">
      <w:pPr>
        <w:spacing w:line="172" w:lineRule="exact"/>
        <w:rPr>
          <w:sz w:val="20"/>
          <w:szCs w:val="20"/>
        </w:rPr>
      </w:pPr>
    </w:p>
    <w:p w14:paraId="00DC02E5" w14:textId="77777777" w:rsidR="00992061" w:rsidRDefault="00D1402E">
      <w:pPr>
        <w:rPr>
          <w:sz w:val="20"/>
          <w:szCs w:val="20"/>
        </w:rPr>
      </w:pPr>
      <w:r>
        <w:rPr>
          <w:rFonts w:eastAsia="Times New Roman"/>
          <w:u w:val="single"/>
        </w:rPr>
        <w:t>Педиатрична популация</w:t>
      </w:r>
    </w:p>
    <w:p w14:paraId="1367C257" w14:textId="572AF4A1" w:rsidR="00992061" w:rsidRDefault="00D1402E" w:rsidP="00173AEA">
      <w:pPr>
        <w:spacing w:line="254" w:lineRule="auto"/>
        <w:ind w:right="-599"/>
        <w:rPr>
          <w:sz w:val="20"/>
          <w:szCs w:val="20"/>
        </w:rPr>
      </w:pPr>
      <w:r>
        <w:rPr>
          <w:rFonts w:eastAsia="Times New Roman"/>
        </w:rPr>
        <w:t xml:space="preserve">Европейската агенция по лекарствата освобождава от задължението за предоставяне на резултатите от проучванията с </w:t>
      </w:r>
      <w:r w:rsidR="00173AEA">
        <w:rPr>
          <w:rFonts w:eastAsia="Times New Roman"/>
        </w:rPr>
        <w:t>ерлотиниб</w:t>
      </w:r>
      <w:r>
        <w:rPr>
          <w:rFonts w:eastAsia="Times New Roman"/>
        </w:rPr>
        <w:t xml:space="preserve"> във всички подгрупи на педиатричната популация при показанията недребноклетъчен рак на белите дробове и рак на панкреаса (вж. точка 4.2 за информация относно употреба в педиатрията).</w:t>
      </w:r>
    </w:p>
    <w:p w14:paraId="0E975176" w14:textId="77777777" w:rsidR="00992061" w:rsidRDefault="00992061">
      <w:pPr>
        <w:spacing w:line="197" w:lineRule="exact"/>
        <w:rPr>
          <w:sz w:val="20"/>
          <w:szCs w:val="20"/>
        </w:rPr>
      </w:pPr>
    </w:p>
    <w:p w14:paraId="5E1CD047" w14:textId="77777777" w:rsidR="00992061" w:rsidRDefault="00D1402E">
      <w:pPr>
        <w:tabs>
          <w:tab w:val="left" w:pos="540"/>
        </w:tabs>
        <w:rPr>
          <w:sz w:val="20"/>
          <w:szCs w:val="20"/>
        </w:rPr>
      </w:pPr>
      <w:r>
        <w:rPr>
          <w:rFonts w:eastAsia="Times New Roman"/>
          <w:b/>
          <w:bCs/>
        </w:rPr>
        <w:t>5.2</w:t>
      </w:r>
      <w:r>
        <w:rPr>
          <w:sz w:val="20"/>
          <w:szCs w:val="20"/>
        </w:rPr>
        <w:tab/>
      </w:r>
      <w:r>
        <w:rPr>
          <w:rFonts w:eastAsia="Times New Roman"/>
          <w:b/>
          <w:bCs/>
        </w:rPr>
        <w:t>Фармакокинетични свойства</w:t>
      </w:r>
    </w:p>
    <w:p w14:paraId="126F2307" w14:textId="77777777" w:rsidR="00992061" w:rsidRDefault="00992061">
      <w:pPr>
        <w:spacing w:line="250" w:lineRule="exact"/>
        <w:rPr>
          <w:sz w:val="20"/>
          <w:szCs w:val="20"/>
        </w:rPr>
      </w:pPr>
    </w:p>
    <w:p w14:paraId="4C9F7CA3" w14:textId="77777777" w:rsidR="00992061" w:rsidRDefault="00D1402E">
      <w:pPr>
        <w:rPr>
          <w:sz w:val="20"/>
          <w:szCs w:val="20"/>
        </w:rPr>
      </w:pPr>
      <w:r>
        <w:rPr>
          <w:rFonts w:eastAsia="Times New Roman"/>
          <w:u w:val="single"/>
        </w:rPr>
        <w:t>Абсорбция</w:t>
      </w:r>
    </w:p>
    <w:p w14:paraId="1D7D62CB" w14:textId="77777777" w:rsidR="00992061" w:rsidRDefault="00992061">
      <w:pPr>
        <w:spacing w:line="1" w:lineRule="exact"/>
        <w:rPr>
          <w:sz w:val="20"/>
          <w:szCs w:val="20"/>
        </w:rPr>
      </w:pPr>
    </w:p>
    <w:p w14:paraId="6E43B699" w14:textId="77777777" w:rsidR="00992061" w:rsidRDefault="00D1402E" w:rsidP="00173AEA">
      <w:pPr>
        <w:spacing w:line="253" w:lineRule="auto"/>
        <w:ind w:right="-458"/>
        <w:rPr>
          <w:sz w:val="20"/>
          <w:szCs w:val="20"/>
        </w:rPr>
      </w:pPr>
      <w:r>
        <w:rPr>
          <w:rFonts w:eastAsia="Times New Roman"/>
        </w:rPr>
        <w:t>След перорално приложение, максимални плазмени нива на ерлотиниб се получават приблизително 4 часа след приема на пероралната доза. Проучване при нормални здрави доброволци показва абсолютна бионаличност от 59%. Експозицията след перорално приложение може да се увеличи от храната.</w:t>
      </w:r>
    </w:p>
    <w:p w14:paraId="36C0F5E8" w14:textId="77777777" w:rsidR="00992061" w:rsidRDefault="00992061">
      <w:pPr>
        <w:spacing w:line="197" w:lineRule="exact"/>
        <w:rPr>
          <w:sz w:val="20"/>
          <w:szCs w:val="20"/>
        </w:rPr>
      </w:pPr>
    </w:p>
    <w:p w14:paraId="23A69588" w14:textId="77777777" w:rsidR="00992061" w:rsidRDefault="00D1402E">
      <w:pPr>
        <w:rPr>
          <w:sz w:val="20"/>
          <w:szCs w:val="20"/>
        </w:rPr>
      </w:pPr>
      <w:r>
        <w:rPr>
          <w:rFonts w:eastAsia="Times New Roman"/>
          <w:u w:val="single"/>
        </w:rPr>
        <w:t>Разпределение</w:t>
      </w:r>
    </w:p>
    <w:p w14:paraId="5D1CAE80" w14:textId="711AE01C" w:rsidR="00992061" w:rsidRPr="00DF57C5" w:rsidRDefault="00D1402E" w:rsidP="00A05772">
      <w:pPr>
        <w:spacing w:line="259" w:lineRule="auto"/>
        <w:ind w:right="-599"/>
      </w:pPr>
      <w:r w:rsidRPr="00DF57C5">
        <w:rPr>
          <w:rFonts w:eastAsia="Times New Roman"/>
        </w:rPr>
        <w:t xml:space="preserve">Ерлотиниб има среден видим обем на разпределение от 232 l и се разпределя в туморните тъкани при хората. В едно проучване при 4 пациенти (3 с недребноклетъчен рак на белия дроб [НДКРБД] и 1 с рак на ларинкса), получавали перорално 150 mg дневно </w:t>
      </w:r>
      <w:r w:rsidR="00173AEA">
        <w:rPr>
          <w:rFonts w:eastAsia="Times New Roman"/>
        </w:rPr>
        <w:t>ерлотиниб</w:t>
      </w:r>
      <w:r w:rsidRPr="00DF57C5">
        <w:rPr>
          <w:rFonts w:eastAsia="Times New Roman"/>
        </w:rPr>
        <w:t>, туморните проби при оперативното отстраняване на ден 9 от лечението са показали средни концентрации на ерлотиниб в тумора 1,185 ng/g тъкан. Това отговаря на общо средно 63% (граници 5-161%) от наблюдаваните максимални плазмени концентрации в стационарно състояние. Първичните активни метаболити са присъствали в тумора в средни концентрации 160 ng/g тъкан, което отговаря на общо средно 113% (граници 88-130%) от наблюдаваните максимални плазмени</w:t>
      </w:r>
      <w:bookmarkStart w:id="20" w:name="page23"/>
      <w:bookmarkEnd w:id="20"/>
      <w:r w:rsidR="00A05772">
        <w:rPr>
          <w:rFonts w:eastAsia="Times New Roman"/>
          <w:lang w:val="bg-BG"/>
        </w:rPr>
        <w:t xml:space="preserve"> </w:t>
      </w:r>
      <w:r w:rsidRPr="00DF57C5">
        <w:rPr>
          <w:rFonts w:eastAsia="Times New Roman"/>
        </w:rPr>
        <w:t>концентрации в стационарно състояние. Свързването с плазмените протеини е приблизително 95%. Ерлотиниб се свързва със серумния албумин и с алфа-1 кисел гликопротеин (AAG).</w:t>
      </w:r>
    </w:p>
    <w:p w14:paraId="305F55CB" w14:textId="77777777" w:rsidR="00992061" w:rsidRPr="00DF57C5" w:rsidRDefault="00992061" w:rsidP="00DF57C5">
      <w:pPr>
        <w:spacing w:line="143" w:lineRule="exact"/>
        <w:ind w:right="-443"/>
      </w:pPr>
    </w:p>
    <w:p w14:paraId="52A755EC" w14:textId="77777777" w:rsidR="002239D4" w:rsidRDefault="002239D4" w:rsidP="00DF57C5">
      <w:pPr>
        <w:ind w:left="4" w:right="-443"/>
        <w:rPr>
          <w:rFonts w:eastAsia="Times New Roman"/>
          <w:u w:val="single"/>
        </w:rPr>
      </w:pPr>
    </w:p>
    <w:p w14:paraId="546B18CC" w14:textId="1A192B85" w:rsidR="00992061" w:rsidRPr="00DF57C5" w:rsidRDefault="00D1402E" w:rsidP="00DF57C5">
      <w:pPr>
        <w:ind w:left="4" w:right="-443"/>
      </w:pPr>
      <w:r w:rsidRPr="00DF57C5">
        <w:rPr>
          <w:rFonts w:eastAsia="Times New Roman"/>
          <w:u w:val="single"/>
        </w:rPr>
        <w:lastRenderedPageBreak/>
        <w:t>Биотрансформация</w:t>
      </w:r>
    </w:p>
    <w:p w14:paraId="2BA331F6" w14:textId="77777777" w:rsidR="00992061" w:rsidRPr="00DF57C5" w:rsidRDefault="00992061" w:rsidP="00DF57C5">
      <w:pPr>
        <w:spacing w:line="1" w:lineRule="exact"/>
        <w:ind w:right="-443"/>
      </w:pPr>
    </w:p>
    <w:p w14:paraId="2EC07AC4" w14:textId="77777777" w:rsidR="00992061" w:rsidRPr="00DF57C5" w:rsidRDefault="00D1402E" w:rsidP="00DF57C5">
      <w:pPr>
        <w:spacing w:line="253" w:lineRule="auto"/>
        <w:ind w:left="4" w:right="-443"/>
      </w:pPr>
      <w:r w:rsidRPr="00DF57C5">
        <w:rPr>
          <w:rFonts w:eastAsia="Times New Roman"/>
        </w:rPr>
        <w:t>При човека ерлотиниб се метаболизира в черния дроб от чернодробните цитохроми, предимно CYP3A4 и в по-малка степен от CYP1A2. Възможно е екстрахепаталният метаболизъм с помощта на CYP3A4 в червата, CYP1A1 в белите дробове, и 1B1 в туморната тъкан да допринася за метаболитното елиминиране на ерлотиниб.</w:t>
      </w:r>
    </w:p>
    <w:p w14:paraId="29328739" w14:textId="77777777" w:rsidR="00992061" w:rsidRPr="00DF57C5" w:rsidRDefault="00992061" w:rsidP="00DF57C5">
      <w:pPr>
        <w:spacing w:line="195" w:lineRule="exact"/>
        <w:ind w:right="-443"/>
      </w:pPr>
    </w:p>
    <w:p w14:paraId="127A5D44" w14:textId="77777777" w:rsidR="00992061" w:rsidRPr="00DF57C5" w:rsidRDefault="00D1402E" w:rsidP="00DF57C5">
      <w:pPr>
        <w:spacing w:line="245" w:lineRule="auto"/>
        <w:ind w:left="4" w:right="-443"/>
      </w:pPr>
      <w:r w:rsidRPr="00DF57C5">
        <w:rPr>
          <w:rFonts w:eastAsia="Times New Roman"/>
        </w:rPr>
        <w:t xml:space="preserve">Идентифицирани са три основни метаболитни пътища: 1) O-деметилиране на всяка странична верига или и на двете, последвано от окисление до карбоксилни киселини; 2) окисление на ацетиленовата група, последвано от хидролиза до арил карбоксилна киселина; и 3) ароматно хидроксилиране на фенил-ацетиленовата група. Първичните метаболити OSI-420 и OSI-413 на ерлотиниб, получени при O-деметилиране на всяка странична верига, са имали активност, сравнима с ерлотиниб при неклиничните тестове </w:t>
      </w:r>
      <w:r w:rsidRPr="00DF57C5">
        <w:rPr>
          <w:rFonts w:eastAsia="Times New Roman"/>
          <w:i/>
          <w:iCs/>
        </w:rPr>
        <w:t>in vitro</w:t>
      </w:r>
      <w:r w:rsidRPr="00DF57C5">
        <w:rPr>
          <w:rFonts w:eastAsia="Times New Roman"/>
        </w:rPr>
        <w:t xml:space="preserve"> и при туморни модели </w:t>
      </w:r>
      <w:r w:rsidRPr="00DF57C5">
        <w:rPr>
          <w:rFonts w:eastAsia="Times New Roman"/>
          <w:i/>
          <w:iCs/>
        </w:rPr>
        <w:t>in vivo</w:t>
      </w:r>
      <w:r w:rsidRPr="00DF57C5">
        <w:rPr>
          <w:rFonts w:eastAsia="Times New Roman"/>
        </w:rPr>
        <w:t>. Те присъстват в плазмата с нива &lt;10% от тези на ерлотиниб и показват подобни фармакокинетични свойства като ерлотиниб.</w:t>
      </w:r>
    </w:p>
    <w:p w14:paraId="7B58BF15" w14:textId="77777777" w:rsidR="00992061" w:rsidRDefault="00992061">
      <w:pPr>
        <w:spacing w:line="211" w:lineRule="exact"/>
        <w:rPr>
          <w:sz w:val="20"/>
          <w:szCs w:val="20"/>
        </w:rPr>
      </w:pPr>
    </w:p>
    <w:p w14:paraId="16A7907A" w14:textId="77777777" w:rsidR="00992061" w:rsidRDefault="00D1402E">
      <w:pPr>
        <w:ind w:left="4"/>
        <w:rPr>
          <w:sz w:val="20"/>
          <w:szCs w:val="20"/>
        </w:rPr>
      </w:pPr>
      <w:r>
        <w:rPr>
          <w:rFonts w:eastAsia="Times New Roman"/>
          <w:u w:val="single"/>
        </w:rPr>
        <w:t>Елиминиране</w:t>
      </w:r>
    </w:p>
    <w:p w14:paraId="355E57EF" w14:textId="7CDD60AF" w:rsidR="00992061" w:rsidRDefault="00D1402E">
      <w:pPr>
        <w:spacing w:line="247" w:lineRule="auto"/>
        <w:ind w:left="4"/>
        <w:rPr>
          <w:sz w:val="20"/>
          <w:szCs w:val="20"/>
        </w:rPr>
      </w:pPr>
      <w:r>
        <w:rPr>
          <w:rFonts w:eastAsia="Times New Roman"/>
        </w:rPr>
        <w:t xml:space="preserve">Ерлотиниб се екскретира предимно под формата на метаболити чрез фекалиите (&gt;90%), като само малко количество се елиминира през бъбреците (приблизително 9%) от пероралната доза. Под 2% от перорално приложената доза се екскретира в непроменен вид. Популационен фармакокинетичен анализ на 591 пациенти, получаващи само </w:t>
      </w:r>
      <w:r w:rsidR="008D5A89">
        <w:rPr>
          <w:rFonts w:eastAsia="Times New Roman"/>
        </w:rPr>
        <w:t>ерлотиниб</w:t>
      </w:r>
      <w:r>
        <w:rPr>
          <w:rFonts w:eastAsia="Times New Roman"/>
        </w:rPr>
        <w:t>, показва среден видим клирънс от 4,47 l/час със средна стойност на полуживот от 36,2 часа. Поради това може да се очаква, че времето за достигане на стационарна плазмена концентрация ще бъде приблизително 7-8 дни.</w:t>
      </w:r>
    </w:p>
    <w:p w14:paraId="7F604DD4" w14:textId="77777777" w:rsidR="00992061" w:rsidRDefault="00992061">
      <w:pPr>
        <w:spacing w:line="203" w:lineRule="exact"/>
        <w:rPr>
          <w:sz w:val="20"/>
          <w:szCs w:val="20"/>
        </w:rPr>
      </w:pPr>
    </w:p>
    <w:p w14:paraId="2C96AE56" w14:textId="77777777" w:rsidR="00992061" w:rsidRDefault="00D1402E">
      <w:pPr>
        <w:ind w:left="4"/>
        <w:rPr>
          <w:sz w:val="20"/>
          <w:szCs w:val="20"/>
        </w:rPr>
      </w:pPr>
      <w:r>
        <w:rPr>
          <w:rFonts w:eastAsia="Times New Roman"/>
          <w:u w:val="single"/>
        </w:rPr>
        <w:t>Фармакокинетика при специални популации</w:t>
      </w:r>
    </w:p>
    <w:p w14:paraId="2BAAD782" w14:textId="77777777" w:rsidR="00992061" w:rsidRDefault="00992061">
      <w:pPr>
        <w:spacing w:line="1" w:lineRule="exact"/>
        <w:rPr>
          <w:sz w:val="20"/>
          <w:szCs w:val="20"/>
        </w:rPr>
      </w:pPr>
    </w:p>
    <w:p w14:paraId="4F683DE0" w14:textId="24B1F6AA" w:rsidR="00992061" w:rsidRDefault="00D1402E" w:rsidP="00DF57C5">
      <w:pPr>
        <w:spacing w:line="251" w:lineRule="auto"/>
        <w:ind w:left="4" w:right="40"/>
        <w:rPr>
          <w:sz w:val="20"/>
          <w:szCs w:val="20"/>
        </w:rPr>
      </w:pPr>
      <w:r w:rsidRPr="00DF57C5">
        <w:rPr>
          <w:rFonts w:eastAsia="Times New Roman"/>
        </w:rPr>
        <w:t>Въз основа на популационния фармакокинетичен анализ не е наблюдавана клинично значима връзка между очаквания видим клирънс и възрастта, телесното тегло, пола и етническата принадлежност на пациентите. Факторите от пациента, които корелират с фармакокинетиката на ерлотиниб, са общ серумен билирубин, AAG и тютюнопушене в момента. Повишените серумни концентрации на общия билирубин и концентрациите на AAG са свързани с намален клирънс на ерлотиниб. Клиничното значение на тези разлики е неясно. Пушачите обаче са имали увеличен клирънс на ерлотиниб. Това е потвърдено в едно фармакокинетично проучване при непушачи и пушещи в момента здрави индивиди, получавали еднократна перорална доза от 150 mg ерлотиниб. Геометричната средна стойност на Cmax е 1056 ng/ml при непушачите и</w:t>
      </w:r>
      <w:r w:rsidR="00DF57C5">
        <w:rPr>
          <w:rFonts w:eastAsia="Times New Roman"/>
          <w:lang w:val="bg-BG"/>
        </w:rPr>
        <w:t xml:space="preserve"> </w:t>
      </w:r>
      <w:r>
        <w:rPr>
          <w:rFonts w:eastAsia="Times New Roman"/>
        </w:rPr>
        <w:t>689 ng/ml при пушачите със средно съотношение за пушачи към непушачи от 65,2% (95% CI: 44,3 до 95,9, p = 0,031). Геометричната средна стойност на AUC</w:t>
      </w:r>
      <w:r>
        <w:rPr>
          <w:rFonts w:eastAsia="Times New Roman"/>
          <w:sz w:val="13"/>
          <w:szCs w:val="13"/>
        </w:rPr>
        <w:t>0-inf</w:t>
      </w:r>
      <w:r>
        <w:rPr>
          <w:rFonts w:eastAsia="Times New Roman"/>
        </w:rPr>
        <w:t xml:space="preserve"> е 18726 ng•h/ml при непушачите и 6718 ng•h/mL при пушачите със средно съотношение от 35,9% (95% CI: 23,7 до 54,3, p &lt; 0,0001). Геометричната средна стойност на C</w:t>
      </w:r>
      <w:r>
        <w:rPr>
          <w:rFonts w:eastAsia="Times New Roman"/>
          <w:sz w:val="13"/>
          <w:szCs w:val="13"/>
        </w:rPr>
        <w:t>24h</w:t>
      </w:r>
      <w:r>
        <w:rPr>
          <w:rFonts w:eastAsia="Times New Roman"/>
        </w:rPr>
        <w:t xml:space="preserve"> е 288 ng/ml при непушачите и</w:t>
      </w:r>
      <w:r w:rsidR="00DF57C5">
        <w:rPr>
          <w:rFonts w:eastAsia="Times New Roman"/>
          <w:lang w:val="bg-BG"/>
        </w:rPr>
        <w:t xml:space="preserve"> </w:t>
      </w:r>
      <w:r>
        <w:rPr>
          <w:rFonts w:eastAsia="Times New Roman"/>
        </w:rPr>
        <w:t>34,8 ng/ml при пушачите със средно съотношение от 12,1% (95% CI: 4,82 до 30,2, p = 0,0001).</w:t>
      </w:r>
    </w:p>
    <w:p w14:paraId="6D1A9C9B" w14:textId="77777777" w:rsidR="00992061" w:rsidRDefault="00992061">
      <w:pPr>
        <w:spacing w:line="1" w:lineRule="exact"/>
        <w:rPr>
          <w:sz w:val="20"/>
          <w:szCs w:val="20"/>
        </w:rPr>
      </w:pPr>
    </w:p>
    <w:p w14:paraId="30F6C52B" w14:textId="7D6A1D58" w:rsidR="00992061" w:rsidRDefault="00D1402E">
      <w:pPr>
        <w:numPr>
          <w:ilvl w:val="0"/>
          <w:numId w:val="20"/>
        </w:numPr>
        <w:tabs>
          <w:tab w:val="left" w:pos="206"/>
        </w:tabs>
        <w:spacing w:line="244" w:lineRule="auto"/>
        <w:ind w:left="4" w:hanging="4"/>
        <w:rPr>
          <w:rFonts w:eastAsia="Times New Roman"/>
        </w:rPr>
      </w:pPr>
      <w:r>
        <w:rPr>
          <w:rFonts w:eastAsia="Times New Roman"/>
        </w:rPr>
        <w:t xml:space="preserve">основното проучване фаза III при НДКРБД, настоящите пушачи са постигнали най-ниска плазмена концентрация на ерлотиниб в стационарно състояние 0,65 µg/ml (n = 16), което е приблизително два пъти по-малко от бивши пушачи или пациенти, които никога не са пушили (1,28 µg/ml, n = 108). Този ефект се придружава от 24-процентно повишение на привидния плазмен клирънс на ерлотиниб. В едно проучване фаза I с покачващи се дози при пациенти с НДКРБД, които са настоящи пушачи, фармакокинетичните анализи в стационарно състояние показват пропорционално на дозата увеличение на експозицията на ерлотиниб, когато дозата на </w:t>
      </w:r>
      <w:r w:rsidR="00A05772">
        <w:rPr>
          <w:rFonts w:eastAsia="Times New Roman"/>
        </w:rPr>
        <w:t>ерлотиниб</w:t>
      </w:r>
      <w:r>
        <w:rPr>
          <w:rFonts w:eastAsia="Times New Roman"/>
        </w:rPr>
        <w:t xml:space="preserve"> се е повишила от 150 mg до максималната поносима доза от 300 mg. Минималните плазмени концентрации в стационарно състояние при доза от 300 mg при настоящи пушачи в това проучване са били 1,22 µg/ml (n = 17). Вижте точки 4.2, 4.4, 4.5 and 5.1.</w:t>
      </w:r>
    </w:p>
    <w:p w14:paraId="05F6DAF7" w14:textId="77777777" w:rsidR="00992061" w:rsidRDefault="00992061">
      <w:pPr>
        <w:spacing w:line="207" w:lineRule="exact"/>
        <w:rPr>
          <w:sz w:val="20"/>
          <w:szCs w:val="20"/>
        </w:rPr>
      </w:pPr>
    </w:p>
    <w:p w14:paraId="6A3AEF20" w14:textId="3B5C9F31" w:rsidR="00992061" w:rsidRDefault="00D1402E" w:rsidP="00A05772">
      <w:pPr>
        <w:spacing w:line="261" w:lineRule="auto"/>
        <w:ind w:left="4" w:right="-163"/>
        <w:rPr>
          <w:sz w:val="20"/>
          <w:szCs w:val="20"/>
        </w:rPr>
      </w:pPr>
      <w:r>
        <w:rPr>
          <w:rFonts w:eastAsia="Times New Roman"/>
        </w:rPr>
        <w:t xml:space="preserve">Въз основа на резултатите от фармакокинетичните проучвания настоящите пушачи трябва да се посъветват да преустановят пушенето, докато се лекуват с </w:t>
      </w:r>
      <w:r w:rsidR="00A05772">
        <w:rPr>
          <w:rFonts w:eastAsia="Times New Roman"/>
        </w:rPr>
        <w:t>ерлотиниб</w:t>
      </w:r>
      <w:r>
        <w:rPr>
          <w:rFonts w:eastAsia="Times New Roman"/>
        </w:rPr>
        <w:t>, тъй като в противен случай плазмените концентрации може да се намалят.</w:t>
      </w:r>
    </w:p>
    <w:p w14:paraId="71E598BE" w14:textId="28C486F4" w:rsidR="00DF57C5" w:rsidRDefault="00DF57C5"/>
    <w:p w14:paraId="48FF2AA0" w14:textId="77777777" w:rsidR="00992061" w:rsidRDefault="00D1402E" w:rsidP="00A05772">
      <w:pPr>
        <w:ind w:right="-306"/>
        <w:rPr>
          <w:sz w:val="20"/>
          <w:szCs w:val="20"/>
        </w:rPr>
      </w:pPr>
      <w:bookmarkStart w:id="21" w:name="page24"/>
      <w:bookmarkEnd w:id="21"/>
      <w:r>
        <w:rPr>
          <w:rFonts w:eastAsia="Times New Roman"/>
        </w:rPr>
        <w:lastRenderedPageBreak/>
        <w:t>Въз основа на популационния фармакокинетичен анализ наличието на опиат изглежда увеличава експозицията с около 11%.</w:t>
      </w:r>
    </w:p>
    <w:p w14:paraId="001306AF" w14:textId="77777777" w:rsidR="00992061" w:rsidRDefault="00992061">
      <w:pPr>
        <w:spacing w:line="166" w:lineRule="exact"/>
        <w:rPr>
          <w:sz w:val="20"/>
          <w:szCs w:val="20"/>
        </w:rPr>
      </w:pPr>
    </w:p>
    <w:p w14:paraId="74F410C8" w14:textId="77777777" w:rsidR="00992061" w:rsidRDefault="00D1402E" w:rsidP="00A05772">
      <w:pPr>
        <w:spacing w:line="246" w:lineRule="auto"/>
        <w:ind w:right="-305"/>
        <w:rPr>
          <w:sz w:val="20"/>
          <w:szCs w:val="20"/>
        </w:rPr>
      </w:pPr>
      <w:r>
        <w:rPr>
          <w:rFonts w:eastAsia="Times New Roman"/>
        </w:rPr>
        <w:t>Проведен е втори популационен фармакокинетичен анализ, който включва данни за ерлотиниб от 204 пациенти с рак на панкреаса, които са получавали ерлотиниб плюс гемцитабин. Този анализ показва, че ковариантите, които имат отношение към клирънса на ерлотиниб при пациентите от панкреатичното проучване, са подобни на тези, наблюдавани в предишния фармакокинетичен анализ при прилагане само на едно лекарство. Не са установени нови ковариантни ефекти. Едновременното приложение на гемцитабин няма ефект върху плазмения клирънс на ерлотиниб.</w:t>
      </w:r>
    </w:p>
    <w:p w14:paraId="5234C51D" w14:textId="77777777" w:rsidR="00992061" w:rsidRDefault="00992061">
      <w:pPr>
        <w:spacing w:line="207" w:lineRule="exact"/>
        <w:rPr>
          <w:sz w:val="20"/>
          <w:szCs w:val="20"/>
        </w:rPr>
      </w:pPr>
    </w:p>
    <w:p w14:paraId="4D7AC5C5" w14:textId="77777777" w:rsidR="00992061" w:rsidRPr="00A05772" w:rsidRDefault="00D1402E">
      <w:pPr>
        <w:rPr>
          <w:i/>
          <w:sz w:val="20"/>
          <w:szCs w:val="20"/>
        </w:rPr>
      </w:pPr>
      <w:r w:rsidRPr="00A05772">
        <w:rPr>
          <w:rFonts w:eastAsia="Times New Roman"/>
          <w:i/>
          <w:iCs/>
        </w:rPr>
        <w:t>Педиатрична популация</w:t>
      </w:r>
    </w:p>
    <w:p w14:paraId="7A020768" w14:textId="77777777" w:rsidR="00992061" w:rsidRDefault="00D1402E">
      <w:pPr>
        <w:rPr>
          <w:sz w:val="20"/>
          <w:szCs w:val="20"/>
        </w:rPr>
      </w:pPr>
      <w:r>
        <w:rPr>
          <w:rFonts w:eastAsia="Times New Roman"/>
        </w:rPr>
        <w:t>Не са провеждани специфични проучвания при педиатрични пациенти.</w:t>
      </w:r>
    </w:p>
    <w:p w14:paraId="3AE30FC0" w14:textId="77777777" w:rsidR="00992061" w:rsidRDefault="00992061">
      <w:pPr>
        <w:spacing w:line="257" w:lineRule="exact"/>
        <w:rPr>
          <w:sz w:val="20"/>
          <w:szCs w:val="20"/>
        </w:rPr>
      </w:pPr>
    </w:p>
    <w:p w14:paraId="33E0130A" w14:textId="77777777" w:rsidR="00992061" w:rsidRPr="00A05772" w:rsidRDefault="00D1402E">
      <w:pPr>
        <w:rPr>
          <w:sz w:val="20"/>
          <w:szCs w:val="20"/>
        </w:rPr>
      </w:pPr>
      <w:r w:rsidRPr="00A05772">
        <w:rPr>
          <w:rFonts w:eastAsia="Times New Roman"/>
          <w:i/>
          <w:iCs/>
        </w:rPr>
        <w:t>Популация в старческа възраст</w:t>
      </w:r>
    </w:p>
    <w:p w14:paraId="36473BC1" w14:textId="77777777" w:rsidR="00992061" w:rsidRDefault="00D1402E">
      <w:pPr>
        <w:rPr>
          <w:sz w:val="20"/>
          <w:szCs w:val="20"/>
        </w:rPr>
      </w:pPr>
      <w:r>
        <w:rPr>
          <w:rFonts w:eastAsia="Times New Roman"/>
        </w:rPr>
        <w:t>Не са провеждани специфични проучвания при пациенти в старческа възраст.</w:t>
      </w:r>
    </w:p>
    <w:p w14:paraId="65CC1BC6" w14:textId="77777777" w:rsidR="00992061" w:rsidRDefault="00992061">
      <w:pPr>
        <w:spacing w:line="252" w:lineRule="exact"/>
        <w:rPr>
          <w:sz w:val="20"/>
          <w:szCs w:val="20"/>
        </w:rPr>
      </w:pPr>
    </w:p>
    <w:p w14:paraId="625271C4" w14:textId="77777777" w:rsidR="00992061" w:rsidRPr="00A05772" w:rsidRDefault="00D1402E">
      <w:pPr>
        <w:rPr>
          <w:sz w:val="20"/>
          <w:szCs w:val="20"/>
        </w:rPr>
      </w:pPr>
      <w:r w:rsidRPr="00A05772">
        <w:rPr>
          <w:rFonts w:eastAsia="Times New Roman"/>
          <w:i/>
          <w:iCs/>
        </w:rPr>
        <w:t>Чернодробно увреждане</w:t>
      </w:r>
    </w:p>
    <w:p w14:paraId="0FE34931" w14:textId="77777777" w:rsidR="00992061" w:rsidRDefault="00D1402E" w:rsidP="00DF57C5">
      <w:pPr>
        <w:spacing w:line="239" w:lineRule="auto"/>
        <w:ind w:right="-305"/>
        <w:rPr>
          <w:sz w:val="20"/>
          <w:szCs w:val="20"/>
        </w:rPr>
      </w:pPr>
      <w:r>
        <w:rPr>
          <w:rFonts w:eastAsia="Times New Roman"/>
        </w:rPr>
        <w:t>Ерлотиниб се елиминира предимно чрез черния дроб. При пациенти със солидни тумори и с умерено увредена чернодробна функция (Child-Pugh скор 7-9) геометричната средна стойност на AUC</w:t>
      </w:r>
      <w:r>
        <w:rPr>
          <w:rFonts w:eastAsia="Times New Roman"/>
          <w:sz w:val="13"/>
          <w:szCs w:val="13"/>
        </w:rPr>
        <w:t>0-t</w:t>
      </w:r>
      <w:r>
        <w:rPr>
          <w:rFonts w:eastAsia="Times New Roman"/>
        </w:rPr>
        <w:t xml:space="preserve"> и C</w:t>
      </w:r>
      <w:r>
        <w:rPr>
          <w:rFonts w:eastAsia="Times New Roman"/>
          <w:sz w:val="13"/>
          <w:szCs w:val="13"/>
        </w:rPr>
        <w:t>max</w:t>
      </w:r>
      <w:r>
        <w:rPr>
          <w:rFonts w:eastAsia="Times New Roman"/>
        </w:rPr>
        <w:t xml:space="preserve"> на ерлотиниб е съответно 27 000 ng•h/ml и 805 ng/ml, в сравнение с</w:t>
      </w:r>
    </w:p>
    <w:p w14:paraId="1D7BA03D" w14:textId="77777777" w:rsidR="00992061" w:rsidRDefault="00992061" w:rsidP="00DF57C5">
      <w:pPr>
        <w:spacing w:line="3" w:lineRule="exact"/>
        <w:ind w:right="-305"/>
        <w:rPr>
          <w:sz w:val="20"/>
          <w:szCs w:val="20"/>
        </w:rPr>
      </w:pPr>
    </w:p>
    <w:p w14:paraId="2ABF09EC" w14:textId="77777777" w:rsidR="00992061" w:rsidRDefault="00D1402E" w:rsidP="00DF57C5">
      <w:pPr>
        <w:spacing w:line="246" w:lineRule="auto"/>
        <w:ind w:right="-305"/>
        <w:rPr>
          <w:sz w:val="20"/>
          <w:szCs w:val="20"/>
        </w:rPr>
      </w:pPr>
      <w:r>
        <w:rPr>
          <w:rFonts w:eastAsia="Times New Roman"/>
        </w:rPr>
        <w:t>29 300 ng•h/ml и 1 090 ng/ml при пациенти с нормална чернодробна функция, включително и при пациенти с първичен рак на черния дроб или чернодробни метастази. Въпреки че стойността на C</w:t>
      </w:r>
      <w:r>
        <w:rPr>
          <w:rFonts w:eastAsia="Times New Roman"/>
          <w:sz w:val="13"/>
          <w:szCs w:val="13"/>
        </w:rPr>
        <w:t xml:space="preserve"> max</w:t>
      </w:r>
      <w:r>
        <w:rPr>
          <w:rFonts w:eastAsia="Times New Roman"/>
        </w:rPr>
        <w:t xml:space="preserve"> е статистически значимо по-ниска при пациенти с умерено чернодробно увреждане, тази разлика не се счита клинично значима. Няма данни относно влиянието на тежка чернодробна дисфункция върху фармакокинетиката на ерлотиниб. При популационния фармакокинетичен анализ повишените серумни концентрации на общия билирубин са били свързани с по-бавна скорост на клирънс на ерлотиниб.</w:t>
      </w:r>
    </w:p>
    <w:p w14:paraId="7DEC5A54" w14:textId="77777777" w:rsidR="00992061" w:rsidRDefault="00992061">
      <w:pPr>
        <w:spacing w:line="206" w:lineRule="exact"/>
        <w:rPr>
          <w:sz w:val="20"/>
          <w:szCs w:val="20"/>
        </w:rPr>
      </w:pPr>
    </w:p>
    <w:p w14:paraId="6F52402C" w14:textId="77777777" w:rsidR="00992061" w:rsidRPr="00A05772" w:rsidRDefault="00D1402E">
      <w:pPr>
        <w:rPr>
          <w:i/>
          <w:sz w:val="20"/>
          <w:szCs w:val="20"/>
        </w:rPr>
      </w:pPr>
      <w:r w:rsidRPr="00A05772">
        <w:rPr>
          <w:rFonts w:eastAsia="Times New Roman"/>
          <w:i/>
        </w:rPr>
        <w:t>Бъбречно увреждане</w:t>
      </w:r>
    </w:p>
    <w:p w14:paraId="4174DB55" w14:textId="77777777" w:rsidR="00992061" w:rsidRDefault="00992061">
      <w:pPr>
        <w:spacing w:line="1" w:lineRule="exact"/>
        <w:rPr>
          <w:sz w:val="20"/>
          <w:szCs w:val="20"/>
        </w:rPr>
      </w:pPr>
    </w:p>
    <w:p w14:paraId="3B0F35C1" w14:textId="77777777" w:rsidR="00992061" w:rsidRDefault="00D1402E" w:rsidP="00DF57C5">
      <w:pPr>
        <w:spacing w:line="250" w:lineRule="auto"/>
        <w:ind w:right="-305"/>
        <w:rPr>
          <w:sz w:val="20"/>
          <w:szCs w:val="20"/>
        </w:rPr>
      </w:pPr>
      <w:r>
        <w:rPr>
          <w:rFonts w:eastAsia="Times New Roman"/>
        </w:rPr>
        <w:t>Ерлотиниб и неговите метаболити не се екскретират в значително количество през бъбреците, като под 9% от еднократната доза се екскретира с урината. При популационния фармакокинетичен анализ не е наблюдавана клинично значима връзка между клирънса на ерлотиниб и креатининовия клирънс, но няма данни за пациенти с креатининов клирънс &lt;15 ml/min.</w:t>
      </w:r>
    </w:p>
    <w:p w14:paraId="518DF9D7" w14:textId="77777777" w:rsidR="00992061" w:rsidRDefault="00992061">
      <w:pPr>
        <w:spacing w:line="200" w:lineRule="exact"/>
        <w:rPr>
          <w:sz w:val="20"/>
          <w:szCs w:val="20"/>
        </w:rPr>
      </w:pPr>
    </w:p>
    <w:p w14:paraId="4EB686F2" w14:textId="77777777" w:rsidR="00992061" w:rsidRDefault="00D1402E">
      <w:pPr>
        <w:tabs>
          <w:tab w:val="left" w:pos="700"/>
        </w:tabs>
        <w:rPr>
          <w:sz w:val="20"/>
          <w:szCs w:val="20"/>
        </w:rPr>
      </w:pPr>
      <w:r>
        <w:rPr>
          <w:rFonts w:eastAsia="Times New Roman"/>
          <w:b/>
          <w:bCs/>
        </w:rPr>
        <w:t>5.3</w:t>
      </w:r>
      <w:r>
        <w:rPr>
          <w:sz w:val="20"/>
          <w:szCs w:val="20"/>
        </w:rPr>
        <w:tab/>
      </w:r>
      <w:r>
        <w:rPr>
          <w:rFonts w:eastAsia="Times New Roman"/>
          <w:b/>
          <w:bCs/>
        </w:rPr>
        <w:t>Предклинични данни за безопасност</w:t>
      </w:r>
    </w:p>
    <w:p w14:paraId="4B63C396" w14:textId="77777777" w:rsidR="00992061" w:rsidRDefault="00992061">
      <w:pPr>
        <w:spacing w:line="251" w:lineRule="exact"/>
        <w:rPr>
          <w:sz w:val="20"/>
          <w:szCs w:val="20"/>
        </w:rPr>
      </w:pPr>
    </w:p>
    <w:p w14:paraId="4D532AE2" w14:textId="77777777" w:rsidR="00992061" w:rsidRPr="00DF57C5" w:rsidRDefault="00D1402E" w:rsidP="00DF57C5">
      <w:pPr>
        <w:ind w:right="-305"/>
      </w:pPr>
      <w:r w:rsidRPr="00DF57C5">
        <w:rPr>
          <w:rFonts w:eastAsia="Times New Roman"/>
        </w:rPr>
        <w:t>Ефектите при хронично третиране, наблюдавани при най-малко един животински вид или</w:t>
      </w:r>
    </w:p>
    <w:p w14:paraId="0AA0EE55" w14:textId="77777777" w:rsidR="00992061" w:rsidRPr="00DF57C5" w:rsidRDefault="00D1402E" w:rsidP="00DF57C5">
      <w:pPr>
        <w:ind w:right="-305"/>
      </w:pPr>
      <w:r w:rsidRPr="00DF57C5">
        <w:rPr>
          <w:rFonts w:eastAsia="Times New Roman"/>
        </w:rPr>
        <w:t>проучване, включват ефекти върху роговицата (атрофия, улцерация), кожата (фоликуларна</w:t>
      </w:r>
    </w:p>
    <w:p w14:paraId="5AE3D844" w14:textId="77777777" w:rsidR="00992061" w:rsidRPr="00DF57C5" w:rsidRDefault="00992061" w:rsidP="00DF57C5">
      <w:pPr>
        <w:spacing w:line="1" w:lineRule="exact"/>
        <w:ind w:right="-305"/>
      </w:pPr>
    </w:p>
    <w:p w14:paraId="71EC9B0A" w14:textId="77777777" w:rsidR="00992061" w:rsidRPr="00DF57C5" w:rsidRDefault="00D1402E" w:rsidP="00DF57C5">
      <w:pPr>
        <w:ind w:right="-305"/>
      </w:pPr>
      <w:r w:rsidRPr="00DF57C5">
        <w:rPr>
          <w:rFonts w:eastAsia="Times New Roman"/>
        </w:rPr>
        <w:t>дегенерация и възпаление, зачервяване и алопеция), яйчниците (атрофия), черния дроб</w:t>
      </w:r>
    </w:p>
    <w:p w14:paraId="1D04D5E1" w14:textId="77777777" w:rsidR="00992061" w:rsidRPr="00DF57C5" w:rsidRDefault="00992061" w:rsidP="00DF57C5">
      <w:pPr>
        <w:spacing w:line="1" w:lineRule="exact"/>
        <w:ind w:right="-305"/>
      </w:pPr>
    </w:p>
    <w:p w14:paraId="5D8DED55" w14:textId="77777777" w:rsidR="00992061" w:rsidRPr="00DF57C5" w:rsidRDefault="00D1402E" w:rsidP="00DF57C5">
      <w:pPr>
        <w:ind w:right="-305"/>
      </w:pPr>
      <w:r w:rsidRPr="00DF57C5">
        <w:rPr>
          <w:rFonts w:eastAsia="Times New Roman"/>
        </w:rPr>
        <w:t>(чернодробна некроза), бъбреците (бъбречна папиларна некроза и дилатация на тубулите) и на</w:t>
      </w:r>
    </w:p>
    <w:p w14:paraId="28D6B27E" w14:textId="77777777" w:rsidR="00992061" w:rsidRPr="00DF57C5" w:rsidRDefault="00D1402E" w:rsidP="00DF57C5">
      <w:pPr>
        <w:spacing w:line="238" w:lineRule="auto"/>
        <w:ind w:right="-305"/>
      </w:pPr>
      <w:r w:rsidRPr="00DF57C5">
        <w:rPr>
          <w:rFonts w:eastAsia="Times New Roman"/>
        </w:rPr>
        <w:t>стомашно-чревния тракт (забавено изпразване на стомаха и диария). Броят на червените кръвни</w:t>
      </w:r>
    </w:p>
    <w:p w14:paraId="4F8A52BB" w14:textId="77777777" w:rsidR="00992061" w:rsidRPr="00DF57C5" w:rsidRDefault="00D1402E" w:rsidP="00DF57C5">
      <w:pPr>
        <w:ind w:right="-305"/>
      </w:pPr>
      <w:r w:rsidRPr="00DF57C5">
        <w:rPr>
          <w:rFonts w:eastAsia="Times New Roman"/>
        </w:rPr>
        <w:t>клетки е бил намален, а на белите кръвни клетки, предимно неутрофилите – увеличен.</w:t>
      </w:r>
    </w:p>
    <w:p w14:paraId="0894AA4D" w14:textId="77777777" w:rsidR="00992061" w:rsidRPr="00DF57C5" w:rsidRDefault="00992061" w:rsidP="00DF57C5">
      <w:pPr>
        <w:spacing w:line="1" w:lineRule="exact"/>
        <w:ind w:right="-305"/>
      </w:pPr>
    </w:p>
    <w:p w14:paraId="4A5601B2" w14:textId="77777777" w:rsidR="00992061" w:rsidRPr="00DF57C5" w:rsidRDefault="00D1402E" w:rsidP="00DF57C5">
      <w:pPr>
        <w:ind w:right="-305"/>
      </w:pPr>
      <w:r w:rsidRPr="00DF57C5">
        <w:rPr>
          <w:rFonts w:eastAsia="Times New Roman"/>
        </w:rPr>
        <w:t>Наблюдавано е повишение на ALT, AST и билирубин, свързано с третирането. Тези находки са</w:t>
      </w:r>
    </w:p>
    <w:p w14:paraId="608BEC91" w14:textId="77777777" w:rsidR="00992061" w:rsidRPr="00DF57C5" w:rsidRDefault="00992061" w:rsidP="00DF57C5">
      <w:pPr>
        <w:spacing w:line="1" w:lineRule="exact"/>
        <w:ind w:right="-305"/>
      </w:pPr>
    </w:p>
    <w:p w14:paraId="72FF6DE2" w14:textId="77777777" w:rsidR="00992061" w:rsidRPr="00DF57C5" w:rsidRDefault="00D1402E" w:rsidP="00DF57C5">
      <w:pPr>
        <w:ind w:right="-305"/>
      </w:pPr>
      <w:r w:rsidRPr="00DF57C5">
        <w:rPr>
          <w:rFonts w:eastAsia="Times New Roman"/>
        </w:rPr>
        <w:t>наблюдавани при експозиция доста под клинично значимата.</w:t>
      </w:r>
    </w:p>
    <w:p w14:paraId="4C2776EE" w14:textId="77777777" w:rsidR="00992061" w:rsidRPr="00DF57C5" w:rsidRDefault="00992061" w:rsidP="00DF57C5">
      <w:pPr>
        <w:spacing w:line="251" w:lineRule="exact"/>
        <w:ind w:right="-305"/>
      </w:pPr>
    </w:p>
    <w:p w14:paraId="210A5DCE" w14:textId="77777777" w:rsidR="00992061" w:rsidRPr="00DF57C5" w:rsidRDefault="00D1402E" w:rsidP="00DF57C5">
      <w:pPr>
        <w:spacing w:line="246" w:lineRule="auto"/>
        <w:ind w:right="-305"/>
      </w:pPr>
      <w:r w:rsidRPr="00DF57C5">
        <w:rPr>
          <w:rFonts w:eastAsia="Times New Roman"/>
        </w:rPr>
        <w:t>От начина на действие на ерлотиниб може да се заключи, че той може да бъде потенциален тератоген. Данни от тестовете за репродуктивна токсичност върху плъхове и зайци в дози, близки до максимално поносимите и/или дози, токсични за майката, са показали репродуктивна токсичност (ембриотоксичност при плъхове, ембрионална резорбция и фетотоксичност при зайци) и увреждане на развитието (намаление на растежа на малките и на преживяемостта при плъхове), но продуктът няма тератогенен ефект и не уврежда фертилитета. Тези находки са наблюдавани при клинично значима експозиция.</w:t>
      </w:r>
    </w:p>
    <w:p w14:paraId="25BD7D68" w14:textId="77777777" w:rsidR="00992061" w:rsidRPr="00DF57C5" w:rsidRDefault="00992061" w:rsidP="00DF57C5">
      <w:pPr>
        <w:spacing w:line="210" w:lineRule="exact"/>
        <w:ind w:right="-305"/>
      </w:pPr>
    </w:p>
    <w:p w14:paraId="7180C2E3" w14:textId="77777777" w:rsidR="00992061" w:rsidRPr="00DF57C5" w:rsidRDefault="00D1402E" w:rsidP="00A05772">
      <w:pPr>
        <w:ind w:right="-306"/>
      </w:pPr>
      <w:r w:rsidRPr="00DF57C5">
        <w:rPr>
          <w:rFonts w:eastAsia="Times New Roman"/>
        </w:rPr>
        <w:t>Ерлотиниб не е показал генотоксичен ефект при конвенционалните проучвания за генотоксичност. Двугодишните проучвания за карциногенност с ерлотиниб, проведени върху</w:t>
      </w:r>
    </w:p>
    <w:p w14:paraId="1639E361" w14:textId="5F8D3C4B" w:rsidR="00992061" w:rsidRPr="00DF57C5" w:rsidRDefault="00D1402E" w:rsidP="00A05772">
      <w:pPr>
        <w:ind w:left="6" w:right="-335"/>
      </w:pPr>
      <w:bookmarkStart w:id="22" w:name="page25"/>
      <w:bookmarkEnd w:id="22"/>
      <w:r w:rsidRPr="00DF57C5">
        <w:rPr>
          <w:rFonts w:eastAsia="Times New Roman"/>
        </w:rPr>
        <w:t>плъхове и мишки са отрицателни до експозиции, надхвърлящи терапевтичната експозиция при човека (съответно до 2 и 10 пъти по-висока, въз основа на Cmax и/или AUC).</w:t>
      </w:r>
    </w:p>
    <w:p w14:paraId="45D4C300" w14:textId="77777777" w:rsidR="00992061" w:rsidRPr="00DF57C5" w:rsidRDefault="00992061" w:rsidP="00DF57C5">
      <w:pPr>
        <w:spacing w:line="166" w:lineRule="exact"/>
        <w:ind w:right="-336"/>
      </w:pPr>
    </w:p>
    <w:p w14:paraId="0E49AAC6" w14:textId="77777777" w:rsidR="00992061" w:rsidRPr="00DF57C5" w:rsidRDefault="00D1402E" w:rsidP="00DF57C5">
      <w:pPr>
        <w:ind w:left="4" w:right="-336"/>
      </w:pPr>
      <w:r w:rsidRPr="00DF57C5">
        <w:rPr>
          <w:rFonts w:eastAsia="Times New Roman"/>
        </w:rPr>
        <w:lastRenderedPageBreak/>
        <w:t>При плъхове е наблюдавана лека фототоксична кожна реакция след облъчване с UV лъчи.</w:t>
      </w:r>
    </w:p>
    <w:p w14:paraId="3B292441" w14:textId="77777777" w:rsidR="00992061" w:rsidRDefault="00992061">
      <w:pPr>
        <w:spacing w:line="200" w:lineRule="exact"/>
        <w:rPr>
          <w:sz w:val="20"/>
          <w:szCs w:val="20"/>
        </w:rPr>
      </w:pPr>
    </w:p>
    <w:p w14:paraId="34609F8A" w14:textId="77777777" w:rsidR="00992061" w:rsidRDefault="00992061">
      <w:pPr>
        <w:spacing w:line="307" w:lineRule="exact"/>
        <w:rPr>
          <w:sz w:val="20"/>
          <w:szCs w:val="20"/>
        </w:rPr>
      </w:pPr>
    </w:p>
    <w:p w14:paraId="79D5475F" w14:textId="77777777" w:rsidR="00992061" w:rsidRDefault="00D1402E">
      <w:pPr>
        <w:numPr>
          <w:ilvl w:val="0"/>
          <w:numId w:val="21"/>
        </w:numPr>
        <w:tabs>
          <w:tab w:val="left" w:pos="564"/>
        </w:tabs>
        <w:ind w:left="564" w:hanging="564"/>
        <w:rPr>
          <w:rFonts w:eastAsia="Times New Roman"/>
          <w:b/>
          <w:bCs/>
        </w:rPr>
      </w:pPr>
      <w:r>
        <w:rPr>
          <w:rFonts w:eastAsia="Times New Roman"/>
          <w:b/>
          <w:bCs/>
        </w:rPr>
        <w:t>ФАРМАЦЕВТИЧНИ ДАННИ</w:t>
      </w:r>
    </w:p>
    <w:p w14:paraId="06200A57" w14:textId="77777777" w:rsidR="00992061" w:rsidRDefault="00992061">
      <w:pPr>
        <w:spacing w:line="256" w:lineRule="exact"/>
        <w:rPr>
          <w:sz w:val="20"/>
          <w:szCs w:val="20"/>
        </w:rPr>
      </w:pPr>
    </w:p>
    <w:p w14:paraId="163964C7" w14:textId="77777777" w:rsidR="00992061" w:rsidRDefault="00D1402E">
      <w:pPr>
        <w:tabs>
          <w:tab w:val="left" w:pos="543"/>
        </w:tabs>
        <w:ind w:left="4"/>
        <w:rPr>
          <w:sz w:val="20"/>
          <w:szCs w:val="20"/>
        </w:rPr>
      </w:pPr>
      <w:r>
        <w:rPr>
          <w:rFonts w:eastAsia="Times New Roman"/>
          <w:b/>
          <w:bCs/>
        </w:rPr>
        <w:t>6.1</w:t>
      </w:r>
      <w:r>
        <w:rPr>
          <w:sz w:val="20"/>
          <w:szCs w:val="20"/>
        </w:rPr>
        <w:tab/>
      </w:r>
      <w:r w:rsidRPr="00DF57C5">
        <w:rPr>
          <w:rFonts w:eastAsia="Times New Roman"/>
          <w:b/>
          <w:bCs/>
        </w:rPr>
        <w:t>Списък на помощните вещества</w:t>
      </w:r>
    </w:p>
    <w:p w14:paraId="32DBF079" w14:textId="77777777" w:rsidR="00992061" w:rsidRDefault="00992061">
      <w:pPr>
        <w:spacing w:line="250" w:lineRule="exact"/>
        <w:rPr>
          <w:sz w:val="20"/>
          <w:szCs w:val="20"/>
        </w:rPr>
      </w:pPr>
    </w:p>
    <w:p w14:paraId="3AA5250E" w14:textId="77777777" w:rsidR="00992061" w:rsidRDefault="00D1402E">
      <w:pPr>
        <w:ind w:left="4"/>
        <w:rPr>
          <w:sz w:val="20"/>
          <w:szCs w:val="20"/>
        </w:rPr>
      </w:pPr>
      <w:r>
        <w:rPr>
          <w:rFonts w:eastAsia="Times New Roman"/>
          <w:u w:val="single"/>
        </w:rPr>
        <w:t>Ядро на таблетката</w:t>
      </w:r>
    </w:p>
    <w:p w14:paraId="6C8B4E6B" w14:textId="77777777" w:rsidR="00992061" w:rsidRPr="00CB4984" w:rsidRDefault="00D1402E">
      <w:pPr>
        <w:spacing w:line="238" w:lineRule="auto"/>
        <w:ind w:left="4"/>
      </w:pPr>
      <w:r w:rsidRPr="00CB4984">
        <w:rPr>
          <w:rFonts w:eastAsia="Times New Roman"/>
        </w:rPr>
        <w:t>лактоза монохидрат</w:t>
      </w:r>
    </w:p>
    <w:p w14:paraId="374C51E3" w14:textId="0EDC5762" w:rsidR="00992061" w:rsidRPr="00CB4984" w:rsidRDefault="00D1402E">
      <w:pPr>
        <w:ind w:left="4"/>
      </w:pPr>
      <w:r w:rsidRPr="00CB4984">
        <w:rPr>
          <w:rFonts w:eastAsia="Times New Roman"/>
        </w:rPr>
        <w:t xml:space="preserve">микрокристална </w:t>
      </w:r>
      <w:r w:rsidR="00B37830" w:rsidRPr="00CB4984">
        <w:rPr>
          <w:rFonts w:eastAsia="Times New Roman"/>
          <w:lang w:val="bg-BG"/>
        </w:rPr>
        <w:t xml:space="preserve">целулоза </w:t>
      </w:r>
      <w:r w:rsidR="00CB4984" w:rsidRPr="00CB4984">
        <w:rPr>
          <w:rFonts w:eastAsia="Times New Roman"/>
          <w:lang w:val="bg-BG"/>
        </w:rPr>
        <w:t>и калциев хидрогенфосфат</w:t>
      </w:r>
      <w:r w:rsidR="00B37830">
        <w:rPr>
          <w:rFonts w:eastAsia="Times New Roman"/>
          <w:lang w:val="bg-BG"/>
        </w:rPr>
        <w:t xml:space="preserve">, </w:t>
      </w:r>
      <w:r w:rsidR="00B37830" w:rsidRPr="00CB4984">
        <w:rPr>
          <w:rFonts w:eastAsia="Times New Roman"/>
          <w:lang w:val="bg-BG"/>
        </w:rPr>
        <w:t>безводен</w:t>
      </w:r>
    </w:p>
    <w:p w14:paraId="05EE446A" w14:textId="77777777" w:rsidR="00992061" w:rsidRPr="00CB4984" w:rsidRDefault="00992061">
      <w:pPr>
        <w:spacing w:line="1" w:lineRule="exact"/>
      </w:pPr>
    </w:p>
    <w:p w14:paraId="20C34CE8" w14:textId="77777777" w:rsidR="00992061" w:rsidRPr="00CB4984" w:rsidRDefault="00CB4984">
      <w:pPr>
        <w:ind w:left="4"/>
        <w:rPr>
          <w:rFonts w:eastAsia="Times New Roman"/>
        </w:rPr>
      </w:pPr>
      <w:r w:rsidRPr="00CB4984">
        <w:rPr>
          <w:rFonts w:eastAsia="Times New Roman"/>
        </w:rPr>
        <w:t>натриев нишестен гликолат</w:t>
      </w:r>
    </w:p>
    <w:p w14:paraId="7F6A352C" w14:textId="77777777" w:rsidR="00CB4984" w:rsidRPr="00CB4984" w:rsidRDefault="00CB4984">
      <w:pPr>
        <w:ind w:left="4"/>
        <w:rPr>
          <w:lang w:val="bg-BG"/>
        </w:rPr>
      </w:pPr>
      <w:r w:rsidRPr="00CB4984">
        <w:rPr>
          <w:lang w:val="bg-BG"/>
        </w:rPr>
        <w:t>силициев диоксид, колоиден, безводен</w:t>
      </w:r>
    </w:p>
    <w:p w14:paraId="2886D179" w14:textId="36110738" w:rsidR="00CB4984" w:rsidRPr="00CB4984" w:rsidRDefault="00CB4984">
      <w:pPr>
        <w:ind w:left="4"/>
        <w:rPr>
          <w:lang w:val="bg-BG"/>
        </w:rPr>
      </w:pPr>
      <w:r w:rsidRPr="00CB4984">
        <w:rPr>
          <w:lang w:val="bg-BG"/>
        </w:rPr>
        <w:t xml:space="preserve">микрокристална </w:t>
      </w:r>
      <w:r w:rsidR="00B37830" w:rsidRPr="00CB4984">
        <w:rPr>
          <w:lang w:val="bg-BG"/>
        </w:rPr>
        <w:t xml:space="preserve">целулоза </w:t>
      </w:r>
      <w:r w:rsidRPr="00CB4984">
        <w:rPr>
          <w:lang w:val="bg-BG"/>
        </w:rPr>
        <w:t>(Е460)</w:t>
      </w:r>
    </w:p>
    <w:p w14:paraId="571EC56E" w14:textId="77777777" w:rsidR="00992061" w:rsidRPr="00CB4984" w:rsidRDefault="00992061">
      <w:pPr>
        <w:spacing w:line="1" w:lineRule="exact"/>
      </w:pPr>
    </w:p>
    <w:p w14:paraId="5288E8D2" w14:textId="77777777" w:rsidR="00CB4984" w:rsidRPr="00CB4984" w:rsidRDefault="00D1402E">
      <w:pPr>
        <w:ind w:left="4"/>
      </w:pPr>
      <w:r w:rsidRPr="00CB4984">
        <w:rPr>
          <w:rFonts w:eastAsia="Times New Roman"/>
        </w:rPr>
        <w:t>натриев лаурилсулфат</w:t>
      </w:r>
    </w:p>
    <w:p w14:paraId="6958B4A7" w14:textId="77777777" w:rsidR="00992061" w:rsidRPr="00CB4984" w:rsidRDefault="00D1402E">
      <w:pPr>
        <w:ind w:left="4"/>
      </w:pPr>
      <w:r w:rsidRPr="00CB4984">
        <w:rPr>
          <w:rFonts w:eastAsia="Times New Roman"/>
        </w:rPr>
        <w:t>магнезиев стеарат (E470 b)</w:t>
      </w:r>
    </w:p>
    <w:p w14:paraId="0B1747E2" w14:textId="77777777" w:rsidR="00992061" w:rsidRDefault="00992061">
      <w:pPr>
        <w:spacing w:line="251" w:lineRule="exact"/>
        <w:rPr>
          <w:sz w:val="20"/>
          <w:szCs w:val="20"/>
        </w:rPr>
      </w:pPr>
    </w:p>
    <w:p w14:paraId="172D5B15" w14:textId="77777777" w:rsidR="00992061" w:rsidRDefault="00D1402E">
      <w:pPr>
        <w:ind w:left="4"/>
        <w:rPr>
          <w:sz w:val="20"/>
          <w:szCs w:val="20"/>
        </w:rPr>
      </w:pPr>
      <w:r>
        <w:rPr>
          <w:rFonts w:eastAsia="Times New Roman"/>
          <w:u w:val="single"/>
        </w:rPr>
        <w:t>Обвивка на таблетката</w:t>
      </w:r>
    </w:p>
    <w:p w14:paraId="420BEE06" w14:textId="77777777" w:rsidR="00CB4984" w:rsidRDefault="00CB4984" w:rsidP="00CB4984">
      <w:pPr>
        <w:ind w:left="4"/>
        <w:rPr>
          <w:sz w:val="20"/>
          <w:szCs w:val="20"/>
        </w:rPr>
      </w:pPr>
      <w:r>
        <w:rPr>
          <w:rFonts w:eastAsia="Times New Roman"/>
        </w:rPr>
        <w:t>хипромелоза (E464)</w:t>
      </w:r>
    </w:p>
    <w:p w14:paraId="5EB73B43" w14:textId="77777777" w:rsidR="00992061" w:rsidRDefault="00D1402E">
      <w:pPr>
        <w:spacing w:line="238" w:lineRule="auto"/>
        <w:ind w:left="4"/>
        <w:rPr>
          <w:sz w:val="20"/>
          <w:szCs w:val="20"/>
        </w:rPr>
      </w:pPr>
      <w:r>
        <w:rPr>
          <w:rFonts w:eastAsia="Times New Roman"/>
        </w:rPr>
        <w:t>хидроксипропил целулоза (E463)</w:t>
      </w:r>
    </w:p>
    <w:p w14:paraId="36696670" w14:textId="77777777" w:rsidR="00992061" w:rsidRDefault="00D1402E">
      <w:pPr>
        <w:ind w:left="4"/>
        <w:rPr>
          <w:sz w:val="20"/>
          <w:szCs w:val="20"/>
        </w:rPr>
      </w:pPr>
      <w:r>
        <w:rPr>
          <w:rFonts w:eastAsia="Times New Roman"/>
        </w:rPr>
        <w:t>титанов диоксид (E171)</w:t>
      </w:r>
    </w:p>
    <w:p w14:paraId="048B9C26" w14:textId="77777777" w:rsidR="00992061" w:rsidRDefault="00992061">
      <w:pPr>
        <w:spacing w:line="1" w:lineRule="exact"/>
        <w:rPr>
          <w:sz w:val="20"/>
          <w:szCs w:val="20"/>
        </w:rPr>
      </w:pPr>
    </w:p>
    <w:p w14:paraId="7AF21FE3" w14:textId="77777777" w:rsidR="00992061" w:rsidRDefault="00D1402E">
      <w:pPr>
        <w:ind w:left="4"/>
        <w:rPr>
          <w:sz w:val="20"/>
          <w:szCs w:val="20"/>
        </w:rPr>
      </w:pPr>
      <w:r>
        <w:rPr>
          <w:rFonts w:eastAsia="Times New Roman"/>
        </w:rPr>
        <w:t>макрогол</w:t>
      </w:r>
    </w:p>
    <w:p w14:paraId="35BE4F9C" w14:textId="77777777" w:rsidR="00992061" w:rsidRDefault="00992061">
      <w:pPr>
        <w:spacing w:line="1" w:lineRule="exact"/>
        <w:rPr>
          <w:sz w:val="20"/>
          <w:szCs w:val="20"/>
        </w:rPr>
      </w:pPr>
    </w:p>
    <w:p w14:paraId="6100EF28" w14:textId="77777777" w:rsidR="00992061" w:rsidRDefault="00992061">
      <w:pPr>
        <w:spacing w:line="252" w:lineRule="exact"/>
        <w:rPr>
          <w:sz w:val="20"/>
          <w:szCs w:val="20"/>
        </w:rPr>
      </w:pPr>
    </w:p>
    <w:p w14:paraId="7BE3C96A" w14:textId="77777777" w:rsidR="00992061" w:rsidRPr="00DF57C5" w:rsidRDefault="00D1402E">
      <w:pPr>
        <w:tabs>
          <w:tab w:val="left" w:pos="543"/>
        </w:tabs>
        <w:ind w:left="4"/>
      </w:pPr>
      <w:r w:rsidRPr="00DF57C5">
        <w:rPr>
          <w:rFonts w:eastAsia="Times New Roman"/>
          <w:b/>
          <w:bCs/>
        </w:rPr>
        <w:t>6.2</w:t>
      </w:r>
      <w:r w:rsidRPr="00DF57C5">
        <w:tab/>
      </w:r>
      <w:r w:rsidRPr="00DF57C5">
        <w:rPr>
          <w:rFonts w:eastAsia="Times New Roman"/>
          <w:b/>
          <w:bCs/>
        </w:rPr>
        <w:t>Несъвместимости</w:t>
      </w:r>
    </w:p>
    <w:p w14:paraId="6CB2D952" w14:textId="77777777" w:rsidR="00992061" w:rsidRDefault="00992061">
      <w:pPr>
        <w:spacing w:line="254" w:lineRule="exact"/>
        <w:rPr>
          <w:sz w:val="20"/>
          <w:szCs w:val="20"/>
        </w:rPr>
      </w:pPr>
    </w:p>
    <w:p w14:paraId="24481BB2" w14:textId="77777777" w:rsidR="00992061" w:rsidRDefault="00D1402E">
      <w:pPr>
        <w:ind w:left="4"/>
        <w:rPr>
          <w:sz w:val="20"/>
          <w:szCs w:val="20"/>
        </w:rPr>
      </w:pPr>
      <w:r>
        <w:rPr>
          <w:rFonts w:eastAsia="Times New Roman"/>
        </w:rPr>
        <w:t>Неприложимо</w:t>
      </w:r>
    </w:p>
    <w:p w14:paraId="7D5B4DB5" w14:textId="77777777" w:rsidR="00992061" w:rsidRDefault="00992061">
      <w:pPr>
        <w:spacing w:line="252" w:lineRule="exact"/>
        <w:rPr>
          <w:sz w:val="20"/>
          <w:szCs w:val="20"/>
        </w:rPr>
      </w:pPr>
    </w:p>
    <w:p w14:paraId="32C114FC" w14:textId="77777777" w:rsidR="00992061" w:rsidRPr="00DF57C5" w:rsidRDefault="00D1402E" w:rsidP="00CB4984">
      <w:pPr>
        <w:pStyle w:val="ListParagraph"/>
        <w:numPr>
          <w:ilvl w:val="1"/>
          <w:numId w:val="110"/>
        </w:numPr>
        <w:tabs>
          <w:tab w:val="left" w:pos="543"/>
        </w:tabs>
      </w:pPr>
      <w:r w:rsidRPr="00DF57C5">
        <w:rPr>
          <w:rFonts w:eastAsia="Times New Roman"/>
          <w:b/>
          <w:bCs/>
        </w:rPr>
        <w:t>Срок на годност</w:t>
      </w:r>
    </w:p>
    <w:p w14:paraId="344EE7AE" w14:textId="77777777" w:rsidR="00992061" w:rsidRDefault="00992061">
      <w:pPr>
        <w:spacing w:line="250" w:lineRule="exact"/>
        <w:rPr>
          <w:sz w:val="20"/>
          <w:szCs w:val="20"/>
        </w:rPr>
      </w:pPr>
    </w:p>
    <w:p w14:paraId="521AD9C6" w14:textId="4880A12D" w:rsidR="00992061" w:rsidRDefault="00CB4984" w:rsidP="00CB4984">
      <w:pPr>
        <w:tabs>
          <w:tab w:val="left" w:pos="164"/>
        </w:tabs>
        <w:rPr>
          <w:rFonts w:eastAsia="Times New Roman"/>
        </w:rPr>
      </w:pPr>
      <w:r>
        <w:rPr>
          <w:rFonts w:eastAsia="Times New Roman"/>
          <w:lang w:val="bg-BG"/>
        </w:rPr>
        <w:t>3</w:t>
      </w:r>
      <w:r w:rsidR="002239D4">
        <w:rPr>
          <w:rFonts w:eastAsia="Times New Roman"/>
        </w:rPr>
        <w:t xml:space="preserve"> </w:t>
      </w:r>
      <w:r w:rsidR="00D1402E">
        <w:rPr>
          <w:rFonts w:eastAsia="Times New Roman"/>
        </w:rPr>
        <w:t>години</w:t>
      </w:r>
    </w:p>
    <w:p w14:paraId="6B21596B" w14:textId="77777777" w:rsidR="00992061" w:rsidRDefault="00992061">
      <w:pPr>
        <w:spacing w:line="257" w:lineRule="exact"/>
        <w:rPr>
          <w:sz w:val="20"/>
          <w:szCs w:val="20"/>
        </w:rPr>
      </w:pPr>
    </w:p>
    <w:p w14:paraId="79704B90" w14:textId="77777777" w:rsidR="00992061" w:rsidRDefault="00D1402E">
      <w:pPr>
        <w:tabs>
          <w:tab w:val="left" w:pos="543"/>
        </w:tabs>
        <w:ind w:left="4"/>
        <w:rPr>
          <w:sz w:val="20"/>
          <w:szCs w:val="20"/>
        </w:rPr>
      </w:pPr>
      <w:r>
        <w:rPr>
          <w:rFonts w:eastAsia="Times New Roman"/>
          <w:b/>
          <w:bCs/>
        </w:rPr>
        <w:t>6.4</w:t>
      </w:r>
      <w:r>
        <w:rPr>
          <w:sz w:val="20"/>
          <w:szCs w:val="20"/>
        </w:rPr>
        <w:tab/>
      </w:r>
      <w:r>
        <w:rPr>
          <w:rFonts w:eastAsia="Times New Roman"/>
          <w:b/>
          <w:bCs/>
        </w:rPr>
        <w:t>Специални условия на съхранение</w:t>
      </w:r>
    </w:p>
    <w:p w14:paraId="640FD084" w14:textId="77777777" w:rsidR="00992061" w:rsidRDefault="00992061">
      <w:pPr>
        <w:spacing w:line="250" w:lineRule="exact"/>
        <w:rPr>
          <w:sz w:val="20"/>
          <w:szCs w:val="20"/>
        </w:rPr>
      </w:pPr>
    </w:p>
    <w:p w14:paraId="4DBF45DF" w14:textId="77777777" w:rsidR="00992061" w:rsidRDefault="00D1402E">
      <w:pPr>
        <w:ind w:left="4"/>
        <w:rPr>
          <w:sz w:val="20"/>
          <w:szCs w:val="20"/>
        </w:rPr>
      </w:pPr>
      <w:r>
        <w:rPr>
          <w:rFonts w:eastAsia="Times New Roman"/>
        </w:rPr>
        <w:t>Този лекарствен продукт не изисква специални условия за съхранение</w:t>
      </w:r>
    </w:p>
    <w:p w14:paraId="3DE867C2" w14:textId="77777777" w:rsidR="00992061" w:rsidRDefault="00992061">
      <w:pPr>
        <w:spacing w:line="257" w:lineRule="exact"/>
        <w:rPr>
          <w:sz w:val="20"/>
          <w:szCs w:val="20"/>
        </w:rPr>
      </w:pPr>
    </w:p>
    <w:p w14:paraId="17E15EF6" w14:textId="77777777" w:rsidR="00992061" w:rsidRDefault="00D1402E">
      <w:pPr>
        <w:tabs>
          <w:tab w:val="left" w:pos="543"/>
        </w:tabs>
        <w:ind w:left="4"/>
        <w:rPr>
          <w:sz w:val="20"/>
          <w:szCs w:val="20"/>
        </w:rPr>
      </w:pPr>
      <w:r>
        <w:rPr>
          <w:rFonts w:eastAsia="Times New Roman"/>
          <w:b/>
          <w:bCs/>
        </w:rPr>
        <w:t>6.5</w:t>
      </w:r>
      <w:r>
        <w:rPr>
          <w:sz w:val="20"/>
          <w:szCs w:val="20"/>
        </w:rPr>
        <w:tab/>
      </w:r>
      <w:r>
        <w:rPr>
          <w:rFonts w:eastAsia="Times New Roman"/>
          <w:b/>
          <w:bCs/>
        </w:rPr>
        <w:t>Вид и съдържание на опаковката</w:t>
      </w:r>
    </w:p>
    <w:p w14:paraId="3C04C2E8" w14:textId="77777777" w:rsidR="00992061" w:rsidRDefault="00992061">
      <w:pPr>
        <w:spacing w:line="250" w:lineRule="exact"/>
        <w:rPr>
          <w:sz w:val="20"/>
          <w:szCs w:val="20"/>
        </w:rPr>
      </w:pPr>
    </w:p>
    <w:p w14:paraId="1DB61952" w14:textId="77777777" w:rsidR="00992061" w:rsidRDefault="00CB4984">
      <w:pPr>
        <w:ind w:left="4"/>
        <w:rPr>
          <w:rFonts w:eastAsia="Times New Roman"/>
          <w:lang w:val="bg-BG"/>
        </w:rPr>
      </w:pPr>
      <w:r w:rsidRPr="0081296E">
        <w:t xml:space="preserve">oPA/Al/PVC/Al </w:t>
      </w:r>
      <w:r w:rsidR="00742290">
        <w:rPr>
          <w:rFonts w:eastAsia="Times New Roman"/>
          <w:lang w:val="bg-BG"/>
        </w:rPr>
        <w:t>блистери.</w:t>
      </w:r>
    </w:p>
    <w:p w14:paraId="6DF62CDD" w14:textId="77777777" w:rsidR="00742290" w:rsidRPr="00742290" w:rsidRDefault="00742290">
      <w:pPr>
        <w:ind w:left="4"/>
        <w:rPr>
          <w:sz w:val="20"/>
          <w:szCs w:val="20"/>
        </w:rPr>
      </w:pPr>
      <w:r>
        <w:rPr>
          <w:rFonts w:eastAsia="Times New Roman"/>
          <w:lang w:val="bg-BG"/>
        </w:rPr>
        <w:t>Картонени кутии, съдържащи 30 таблетки.</w:t>
      </w:r>
    </w:p>
    <w:p w14:paraId="1823FE78" w14:textId="77777777" w:rsidR="00992061" w:rsidRDefault="00992061">
      <w:pPr>
        <w:spacing w:line="252" w:lineRule="exact"/>
        <w:rPr>
          <w:sz w:val="20"/>
          <w:szCs w:val="20"/>
        </w:rPr>
      </w:pPr>
    </w:p>
    <w:p w14:paraId="37E5EF87" w14:textId="77777777" w:rsidR="00992061" w:rsidRDefault="00D1402E">
      <w:pPr>
        <w:tabs>
          <w:tab w:val="left" w:pos="543"/>
        </w:tabs>
        <w:ind w:left="4"/>
        <w:rPr>
          <w:sz w:val="20"/>
          <w:szCs w:val="20"/>
        </w:rPr>
      </w:pPr>
      <w:r>
        <w:rPr>
          <w:rFonts w:eastAsia="Times New Roman"/>
          <w:b/>
          <w:bCs/>
        </w:rPr>
        <w:t>6.6</w:t>
      </w:r>
      <w:r>
        <w:rPr>
          <w:sz w:val="20"/>
          <w:szCs w:val="20"/>
        </w:rPr>
        <w:tab/>
      </w:r>
      <w:r>
        <w:rPr>
          <w:rFonts w:eastAsia="Times New Roman"/>
          <w:b/>
          <w:bCs/>
          <w:sz w:val="21"/>
          <w:szCs w:val="21"/>
        </w:rPr>
        <w:t>Специални предпазни мерки при изхвърляне</w:t>
      </w:r>
    </w:p>
    <w:p w14:paraId="0B22CEC9" w14:textId="77777777" w:rsidR="00992061" w:rsidRDefault="00992061">
      <w:pPr>
        <w:spacing w:line="254" w:lineRule="exact"/>
        <w:rPr>
          <w:sz w:val="20"/>
          <w:szCs w:val="20"/>
        </w:rPr>
      </w:pPr>
    </w:p>
    <w:p w14:paraId="5163A619" w14:textId="77777777" w:rsidR="00992061" w:rsidRDefault="00D1402E">
      <w:pPr>
        <w:ind w:left="4"/>
        <w:rPr>
          <w:sz w:val="20"/>
          <w:szCs w:val="20"/>
        </w:rPr>
      </w:pPr>
      <w:r>
        <w:rPr>
          <w:rFonts w:eastAsia="Times New Roman"/>
        </w:rPr>
        <w:t>Няма специални изисквания за изхвърляне.</w:t>
      </w:r>
    </w:p>
    <w:p w14:paraId="76E7E5F2" w14:textId="77777777" w:rsidR="00992061" w:rsidRDefault="00992061">
      <w:pPr>
        <w:spacing w:line="1" w:lineRule="exact"/>
        <w:rPr>
          <w:sz w:val="20"/>
          <w:szCs w:val="20"/>
        </w:rPr>
      </w:pPr>
    </w:p>
    <w:p w14:paraId="396D5F17" w14:textId="77777777" w:rsidR="00992061" w:rsidRPr="00B37830" w:rsidRDefault="00D1402E" w:rsidP="00B37830">
      <w:pPr>
        <w:ind w:left="4"/>
        <w:rPr>
          <w:rFonts w:eastAsia="Times New Roman"/>
        </w:rPr>
      </w:pPr>
      <w:r>
        <w:rPr>
          <w:rFonts w:eastAsia="Times New Roman"/>
        </w:rPr>
        <w:t>Неизползваният лекарствен продукт или отпадъчните материали от него трябва да се изхвърлят в съответствие с местните изисквания.</w:t>
      </w:r>
    </w:p>
    <w:p w14:paraId="33E5B7AB" w14:textId="77777777" w:rsidR="00992061" w:rsidRDefault="00992061">
      <w:pPr>
        <w:spacing w:line="200" w:lineRule="exact"/>
        <w:rPr>
          <w:sz w:val="20"/>
          <w:szCs w:val="20"/>
        </w:rPr>
      </w:pPr>
    </w:p>
    <w:p w14:paraId="0EC3EB73" w14:textId="77777777" w:rsidR="00992061" w:rsidRDefault="00992061">
      <w:pPr>
        <w:spacing w:line="225" w:lineRule="exact"/>
        <w:rPr>
          <w:sz w:val="20"/>
          <w:szCs w:val="20"/>
        </w:rPr>
      </w:pPr>
    </w:p>
    <w:p w14:paraId="0D2C4378" w14:textId="77777777" w:rsidR="00992061" w:rsidRDefault="00D1402E">
      <w:pPr>
        <w:numPr>
          <w:ilvl w:val="0"/>
          <w:numId w:val="23"/>
        </w:numPr>
        <w:tabs>
          <w:tab w:val="left" w:pos="564"/>
        </w:tabs>
        <w:ind w:left="564" w:hanging="564"/>
        <w:rPr>
          <w:rFonts w:eastAsia="Times New Roman"/>
          <w:b/>
          <w:bCs/>
        </w:rPr>
      </w:pPr>
      <w:r>
        <w:rPr>
          <w:rFonts w:eastAsia="Times New Roman"/>
          <w:b/>
          <w:bCs/>
        </w:rPr>
        <w:t>ПРИТЕЖАТЕЛ НА РАЗРЕШЕНИЕТО ЗА УПОТРЕБА</w:t>
      </w:r>
    </w:p>
    <w:p w14:paraId="7624F7E8" w14:textId="77777777" w:rsidR="00992061" w:rsidRDefault="00992061">
      <w:pPr>
        <w:spacing w:line="251" w:lineRule="exact"/>
        <w:rPr>
          <w:sz w:val="20"/>
          <w:szCs w:val="20"/>
        </w:rPr>
      </w:pPr>
    </w:p>
    <w:p w14:paraId="03476AA8" w14:textId="77777777" w:rsidR="00742290" w:rsidRDefault="00742290" w:rsidP="00533955">
      <w:pPr>
        <w:pStyle w:val="ListParagraph"/>
        <w:ind w:left="709" w:hanging="709"/>
      </w:pPr>
      <w:r>
        <w:t>Alkaloid-INT d.o.o.</w:t>
      </w:r>
    </w:p>
    <w:p w14:paraId="65D36DBF" w14:textId="77777777" w:rsidR="00742290" w:rsidRDefault="00742290" w:rsidP="00533955">
      <w:pPr>
        <w:pStyle w:val="ListParagraph"/>
        <w:ind w:hanging="709"/>
      </w:pPr>
      <w:r>
        <w:t>Šlandrova ulica 4</w:t>
      </w:r>
    </w:p>
    <w:p w14:paraId="7B261380" w14:textId="77777777" w:rsidR="00742290" w:rsidRDefault="00742290" w:rsidP="00533955">
      <w:pPr>
        <w:pStyle w:val="ListParagraph"/>
        <w:ind w:hanging="709"/>
      </w:pPr>
      <w:r>
        <w:t>1231 Ljubljana-Črnuče, Словения</w:t>
      </w:r>
    </w:p>
    <w:p w14:paraId="7EC7018B" w14:textId="77777777" w:rsidR="00742290" w:rsidRDefault="00742290" w:rsidP="00533955">
      <w:pPr>
        <w:pStyle w:val="ListParagraph"/>
        <w:ind w:hanging="709"/>
      </w:pPr>
      <w:r>
        <w:rPr>
          <w:lang w:val="bg-BG"/>
        </w:rPr>
        <w:t>тел</w:t>
      </w:r>
      <w:r>
        <w:t>.: + 386 1 300 42 90</w:t>
      </w:r>
    </w:p>
    <w:p w14:paraId="33932F01" w14:textId="77777777" w:rsidR="00742290" w:rsidRDefault="00742290" w:rsidP="00533955">
      <w:pPr>
        <w:pStyle w:val="ListParagraph"/>
        <w:ind w:hanging="709"/>
      </w:pPr>
      <w:r>
        <w:t>факс: + 386 1 300 42 91</w:t>
      </w:r>
    </w:p>
    <w:p w14:paraId="307EF66E" w14:textId="77777777" w:rsidR="00742290" w:rsidRDefault="00742290" w:rsidP="00533955">
      <w:pPr>
        <w:pStyle w:val="ListParagraph"/>
        <w:ind w:hanging="709"/>
      </w:pPr>
      <w:r>
        <w:t xml:space="preserve">имейл: </w:t>
      </w:r>
      <w:hyperlink r:id="rId13" w:history="1">
        <w:r>
          <w:rPr>
            <w:rStyle w:val="Hyperlink"/>
          </w:rPr>
          <w:t>info@alkaloid.si</w:t>
        </w:r>
      </w:hyperlink>
    </w:p>
    <w:p w14:paraId="11C0B53A" w14:textId="77777777" w:rsidR="00992061" w:rsidRDefault="00992061">
      <w:pPr>
        <w:spacing w:line="200" w:lineRule="exact"/>
        <w:rPr>
          <w:sz w:val="20"/>
          <w:szCs w:val="20"/>
        </w:rPr>
      </w:pPr>
    </w:p>
    <w:p w14:paraId="3D0E9013" w14:textId="77777777" w:rsidR="00992061" w:rsidRDefault="00992061">
      <w:pPr>
        <w:spacing w:line="200" w:lineRule="exact"/>
        <w:rPr>
          <w:sz w:val="20"/>
          <w:szCs w:val="20"/>
        </w:rPr>
      </w:pPr>
    </w:p>
    <w:p w14:paraId="72B9ED02" w14:textId="77777777" w:rsidR="00992061" w:rsidRDefault="00992061">
      <w:pPr>
        <w:spacing w:line="200" w:lineRule="exact"/>
        <w:rPr>
          <w:sz w:val="20"/>
          <w:szCs w:val="20"/>
        </w:rPr>
      </w:pPr>
    </w:p>
    <w:p w14:paraId="61C66A33" w14:textId="77777777" w:rsidR="00992061" w:rsidRDefault="00D1402E">
      <w:pPr>
        <w:numPr>
          <w:ilvl w:val="0"/>
          <w:numId w:val="24"/>
        </w:numPr>
        <w:tabs>
          <w:tab w:val="left" w:pos="564"/>
        </w:tabs>
        <w:ind w:left="564" w:hanging="564"/>
        <w:rPr>
          <w:rFonts w:eastAsia="Times New Roman"/>
          <w:b/>
          <w:bCs/>
        </w:rPr>
      </w:pPr>
      <w:bookmarkStart w:id="23" w:name="page26"/>
      <w:bookmarkEnd w:id="23"/>
      <w:r>
        <w:rPr>
          <w:rFonts w:eastAsia="Times New Roman"/>
          <w:b/>
          <w:bCs/>
        </w:rPr>
        <w:t>НОМЕР(А) НА РАЗРЕШЕНИЕТО ЗА УПОТРЕБА</w:t>
      </w:r>
    </w:p>
    <w:p w14:paraId="13E505C4" w14:textId="77777777" w:rsidR="00992061" w:rsidRDefault="00992061">
      <w:pPr>
        <w:spacing w:line="250" w:lineRule="exact"/>
        <w:rPr>
          <w:sz w:val="20"/>
          <w:szCs w:val="20"/>
        </w:rPr>
      </w:pPr>
    </w:p>
    <w:p w14:paraId="541ADE82" w14:textId="5E2AD5F5" w:rsidR="00992061" w:rsidRDefault="00A712CC">
      <w:pPr>
        <w:spacing w:line="200" w:lineRule="exact"/>
        <w:rPr>
          <w:rFonts w:eastAsia="Times New Roman"/>
          <w:lang w:val="bg-BG"/>
        </w:rPr>
      </w:pPr>
      <w:r>
        <w:rPr>
          <w:rFonts w:eastAsia="Times New Roman"/>
          <w:lang w:val="bg-BG"/>
        </w:rPr>
        <w:t xml:space="preserve">Фоклерос 100 </w:t>
      </w:r>
      <w:r>
        <w:rPr>
          <w:rFonts w:eastAsia="Times New Roman"/>
        </w:rPr>
        <w:t xml:space="preserve">mg </w:t>
      </w:r>
      <w:r>
        <w:rPr>
          <w:rFonts w:eastAsia="Times New Roman"/>
          <w:lang w:val="bg-BG"/>
        </w:rPr>
        <w:t>филмирани таблетки</w:t>
      </w:r>
      <w:r>
        <w:rPr>
          <w:rFonts w:eastAsia="Times New Roman"/>
          <w:lang w:val="bg-BG"/>
        </w:rPr>
        <w:tab/>
      </w:r>
      <w:r w:rsidR="00742290">
        <w:rPr>
          <w:rFonts w:eastAsia="Times New Roman"/>
          <w:lang w:val="bg-BG"/>
        </w:rPr>
        <w:t>Рег. №</w:t>
      </w:r>
      <w:r>
        <w:rPr>
          <w:rFonts w:eastAsia="Times New Roman"/>
          <w:lang w:val="bg-BG"/>
        </w:rPr>
        <w:t>20220137</w:t>
      </w:r>
    </w:p>
    <w:p w14:paraId="16668330" w14:textId="27CC33A1" w:rsidR="00A712CC" w:rsidRPr="00742290" w:rsidRDefault="00A712CC" w:rsidP="00A712CC">
      <w:pPr>
        <w:spacing w:line="200" w:lineRule="exact"/>
        <w:rPr>
          <w:sz w:val="20"/>
          <w:szCs w:val="20"/>
          <w:lang w:val="bg-BG"/>
        </w:rPr>
      </w:pPr>
      <w:r>
        <w:rPr>
          <w:rFonts w:eastAsia="Times New Roman"/>
          <w:lang w:val="bg-BG"/>
        </w:rPr>
        <w:lastRenderedPageBreak/>
        <w:t xml:space="preserve">Фоклерос 150 </w:t>
      </w:r>
      <w:r>
        <w:rPr>
          <w:rFonts w:eastAsia="Times New Roman"/>
        </w:rPr>
        <w:t xml:space="preserve">mg </w:t>
      </w:r>
      <w:r>
        <w:rPr>
          <w:rFonts w:eastAsia="Times New Roman"/>
          <w:lang w:val="bg-BG"/>
        </w:rPr>
        <w:t>филмирани таблетки</w:t>
      </w:r>
      <w:r>
        <w:rPr>
          <w:rFonts w:eastAsia="Times New Roman"/>
          <w:lang w:val="bg-BG"/>
        </w:rPr>
        <w:tab/>
        <w:t>Рег. №20220138</w:t>
      </w:r>
    </w:p>
    <w:p w14:paraId="2C5F0926" w14:textId="77777777" w:rsidR="00A712CC" w:rsidRPr="00742290" w:rsidRDefault="00A712CC">
      <w:pPr>
        <w:spacing w:line="200" w:lineRule="exact"/>
        <w:rPr>
          <w:sz w:val="20"/>
          <w:szCs w:val="20"/>
          <w:lang w:val="bg-BG"/>
        </w:rPr>
      </w:pPr>
    </w:p>
    <w:p w14:paraId="25D704CF" w14:textId="77777777" w:rsidR="00992061" w:rsidRDefault="00992061">
      <w:pPr>
        <w:spacing w:line="307" w:lineRule="exact"/>
        <w:rPr>
          <w:sz w:val="20"/>
          <w:szCs w:val="20"/>
        </w:rPr>
      </w:pPr>
    </w:p>
    <w:p w14:paraId="44E03C09" w14:textId="77777777" w:rsidR="00992061" w:rsidRDefault="00D1402E">
      <w:pPr>
        <w:numPr>
          <w:ilvl w:val="0"/>
          <w:numId w:val="25"/>
        </w:numPr>
        <w:tabs>
          <w:tab w:val="left" w:pos="564"/>
        </w:tabs>
        <w:spacing w:line="290" w:lineRule="auto"/>
        <w:ind w:left="564" w:right="389" w:hanging="564"/>
        <w:rPr>
          <w:rFonts w:eastAsia="Times New Roman"/>
          <w:b/>
          <w:bCs/>
        </w:rPr>
      </w:pPr>
      <w:r>
        <w:rPr>
          <w:rFonts w:eastAsia="Times New Roman"/>
          <w:b/>
          <w:bCs/>
        </w:rPr>
        <w:t>ДАТА НА ПЪРВО РАЗРЕШАВАНЕ/ПОДНОВЯВАНЕ НА РАЗРЕШЕНИЕТО ЗА УПОТРЕБА</w:t>
      </w:r>
    </w:p>
    <w:p w14:paraId="696C0001" w14:textId="77777777" w:rsidR="00992061" w:rsidRDefault="00992061">
      <w:pPr>
        <w:spacing w:line="146" w:lineRule="exact"/>
        <w:rPr>
          <w:sz w:val="20"/>
          <w:szCs w:val="20"/>
        </w:rPr>
      </w:pPr>
    </w:p>
    <w:p w14:paraId="6F49254A" w14:textId="5F95BFCD" w:rsidR="00992061" w:rsidRPr="00A712CC" w:rsidRDefault="00D1402E">
      <w:pPr>
        <w:ind w:left="4"/>
        <w:rPr>
          <w:sz w:val="20"/>
          <w:szCs w:val="20"/>
          <w:lang w:val="bg-BG"/>
        </w:rPr>
      </w:pPr>
      <w:r>
        <w:rPr>
          <w:rFonts w:eastAsia="Times New Roman"/>
        </w:rPr>
        <w:t xml:space="preserve">Дата на първо разрешаване: </w:t>
      </w:r>
      <w:r w:rsidR="00A712CC">
        <w:rPr>
          <w:rFonts w:eastAsia="Times New Roman"/>
          <w:lang w:val="bg-BG"/>
        </w:rPr>
        <w:t>09.05.2022</w:t>
      </w:r>
    </w:p>
    <w:p w14:paraId="64287C8B" w14:textId="77777777" w:rsidR="00992061" w:rsidRDefault="00992061">
      <w:pPr>
        <w:spacing w:line="1" w:lineRule="exact"/>
        <w:rPr>
          <w:sz w:val="20"/>
          <w:szCs w:val="20"/>
        </w:rPr>
      </w:pPr>
    </w:p>
    <w:p w14:paraId="003ED9A9" w14:textId="77777777" w:rsidR="00992061" w:rsidRDefault="00742290">
      <w:pPr>
        <w:ind w:left="4"/>
        <w:rPr>
          <w:sz w:val="20"/>
          <w:szCs w:val="20"/>
        </w:rPr>
      </w:pPr>
      <w:r>
        <w:rPr>
          <w:rFonts w:eastAsia="Times New Roman"/>
        </w:rPr>
        <w:t xml:space="preserve">Дата на последно подновяване: </w:t>
      </w:r>
    </w:p>
    <w:p w14:paraId="0630D0DC" w14:textId="77777777" w:rsidR="00992061" w:rsidRDefault="00992061">
      <w:pPr>
        <w:spacing w:line="200" w:lineRule="exact"/>
        <w:rPr>
          <w:sz w:val="20"/>
          <w:szCs w:val="20"/>
        </w:rPr>
      </w:pPr>
    </w:p>
    <w:p w14:paraId="19C93EB3" w14:textId="77777777" w:rsidR="00992061" w:rsidRDefault="00992061">
      <w:pPr>
        <w:spacing w:line="307" w:lineRule="exact"/>
        <w:rPr>
          <w:sz w:val="20"/>
          <w:szCs w:val="20"/>
        </w:rPr>
      </w:pPr>
    </w:p>
    <w:p w14:paraId="58771268" w14:textId="77777777" w:rsidR="00992061" w:rsidRDefault="00D1402E">
      <w:pPr>
        <w:numPr>
          <w:ilvl w:val="0"/>
          <w:numId w:val="26"/>
        </w:numPr>
        <w:tabs>
          <w:tab w:val="left" w:pos="564"/>
        </w:tabs>
        <w:ind w:left="564" w:hanging="564"/>
        <w:rPr>
          <w:rFonts w:eastAsia="Times New Roman"/>
          <w:b/>
          <w:bCs/>
        </w:rPr>
      </w:pPr>
      <w:r>
        <w:rPr>
          <w:rFonts w:eastAsia="Times New Roman"/>
          <w:b/>
          <w:bCs/>
        </w:rPr>
        <w:t>ДАТА НА АКТУАЛИЗИРАНЕ НА ТЕКСТА</w:t>
      </w:r>
    </w:p>
    <w:p w14:paraId="6B0A0E56" w14:textId="77777777" w:rsidR="00992061" w:rsidRDefault="00992061">
      <w:pPr>
        <w:spacing w:line="250" w:lineRule="exact"/>
        <w:rPr>
          <w:sz w:val="20"/>
          <w:szCs w:val="20"/>
        </w:rPr>
      </w:pPr>
    </w:p>
    <w:p w14:paraId="7BD4E6A2" w14:textId="59DC6F55" w:rsidR="00992061" w:rsidRDefault="00836303" w:rsidP="00742290">
      <w:pPr>
        <w:spacing w:line="281" w:lineRule="auto"/>
        <w:ind w:left="4" w:right="49"/>
        <w:rPr>
          <w:sz w:val="20"/>
          <w:szCs w:val="20"/>
        </w:rPr>
      </w:pPr>
      <w:r>
        <w:rPr>
          <w:rFonts w:eastAsia="Times New Roman"/>
        </w:rPr>
        <w:t>11</w:t>
      </w:r>
      <w:r w:rsidR="00742290">
        <w:rPr>
          <w:rFonts w:eastAsia="Times New Roman"/>
          <w:lang w:val="bg-BG"/>
        </w:rPr>
        <w:t>/2022</w:t>
      </w:r>
    </w:p>
    <w:sectPr w:rsidR="00992061" w:rsidSect="002F78F4">
      <w:pgSz w:w="11900" w:h="16838"/>
      <w:pgMar w:top="1440" w:right="1440" w:bottom="212" w:left="1440" w:header="0" w:footer="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E2667" w14:textId="77777777" w:rsidR="0020575B" w:rsidRDefault="0020575B" w:rsidP="00742290">
      <w:r>
        <w:separator/>
      </w:r>
    </w:p>
  </w:endnote>
  <w:endnote w:type="continuationSeparator" w:id="0">
    <w:p w14:paraId="73290C82" w14:textId="77777777" w:rsidR="0020575B" w:rsidRDefault="0020575B" w:rsidP="0074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41076"/>
      <w:docPartObj>
        <w:docPartGallery w:val="Page Numbers (Bottom of Page)"/>
        <w:docPartUnique/>
      </w:docPartObj>
    </w:sdtPr>
    <w:sdtEndPr>
      <w:rPr>
        <w:noProof/>
      </w:rPr>
    </w:sdtEndPr>
    <w:sdtContent>
      <w:p w14:paraId="37ED7F8C" w14:textId="4CC1C0C7" w:rsidR="0020575B" w:rsidRDefault="0020575B">
        <w:pPr>
          <w:pStyle w:val="Footer"/>
          <w:jc w:val="right"/>
        </w:pPr>
        <w:r>
          <w:fldChar w:fldCharType="begin"/>
        </w:r>
        <w:r>
          <w:instrText xml:space="preserve"> PAGE   \* MERGEFORMAT </w:instrText>
        </w:r>
        <w:r>
          <w:fldChar w:fldCharType="separate"/>
        </w:r>
        <w:r w:rsidR="00301D1A">
          <w:rPr>
            <w:noProof/>
          </w:rPr>
          <w:t>23</w:t>
        </w:r>
        <w:r>
          <w:rPr>
            <w:noProof/>
          </w:rPr>
          <w:fldChar w:fldCharType="end"/>
        </w:r>
      </w:p>
    </w:sdtContent>
  </w:sdt>
  <w:p w14:paraId="2D42FF45" w14:textId="77777777" w:rsidR="0020575B" w:rsidRDefault="0020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C255D" w14:textId="77777777" w:rsidR="0020575B" w:rsidRDefault="0020575B" w:rsidP="00742290">
      <w:r>
        <w:separator/>
      </w:r>
    </w:p>
  </w:footnote>
  <w:footnote w:type="continuationSeparator" w:id="0">
    <w:p w14:paraId="21A05A2E" w14:textId="77777777" w:rsidR="0020575B" w:rsidRDefault="0020575B" w:rsidP="0074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5E1B"/>
    <w:multiLevelType w:val="hybridMultilevel"/>
    <w:tmpl w:val="4926848A"/>
    <w:lvl w:ilvl="0" w:tplc="33CC9F2A">
      <w:start w:val="15"/>
      <w:numFmt w:val="decimal"/>
      <w:lvlText w:val="%1."/>
      <w:lvlJc w:val="left"/>
    </w:lvl>
    <w:lvl w:ilvl="1" w:tplc="89560C62">
      <w:numFmt w:val="decimal"/>
      <w:lvlText w:val=""/>
      <w:lvlJc w:val="left"/>
    </w:lvl>
    <w:lvl w:ilvl="2" w:tplc="55FE7366">
      <w:numFmt w:val="decimal"/>
      <w:lvlText w:val=""/>
      <w:lvlJc w:val="left"/>
    </w:lvl>
    <w:lvl w:ilvl="3" w:tplc="7F24E806">
      <w:numFmt w:val="decimal"/>
      <w:lvlText w:val=""/>
      <w:lvlJc w:val="left"/>
    </w:lvl>
    <w:lvl w:ilvl="4" w:tplc="C510A9F0">
      <w:numFmt w:val="decimal"/>
      <w:lvlText w:val=""/>
      <w:lvlJc w:val="left"/>
    </w:lvl>
    <w:lvl w:ilvl="5" w:tplc="D8EA18F2">
      <w:numFmt w:val="decimal"/>
      <w:lvlText w:val=""/>
      <w:lvlJc w:val="left"/>
    </w:lvl>
    <w:lvl w:ilvl="6" w:tplc="56043A4A">
      <w:numFmt w:val="decimal"/>
      <w:lvlText w:val=""/>
      <w:lvlJc w:val="left"/>
    </w:lvl>
    <w:lvl w:ilvl="7" w:tplc="96388762">
      <w:numFmt w:val="decimal"/>
      <w:lvlText w:val=""/>
      <w:lvlJc w:val="left"/>
    </w:lvl>
    <w:lvl w:ilvl="8" w:tplc="1D3A8B3C">
      <w:numFmt w:val="decimal"/>
      <w:lvlText w:val=""/>
      <w:lvlJc w:val="left"/>
    </w:lvl>
  </w:abstractNum>
  <w:abstractNum w:abstractNumId="1" w15:restartNumberingAfterBreak="0">
    <w:nsid w:val="0488AC1A"/>
    <w:multiLevelType w:val="hybridMultilevel"/>
    <w:tmpl w:val="A73407D4"/>
    <w:lvl w:ilvl="0" w:tplc="98B25D80">
      <w:start w:val="18"/>
      <w:numFmt w:val="decimal"/>
      <w:lvlText w:val="%1."/>
      <w:lvlJc w:val="left"/>
    </w:lvl>
    <w:lvl w:ilvl="1" w:tplc="7FAA115E">
      <w:numFmt w:val="decimal"/>
      <w:lvlText w:val=""/>
      <w:lvlJc w:val="left"/>
    </w:lvl>
    <w:lvl w:ilvl="2" w:tplc="9DD46BCA">
      <w:numFmt w:val="decimal"/>
      <w:lvlText w:val=""/>
      <w:lvlJc w:val="left"/>
    </w:lvl>
    <w:lvl w:ilvl="3" w:tplc="AAB2E604">
      <w:numFmt w:val="decimal"/>
      <w:lvlText w:val=""/>
      <w:lvlJc w:val="left"/>
    </w:lvl>
    <w:lvl w:ilvl="4" w:tplc="A86E137A">
      <w:numFmt w:val="decimal"/>
      <w:lvlText w:val=""/>
      <w:lvlJc w:val="left"/>
    </w:lvl>
    <w:lvl w:ilvl="5" w:tplc="B4FE0E9A">
      <w:numFmt w:val="decimal"/>
      <w:lvlText w:val=""/>
      <w:lvlJc w:val="left"/>
    </w:lvl>
    <w:lvl w:ilvl="6" w:tplc="70FE2B22">
      <w:numFmt w:val="decimal"/>
      <w:lvlText w:val=""/>
      <w:lvlJc w:val="left"/>
    </w:lvl>
    <w:lvl w:ilvl="7" w:tplc="1CCC395C">
      <w:numFmt w:val="decimal"/>
      <w:lvlText w:val=""/>
      <w:lvlJc w:val="left"/>
    </w:lvl>
    <w:lvl w:ilvl="8" w:tplc="0CCC51AA">
      <w:numFmt w:val="decimal"/>
      <w:lvlText w:val=""/>
      <w:lvlJc w:val="left"/>
    </w:lvl>
  </w:abstractNum>
  <w:abstractNum w:abstractNumId="2" w15:restartNumberingAfterBreak="0">
    <w:nsid w:val="06A5EE64"/>
    <w:multiLevelType w:val="hybridMultilevel"/>
    <w:tmpl w:val="AFDE5ADE"/>
    <w:lvl w:ilvl="0" w:tplc="87649F2A">
      <w:start w:val="3"/>
      <w:numFmt w:val="decimal"/>
      <w:lvlText w:val="%1."/>
      <w:lvlJc w:val="left"/>
    </w:lvl>
    <w:lvl w:ilvl="1" w:tplc="944246B8">
      <w:numFmt w:val="decimal"/>
      <w:lvlText w:val=""/>
      <w:lvlJc w:val="left"/>
    </w:lvl>
    <w:lvl w:ilvl="2" w:tplc="7A707FD6">
      <w:numFmt w:val="decimal"/>
      <w:lvlText w:val=""/>
      <w:lvlJc w:val="left"/>
    </w:lvl>
    <w:lvl w:ilvl="3" w:tplc="A8AA2D1A">
      <w:numFmt w:val="decimal"/>
      <w:lvlText w:val=""/>
      <w:lvlJc w:val="left"/>
    </w:lvl>
    <w:lvl w:ilvl="4" w:tplc="C50E1CCC">
      <w:numFmt w:val="decimal"/>
      <w:lvlText w:val=""/>
      <w:lvlJc w:val="left"/>
    </w:lvl>
    <w:lvl w:ilvl="5" w:tplc="1A020750">
      <w:numFmt w:val="decimal"/>
      <w:lvlText w:val=""/>
      <w:lvlJc w:val="left"/>
    </w:lvl>
    <w:lvl w:ilvl="6" w:tplc="CE04F632">
      <w:numFmt w:val="decimal"/>
      <w:lvlText w:val=""/>
      <w:lvlJc w:val="left"/>
    </w:lvl>
    <w:lvl w:ilvl="7" w:tplc="A26ED0CE">
      <w:numFmt w:val="decimal"/>
      <w:lvlText w:val=""/>
      <w:lvlJc w:val="left"/>
    </w:lvl>
    <w:lvl w:ilvl="8" w:tplc="FD24FE9A">
      <w:numFmt w:val="decimal"/>
      <w:lvlText w:val=""/>
      <w:lvlJc w:val="left"/>
    </w:lvl>
  </w:abstractNum>
  <w:abstractNum w:abstractNumId="3" w15:restartNumberingAfterBreak="0">
    <w:nsid w:val="06B94764"/>
    <w:multiLevelType w:val="hybridMultilevel"/>
    <w:tmpl w:val="C3B22892"/>
    <w:lvl w:ilvl="0" w:tplc="B35E8C1C">
      <w:start w:val="3"/>
      <w:numFmt w:val="decimal"/>
      <w:lvlText w:val="%1."/>
      <w:lvlJc w:val="left"/>
    </w:lvl>
    <w:lvl w:ilvl="1" w:tplc="A2C6FAC8">
      <w:numFmt w:val="decimal"/>
      <w:lvlText w:val=""/>
      <w:lvlJc w:val="left"/>
    </w:lvl>
    <w:lvl w:ilvl="2" w:tplc="8BC0D45A">
      <w:numFmt w:val="decimal"/>
      <w:lvlText w:val=""/>
      <w:lvlJc w:val="left"/>
    </w:lvl>
    <w:lvl w:ilvl="3" w:tplc="23829B56">
      <w:numFmt w:val="decimal"/>
      <w:lvlText w:val=""/>
      <w:lvlJc w:val="left"/>
    </w:lvl>
    <w:lvl w:ilvl="4" w:tplc="D1182D96">
      <w:numFmt w:val="decimal"/>
      <w:lvlText w:val=""/>
      <w:lvlJc w:val="left"/>
    </w:lvl>
    <w:lvl w:ilvl="5" w:tplc="45B20C16">
      <w:numFmt w:val="decimal"/>
      <w:lvlText w:val=""/>
      <w:lvlJc w:val="left"/>
    </w:lvl>
    <w:lvl w:ilvl="6" w:tplc="0CCC3A5E">
      <w:numFmt w:val="decimal"/>
      <w:lvlText w:val=""/>
      <w:lvlJc w:val="left"/>
    </w:lvl>
    <w:lvl w:ilvl="7" w:tplc="83CA79B6">
      <w:numFmt w:val="decimal"/>
      <w:lvlText w:val=""/>
      <w:lvlJc w:val="left"/>
    </w:lvl>
    <w:lvl w:ilvl="8" w:tplc="BE8EFA5C">
      <w:numFmt w:val="decimal"/>
      <w:lvlText w:val=""/>
      <w:lvlJc w:val="left"/>
    </w:lvl>
  </w:abstractNum>
  <w:abstractNum w:abstractNumId="4" w15:restartNumberingAfterBreak="0">
    <w:nsid w:val="06EB5BD4"/>
    <w:multiLevelType w:val="hybridMultilevel"/>
    <w:tmpl w:val="2BD04CE0"/>
    <w:lvl w:ilvl="0" w:tplc="BA62CA0E">
      <w:start w:val="12"/>
      <w:numFmt w:val="decimal"/>
      <w:lvlText w:val="%1."/>
      <w:lvlJc w:val="left"/>
    </w:lvl>
    <w:lvl w:ilvl="1" w:tplc="F74000CE">
      <w:numFmt w:val="decimal"/>
      <w:lvlText w:val=""/>
      <w:lvlJc w:val="left"/>
    </w:lvl>
    <w:lvl w:ilvl="2" w:tplc="18F23BC6">
      <w:numFmt w:val="decimal"/>
      <w:lvlText w:val=""/>
      <w:lvlJc w:val="left"/>
    </w:lvl>
    <w:lvl w:ilvl="3" w:tplc="74241E00">
      <w:numFmt w:val="decimal"/>
      <w:lvlText w:val=""/>
      <w:lvlJc w:val="left"/>
    </w:lvl>
    <w:lvl w:ilvl="4" w:tplc="5572648A">
      <w:numFmt w:val="decimal"/>
      <w:lvlText w:val=""/>
      <w:lvlJc w:val="left"/>
    </w:lvl>
    <w:lvl w:ilvl="5" w:tplc="9222B6AA">
      <w:numFmt w:val="decimal"/>
      <w:lvlText w:val=""/>
      <w:lvlJc w:val="left"/>
    </w:lvl>
    <w:lvl w:ilvl="6" w:tplc="0E542684">
      <w:numFmt w:val="decimal"/>
      <w:lvlText w:val=""/>
      <w:lvlJc w:val="left"/>
    </w:lvl>
    <w:lvl w:ilvl="7" w:tplc="E2D6E62C">
      <w:numFmt w:val="decimal"/>
      <w:lvlText w:val=""/>
      <w:lvlJc w:val="left"/>
    </w:lvl>
    <w:lvl w:ilvl="8" w:tplc="CFD235DA">
      <w:numFmt w:val="decimal"/>
      <w:lvlText w:val=""/>
      <w:lvlJc w:val="left"/>
    </w:lvl>
  </w:abstractNum>
  <w:abstractNum w:abstractNumId="5" w15:restartNumberingAfterBreak="0">
    <w:nsid w:val="08F2B15E"/>
    <w:multiLevelType w:val="hybridMultilevel"/>
    <w:tmpl w:val="12382F22"/>
    <w:lvl w:ilvl="0" w:tplc="701EBB04">
      <w:start w:val="2"/>
      <w:numFmt w:val="decimal"/>
      <w:lvlText w:val="%1."/>
      <w:lvlJc w:val="left"/>
    </w:lvl>
    <w:lvl w:ilvl="1" w:tplc="3A0AE49E">
      <w:numFmt w:val="decimal"/>
      <w:lvlText w:val=""/>
      <w:lvlJc w:val="left"/>
    </w:lvl>
    <w:lvl w:ilvl="2" w:tplc="17DCD12A">
      <w:numFmt w:val="decimal"/>
      <w:lvlText w:val=""/>
      <w:lvlJc w:val="left"/>
    </w:lvl>
    <w:lvl w:ilvl="3" w:tplc="EFF2DB78">
      <w:numFmt w:val="decimal"/>
      <w:lvlText w:val=""/>
      <w:lvlJc w:val="left"/>
    </w:lvl>
    <w:lvl w:ilvl="4" w:tplc="097EA3FA">
      <w:numFmt w:val="decimal"/>
      <w:lvlText w:val=""/>
      <w:lvlJc w:val="left"/>
    </w:lvl>
    <w:lvl w:ilvl="5" w:tplc="5256110A">
      <w:numFmt w:val="decimal"/>
      <w:lvlText w:val=""/>
      <w:lvlJc w:val="left"/>
    </w:lvl>
    <w:lvl w:ilvl="6" w:tplc="06A44136">
      <w:numFmt w:val="decimal"/>
      <w:lvlText w:val=""/>
      <w:lvlJc w:val="left"/>
    </w:lvl>
    <w:lvl w:ilvl="7" w:tplc="0A1E5DCC">
      <w:numFmt w:val="decimal"/>
      <w:lvlText w:val=""/>
      <w:lvlJc w:val="left"/>
    </w:lvl>
    <w:lvl w:ilvl="8" w:tplc="C30AFFE0">
      <w:numFmt w:val="decimal"/>
      <w:lvlText w:val=""/>
      <w:lvlJc w:val="left"/>
    </w:lvl>
  </w:abstractNum>
  <w:abstractNum w:abstractNumId="6" w15:restartNumberingAfterBreak="0">
    <w:nsid w:val="094211F2"/>
    <w:multiLevelType w:val="hybridMultilevel"/>
    <w:tmpl w:val="D46EF828"/>
    <w:lvl w:ilvl="0" w:tplc="A02E95F2">
      <w:start w:val="14"/>
      <w:numFmt w:val="decimal"/>
      <w:lvlText w:val="%1."/>
      <w:lvlJc w:val="left"/>
    </w:lvl>
    <w:lvl w:ilvl="1" w:tplc="FC5E59B4">
      <w:numFmt w:val="decimal"/>
      <w:lvlText w:val=""/>
      <w:lvlJc w:val="left"/>
    </w:lvl>
    <w:lvl w:ilvl="2" w:tplc="BA0AB45E">
      <w:numFmt w:val="decimal"/>
      <w:lvlText w:val=""/>
      <w:lvlJc w:val="left"/>
    </w:lvl>
    <w:lvl w:ilvl="3" w:tplc="1F44F87A">
      <w:numFmt w:val="decimal"/>
      <w:lvlText w:val=""/>
      <w:lvlJc w:val="left"/>
    </w:lvl>
    <w:lvl w:ilvl="4" w:tplc="05A04B22">
      <w:numFmt w:val="decimal"/>
      <w:lvlText w:val=""/>
      <w:lvlJc w:val="left"/>
    </w:lvl>
    <w:lvl w:ilvl="5" w:tplc="D1345B28">
      <w:numFmt w:val="decimal"/>
      <w:lvlText w:val=""/>
      <w:lvlJc w:val="left"/>
    </w:lvl>
    <w:lvl w:ilvl="6" w:tplc="A6A44BB2">
      <w:numFmt w:val="decimal"/>
      <w:lvlText w:val=""/>
      <w:lvlJc w:val="left"/>
    </w:lvl>
    <w:lvl w:ilvl="7" w:tplc="53F0AEFE">
      <w:numFmt w:val="decimal"/>
      <w:lvlText w:val=""/>
      <w:lvlJc w:val="left"/>
    </w:lvl>
    <w:lvl w:ilvl="8" w:tplc="B468B020">
      <w:numFmt w:val="decimal"/>
      <w:lvlText w:val=""/>
      <w:lvlJc w:val="left"/>
    </w:lvl>
  </w:abstractNum>
  <w:abstractNum w:abstractNumId="7" w15:restartNumberingAfterBreak="0">
    <w:nsid w:val="098A3148"/>
    <w:multiLevelType w:val="hybridMultilevel"/>
    <w:tmpl w:val="B18856A8"/>
    <w:lvl w:ilvl="0" w:tplc="E5DCE90A">
      <w:start w:val="1"/>
      <w:numFmt w:val="decimal"/>
      <w:lvlText w:val="%1."/>
      <w:lvlJc w:val="left"/>
    </w:lvl>
    <w:lvl w:ilvl="1" w:tplc="E4FE6C6E">
      <w:numFmt w:val="decimal"/>
      <w:lvlText w:val=""/>
      <w:lvlJc w:val="left"/>
    </w:lvl>
    <w:lvl w:ilvl="2" w:tplc="53F2FC7C">
      <w:numFmt w:val="decimal"/>
      <w:lvlText w:val=""/>
      <w:lvlJc w:val="left"/>
    </w:lvl>
    <w:lvl w:ilvl="3" w:tplc="BEBA8B42">
      <w:numFmt w:val="decimal"/>
      <w:lvlText w:val=""/>
      <w:lvlJc w:val="left"/>
    </w:lvl>
    <w:lvl w:ilvl="4" w:tplc="EE00FD84">
      <w:numFmt w:val="decimal"/>
      <w:lvlText w:val=""/>
      <w:lvlJc w:val="left"/>
    </w:lvl>
    <w:lvl w:ilvl="5" w:tplc="60D2C9FA">
      <w:numFmt w:val="decimal"/>
      <w:lvlText w:val=""/>
      <w:lvlJc w:val="left"/>
    </w:lvl>
    <w:lvl w:ilvl="6" w:tplc="F7B4541C">
      <w:numFmt w:val="decimal"/>
      <w:lvlText w:val=""/>
      <w:lvlJc w:val="left"/>
    </w:lvl>
    <w:lvl w:ilvl="7" w:tplc="277AE6D6">
      <w:numFmt w:val="decimal"/>
      <w:lvlText w:val=""/>
      <w:lvlJc w:val="left"/>
    </w:lvl>
    <w:lvl w:ilvl="8" w:tplc="40624F48">
      <w:numFmt w:val="decimal"/>
      <w:lvlText w:val=""/>
      <w:lvlJc w:val="left"/>
    </w:lvl>
  </w:abstractNum>
  <w:abstractNum w:abstractNumId="8" w15:restartNumberingAfterBreak="0">
    <w:nsid w:val="09DAF632"/>
    <w:multiLevelType w:val="hybridMultilevel"/>
    <w:tmpl w:val="F198D4CE"/>
    <w:lvl w:ilvl="0" w:tplc="81B6B880">
      <w:start w:val="1"/>
      <w:numFmt w:val="bullet"/>
      <w:lvlText w:val="•"/>
      <w:lvlJc w:val="left"/>
    </w:lvl>
    <w:lvl w:ilvl="1" w:tplc="BAE22568">
      <w:numFmt w:val="decimal"/>
      <w:lvlText w:val=""/>
      <w:lvlJc w:val="left"/>
    </w:lvl>
    <w:lvl w:ilvl="2" w:tplc="8A987278">
      <w:numFmt w:val="decimal"/>
      <w:lvlText w:val=""/>
      <w:lvlJc w:val="left"/>
    </w:lvl>
    <w:lvl w:ilvl="3" w:tplc="FCE202A8">
      <w:numFmt w:val="decimal"/>
      <w:lvlText w:val=""/>
      <w:lvlJc w:val="left"/>
    </w:lvl>
    <w:lvl w:ilvl="4" w:tplc="57EC626A">
      <w:numFmt w:val="decimal"/>
      <w:lvlText w:val=""/>
      <w:lvlJc w:val="left"/>
    </w:lvl>
    <w:lvl w:ilvl="5" w:tplc="F2E0166E">
      <w:numFmt w:val="decimal"/>
      <w:lvlText w:val=""/>
      <w:lvlJc w:val="left"/>
    </w:lvl>
    <w:lvl w:ilvl="6" w:tplc="F28EED68">
      <w:numFmt w:val="decimal"/>
      <w:lvlText w:val=""/>
      <w:lvlJc w:val="left"/>
    </w:lvl>
    <w:lvl w:ilvl="7" w:tplc="774C25E6">
      <w:numFmt w:val="decimal"/>
      <w:lvlText w:val=""/>
      <w:lvlJc w:val="left"/>
    </w:lvl>
    <w:lvl w:ilvl="8" w:tplc="645A53A4">
      <w:numFmt w:val="decimal"/>
      <w:lvlText w:val=""/>
      <w:lvlJc w:val="left"/>
    </w:lvl>
  </w:abstractNum>
  <w:abstractNum w:abstractNumId="9" w15:restartNumberingAfterBreak="0">
    <w:nsid w:val="0A0382C5"/>
    <w:multiLevelType w:val="hybridMultilevel"/>
    <w:tmpl w:val="6F741332"/>
    <w:lvl w:ilvl="0" w:tplc="E67480DE">
      <w:start w:val="1"/>
      <w:numFmt w:val="decimal"/>
      <w:lvlText w:val="%1."/>
      <w:lvlJc w:val="left"/>
    </w:lvl>
    <w:lvl w:ilvl="1" w:tplc="585C2E1E">
      <w:numFmt w:val="decimal"/>
      <w:lvlText w:val=""/>
      <w:lvlJc w:val="left"/>
    </w:lvl>
    <w:lvl w:ilvl="2" w:tplc="A5368588">
      <w:numFmt w:val="decimal"/>
      <w:lvlText w:val=""/>
      <w:lvlJc w:val="left"/>
    </w:lvl>
    <w:lvl w:ilvl="3" w:tplc="18BE9F38">
      <w:numFmt w:val="decimal"/>
      <w:lvlText w:val=""/>
      <w:lvlJc w:val="left"/>
    </w:lvl>
    <w:lvl w:ilvl="4" w:tplc="9B44FEBC">
      <w:numFmt w:val="decimal"/>
      <w:lvlText w:val=""/>
      <w:lvlJc w:val="left"/>
    </w:lvl>
    <w:lvl w:ilvl="5" w:tplc="289C5382">
      <w:numFmt w:val="decimal"/>
      <w:lvlText w:val=""/>
      <w:lvlJc w:val="left"/>
    </w:lvl>
    <w:lvl w:ilvl="6" w:tplc="F4889C2A">
      <w:numFmt w:val="decimal"/>
      <w:lvlText w:val=""/>
      <w:lvlJc w:val="left"/>
    </w:lvl>
    <w:lvl w:ilvl="7" w:tplc="77CC707E">
      <w:numFmt w:val="decimal"/>
      <w:lvlText w:val=""/>
      <w:lvlJc w:val="left"/>
    </w:lvl>
    <w:lvl w:ilvl="8" w:tplc="0AB4F8C4">
      <w:numFmt w:val="decimal"/>
      <w:lvlText w:val=""/>
      <w:lvlJc w:val="left"/>
    </w:lvl>
  </w:abstractNum>
  <w:abstractNum w:abstractNumId="10" w15:restartNumberingAfterBreak="0">
    <w:nsid w:val="0BF72B14"/>
    <w:multiLevelType w:val="hybridMultilevel"/>
    <w:tmpl w:val="7250C7CA"/>
    <w:lvl w:ilvl="0" w:tplc="40CE94AA">
      <w:start w:val="15"/>
      <w:numFmt w:val="decimal"/>
      <w:lvlText w:val="%1."/>
      <w:lvlJc w:val="left"/>
    </w:lvl>
    <w:lvl w:ilvl="1" w:tplc="B890E56C">
      <w:numFmt w:val="decimal"/>
      <w:lvlText w:val=""/>
      <w:lvlJc w:val="left"/>
    </w:lvl>
    <w:lvl w:ilvl="2" w:tplc="E90045D8">
      <w:numFmt w:val="decimal"/>
      <w:lvlText w:val=""/>
      <w:lvlJc w:val="left"/>
    </w:lvl>
    <w:lvl w:ilvl="3" w:tplc="D21E6590">
      <w:numFmt w:val="decimal"/>
      <w:lvlText w:val=""/>
      <w:lvlJc w:val="left"/>
    </w:lvl>
    <w:lvl w:ilvl="4" w:tplc="D5F4B47A">
      <w:numFmt w:val="decimal"/>
      <w:lvlText w:val=""/>
      <w:lvlJc w:val="left"/>
    </w:lvl>
    <w:lvl w:ilvl="5" w:tplc="39AA870C">
      <w:numFmt w:val="decimal"/>
      <w:lvlText w:val=""/>
      <w:lvlJc w:val="left"/>
    </w:lvl>
    <w:lvl w:ilvl="6" w:tplc="3FA2B874">
      <w:numFmt w:val="decimal"/>
      <w:lvlText w:val=""/>
      <w:lvlJc w:val="left"/>
    </w:lvl>
    <w:lvl w:ilvl="7" w:tplc="BF42D42C">
      <w:numFmt w:val="decimal"/>
      <w:lvlText w:val=""/>
      <w:lvlJc w:val="left"/>
    </w:lvl>
    <w:lvl w:ilvl="8" w:tplc="4052020A">
      <w:numFmt w:val="decimal"/>
      <w:lvlText w:val=""/>
      <w:lvlJc w:val="left"/>
    </w:lvl>
  </w:abstractNum>
  <w:abstractNum w:abstractNumId="11" w15:restartNumberingAfterBreak="0">
    <w:nsid w:val="0CC1016F"/>
    <w:multiLevelType w:val="hybridMultilevel"/>
    <w:tmpl w:val="99943B80"/>
    <w:lvl w:ilvl="0" w:tplc="249CB664">
      <w:start w:val="6"/>
      <w:numFmt w:val="decimal"/>
      <w:lvlText w:val="%1."/>
      <w:lvlJc w:val="left"/>
    </w:lvl>
    <w:lvl w:ilvl="1" w:tplc="9D9AC208">
      <w:numFmt w:val="decimal"/>
      <w:lvlText w:val=""/>
      <w:lvlJc w:val="left"/>
    </w:lvl>
    <w:lvl w:ilvl="2" w:tplc="2E88647A">
      <w:numFmt w:val="decimal"/>
      <w:lvlText w:val=""/>
      <w:lvlJc w:val="left"/>
    </w:lvl>
    <w:lvl w:ilvl="3" w:tplc="176CD43C">
      <w:numFmt w:val="decimal"/>
      <w:lvlText w:val=""/>
      <w:lvlJc w:val="left"/>
    </w:lvl>
    <w:lvl w:ilvl="4" w:tplc="7ED2D6C2">
      <w:numFmt w:val="decimal"/>
      <w:lvlText w:val=""/>
      <w:lvlJc w:val="left"/>
    </w:lvl>
    <w:lvl w:ilvl="5" w:tplc="6B6C67CC">
      <w:numFmt w:val="decimal"/>
      <w:lvlText w:val=""/>
      <w:lvlJc w:val="left"/>
    </w:lvl>
    <w:lvl w:ilvl="6" w:tplc="79A04A84">
      <w:numFmt w:val="decimal"/>
      <w:lvlText w:val=""/>
      <w:lvlJc w:val="left"/>
    </w:lvl>
    <w:lvl w:ilvl="7" w:tplc="19D68DBC">
      <w:numFmt w:val="decimal"/>
      <w:lvlText w:val=""/>
      <w:lvlJc w:val="left"/>
    </w:lvl>
    <w:lvl w:ilvl="8" w:tplc="F5A8DB52">
      <w:numFmt w:val="decimal"/>
      <w:lvlText w:val=""/>
      <w:lvlJc w:val="left"/>
    </w:lvl>
  </w:abstractNum>
  <w:abstractNum w:abstractNumId="12" w15:restartNumberingAfterBreak="0">
    <w:nsid w:val="0D34B6A8"/>
    <w:multiLevelType w:val="hybridMultilevel"/>
    <w:tmpl w:val="BA2EE9A0"/>
    <w:lvl w:ilvl="0" w:tplc="62BC3864">
      <w:start w:val="1"/>
      <w:numFmt w:val="decimal"/>
      <w:lvlText w:val="%1"/>
      <w:lvlJc w:val="left"/>
      <w:rPr>
        <w:vertAlign w:val="superscript"/>
      </w:rPr>
    </w:lvl>
    <w:lvl w:ilvl="1" w:tplc="27762588">
      <w:numFmt w:val="decimal"/>
      <w:lvlText w:val=""/>
      <w:lvlJc w:val="left"/>
    </w:lvl>
    <w:lvl w:ilvl="2" w:tplc="1C6A8170">
      <w:numFmt w:val="decimal"/>
      <w:lvlText w:val=""/>
      <w:lvlJc w:val="left"/>
    </w:lvl>
    <w:lvl w:ilvl="3" w:tplc="217AA732">
      <w:numFmt w:val="decimal"/>
      <w:lvlText w:val=""/>
      <w:lvlJc w:val="left"/>
    </w:lvl>
    <w:lvl w:ilvl="4" w:tplc="ABF8CCB8">
      <w:numFmt w:val="decimal"/>
      <w:lvlText w:val=""/>
      <w:lvlJc w:val="left"/>
    </w:lvl>
    <w:lvl w:ilvl="5" w:tplc="35427834">
      <w:numFmt w:val="decimal"/>
      <w:lvlText w:val=""/>
      <w:lvlJc w:val="left"/>
    </w:lvl>
    <w:lvl w:ilvl="6" w:tplc="BD7CF336">
      <w:numFmt w:val="decimal"/>
      <w:lvlText w:val=""/>
      <w:lvlJc w:val="left"/>
    </w:lvl>
    <w:lvl w:ilvl="7" w:tplc="EB6E6D12">
      <w:numFmt w:val="decimal"/>
      <w:lvlText w:val=""/>
      <w:lvlJc w:val="left"/>
    </w:lvl>
    <w:lvl w:ilvl="8" w:tplc="CC2681BA">
      <w:numFmt w:val="decimal"/>
      <w:lvlText w:val=""/>
      <w:lvlJc w:val="left"/>
    </w:lvl>
  </w:abstractNum>
  <w:abstractNum w:abstractNumId="13" w15:restartNumberingAfterBreak="0">
    <w:nsid w:val="100F59DC"/>
    <w:multiLevelType w:val="hybridMultilevel"/>
    <w:tmpl w:val="714CFA08"/>
    <w:lvl w:ilvl="0" w:tplc="86E2FEE0">
      <w:start w:val="9"/>
      <w:numFmt w:val="decimal"/>
      <w:lvlText w:val="%1."/>
      <w:lvlJc w:val="left"/>
    </w:lvl>
    <w:lvl w:ilvl="1" w:tplc="644C2D64">
      <w:numFmt w:val="decimal"/>
      <w:lvlText w:val=""/>
      <w:lvlJc w:val="left"/>
    </w:lvl>
    <w:lvl w:ilvl="2" w:tplc="DD768876">
      <w:numFmt w:val="decimal"/>
      <w:lvlText w:val=""/>
      <w:lvlJc w:val="left"/>
    </w:lvl>
    <w:lvl w:ilvl="3" w:tplc="ACF6DC2C">
      <w:numFmt w:val="decimal"/>
      <w:lvlText w:val=""/>
      <w:lvlJc w:val="left"/>
    </w:lvl>
    <w:lvl w:ilvl="4" w:tplc="46B27754">
      <w:numFmt w:val="decimal"/>
      <w:lvlText w:val=""/>
      <w:lvlJc w:val="left"/>
    </w:lvl>
    <w:lvl w:ilvl="5" w:tplc="69F45634">
      <w:numFmt w:val="decimal"/>
      <w:lvlText w:val=""/>
      <w:lvlJc w:val="left"/>
    </w:lvl>
    <w:lvl w:ilvl="6" w:tplc="9E1AFB24">
      <w:numFmt w:val="decimal"/>
      <w:lvlText w:val=""/>
      <w:lvlJc w:val="left"/>
    </w:lvl>
    <w:lvl w:ilvl="7" w:tplc="3C2499AA">
      <w:numFmt w:val="decimal"/>
      <w:lvlText w:val=""/>
      <w:lvlJc w:val="left"/>
    </w:lvl>
    <w:lvl w:ilvl="8" w:tplc="9244BCBC">
      <w:numFmt w:val="decimal"/>
      <w:lvlText w:val=""/>
      <w:lvlJc w:val="left"/>
    </w:lvl>
  </w:abstractNum>
  <w:abstractNum w:abstractNumId="14" w15:restartNumberingAfterBreak="0">
    <w:nsid w:val="100F8FCA"/>
    <w:multiLevelType w:val="hybridMultilevel"/>
    <w:tmpl w:val="E3A841D2"/>
    <w:lvl w:ilvl="0" w:tplc="63401DD8">
      <w:start w:val="1"/>
      <w:numFmt w:val="upperLetter"/>
      <w:lvlText w:val="%1."/>
      <w:lvlJc w:val="left"/>
    </w:lvl>
    <w:lvl w:ilvl="1" w:tplc="3D0658C2">
      <w:numFmt w:val="decimal"/>
      <w:lvlText w:val=""/>
      <w:lvlJc w:val="left"/>
    </w:lvl>
    <w:lvl w:ilvl="2" w:tplc="92789AC4">
      <w:numFmt w:val="decimal"/>
      <w:lvlText w:val=""/>
      <w:lvlJc w:val="left"/>
    </w:lvl>
    <w:lvl w:ilvl="3" w:tplc="DB04BBF6">
      <w:numFmt w:val="decimal"/>
      <w:lvlText w:val=""/>
      <w:lvlJc w:val="left"/>
    </w:lvl>
    <w:lvl w:ilvl="4" w:tplc="868C534E">
      <w:numFmt w:val="decimal"/>
      <w:lvlText w:val=""/>
      <w:lvlJc w:val="left"/>
    </w:lvl>
    <w:lvl w:ilvl="5" w:tplc="729A2280">
      <w:numFmt w:val="decimal"/>
      <w:lvlText w:val=""/>
      <w:lvlJc w:val="left"/>
    </w:lvl>
    <w:lvl w:ilvl="6" w:tplc="089EDAEA">
      <w:numFmt w:val="decimal"/>
      <w:lvlText w:val=""/>
      <w:lvlJc w:val="left"/>
    </w:lvl>
    <w:lvl w:ilvl="7" w:tplc="FA7ABECC">
      <w:numFmt w:val="decimal"/>
      <w:lvlText w:val=""/>
      <w:lvlJc w:val="left"/>
    </w:lvl>
    <w:lvl w:ilvl="8" w:tplc="4AC6F9AA">
      <w:numFmt w:val="decimal"/>
      <w:lvlText w:val=""/>
      <w:lvlJc w:val="left"/>
    </w:lvl>
  </w:abstractNum>
  <w:abstractNum w:abstractNumId="15" w15:restartNumberingAfterBreak="0">
    <w:nsid w:val="10233C99"/>
    <w:multiLevelType w:val="hybridMultilevel"/>
    <w:tmpl w:val="4FE2260E"/>
    <w:lvl w:ilvl="0" w:tplc="4D70387A">
      <w:start w:val="5"/>
      <w:numFmt w:val="decimal"/>
      <w:lvlText w:val="%1."/>
      <w:lvlJc w:val="left"/>
    </w:lvl>
    <w:lvl w:ilvl="1" w:tplc="2F74E44C">
      <w:numFmt w:val="decimal"/>
      <w:lvlText w:val=""/>
      <w:lvlJc w:val="left"/>
    </w:lvl>
    <w:lvl w:ilvl="2" w:tplc="D8166592">
      <w:numFmt w:val="decimal"/>
      <w:lvlText w:val=""/>
      <w:lvlJc w:val="left"/>
    </w:lvl>
    <w:lvl w:ilvl="3" w:tplc="2B58342A">
      <w:numFmt w:val="decimal"/>
      <w:lvlText w:val=""/>
      <w:lvlJc w:val="left"/>
    </w:lvl>
    <w:lvl w:ilvl="4" w:tplc="BAE2072E">
      <w:numFmt w:val="decimal"/>
      <w:lvlText w:val=""/>
      <w:lvlJc w:val="left"/>
    </w:lvl>
    <w:lvl w:ilvl="5" w:tplc="EF7E74FE">
      <w:numFmt w:val="decimal"/>
      <w:lvlText w:val=""/>
      <w:lvlJc w:val="left"/>
    </w:lvl>
    <w:lvl w:ilvl="6" w:tplc="D54ECAB4">
      <w:numFmt w:val="decimal"/>
      <w:lvlText w:val=""/>
      <w:lvlJc w:val="left"/>
    </w:lvl>
    <w:lvl w:ilvl="7" w:tplc="01A8C34C">
      <w:numFmt w:val="decimal"/>
      <w:lvlText w:val=""/>
      <w:lvlJc w:val="left"/>
    </w:lvl>
    <w:lvl w:ilvl="8" w:tplc="F1586B36">
      <w:numFmt w:val="decimal"/>
      <w:lvlText w:val=""/>
      <w:lvlJc w:val="left"/>
    </w:lvl>
  </w:abstractNum>
  <w:abstractNum w:abstractNumId="16" w15:restartNumberingAfterBreak="0">
    <w:nsid w:val="11447B73"/>
    <w:multiLevelType w:val="hybridMultilevel"/>
    <w:tmpl w:val="9C4A6AC4"/>
    <w:lvl w:ilvl="0" w:tplc="4D286172">
      <w:start w:val="17"/>
      <w:numFmt w:val="decimal"/>
      <w:lvlText w:val="%1."/>
      <w:lvlJc w:val="left"/>
    </w:lvl>
    <w:lvl w:ilvl="1" w:tplc="C4DA71B4">
      <w:numFmt w:val="decimal"/>
      <w:lvlText w:val=""/>
      <w:lvlJc w:val="left"/>
    </w:lvl>
    <w:lvl w:ilvl="2" w:tplc="8CD435B4">
      <w:numFmt w:val="decimal"/>
      <w:lvlText w:val=""/>
      <w:lvlJc w:val="left"/>
    </w:lvl>
    <w:lvl w:ilvl="3" w:tplc="CC903FE4">
      <w:numFmt w:val="decimal"/>
      <w:lvlText w:val=""/>
      <w:lvlJc w:val="left"/>
    </w:lvl>
    <w:lvl w:ilvl="4" w:tplc="7382AF6C">
      <w:numFmt w:val="decimal"/>
      <w:lvlText w:val=""/>
      <w:lvlJc w:val="left"/>
    </w:lvl>
    <w:lvl w:ilvl="5" w:tplc="2D0A31E4">
      <w:numFmt w:val="decimal"/>
      <w:lvlText w:val=""/>
      <w:lvlJc w:val="left"/>
    </w:lvl>
    <w:lvl w:ilvl="6" w:tplc="5E740E34">
      <w:numFmt w:val="decimal"/>
      <w:lvlText w:val=""/>
      <w:lvlJc w:val="left"/>
    </w:lvl>
    <w:lvl w:ilvl="7" w:tplc="52FE5954">
      <w:numFmt w:val="decimal"/>
      <w:lvlText w:val=""/>
      <w:lvlJc w:val="left"/>
    </w:lvl>
    <w:lvl w:ilvl="8" w:tplc="7DE08C02">
      <w:numFmt w:val="decimal"/>
      <w:lvlText w:val=""/>
      <w:lvlJc w:val="left"/>
    </w:lvl>
  </w:abstractNum>
  <w:abstractNum w:abstractNumId="17" w15:restartNumberingAfterBreak="0">
    <w:nsid w:val="1381823A"/>
    <w:multiLevelType w:val="hybridMultilevel"/>
    <w:tmpl w:val="35CE8ADA"/>
    <w:lvl w:ilvl="0" w:tplc="4314D9FA">
      <w:start w:val="10"/>
      <w:numFmt w:val="decimal"/>
      <w:lvlText w:val="%1."/>
      <w:lvlJc w:val="left"/>
    </w:lvl>
    <w:lvl w:ilvl="1" w:tplc="F264A626">
      <w:numFmt w:val="decimal"/>
      <w:lvlText w:val=""/>
      <w:lvlJc w:val="left"/>
    </w:lvl>
    <w:lvl w:ilvl="2" w:tplc="A600BD56">
      <w:numFmt w:val="decimal"/>
      <w:lvlText w:val=""/>
      <w:lvlJc w:val="left"/>
    </w:lvl>
    <w:lvl w:ilvl="3" w:tplc="FB742BD8">
      <w:numFmt w:val="decimal"/>
      <w:lvlText w:val=""/>
      <w:lvlJc w:val="left"/>
    </w:lvl>
    <w:lvl w:ilvl="4" w:tplc="85F48A44">
      <w:numFmt w:val="decimal"/>
      <w:lvlText w:val=""/>
      <w:lvlJc w:val="left"/>
    </w:lvl>
    <w:lvl w:ilvl="5" w:tplc="CF105862">
      <w:numFmt w:val="decimal"/>
      <w:lvlText w:val=""/>
      <w:lvlJc w:val="left"/>
    </w:lvl>
    <w:lvl w:ilvl="6" w:tplc="22543FF8">
      <w:numFmt w:val="decimal"/>
      <w:lvlText w:val=""/>
      <w:lvlJc w:val="left"/>
    </w:lvl>
    <w:lvl w:ilvl="7" w:tplc="8836F56C">
      <w:numFmt w:val="decimal"/>
      <w:lvlText w:val=""/>
      <w:lvlJc w:val="left"/>
    </w:lvl>
    <w:lvl w:ilvl="8" w:tplc="D86A0FA2">
      <w:numFmt w:val="decimal"/>
      <w:lvlText w:val=""/>
      <w:lvlJc w:val="left"/>
    </w:lvl>
  </w:abstractNum>
  <w:abstractNum w:abstractNumId="18" w15:restartNumberingAfterBreak="0">
    <w:nsid w:val="14330624"/>
    <w:multiLevelType w:val="hybridMultilevel"/>
    <w:tmpl w:val="DC8200CA"/>
    <w:lvl w:ilvl="0" w:tplc="933AA8E4">
      <w:start w:val="4"/>
      <w:numFmt w:val="decimal"/>
      <w:lvlText w:val="%1."/>
      <w:lvlJc w:val="left"/>
    </w:lvl>
    <w:lvl w:ilvl="1" w:tplc="DDB4F7CC">
      <w:numFmt w:val="decimal"/>
      <w:lvlText w:val=""/>
      <w:lvlJc w:val="left"/>
    </w:lvl>
    <w:lvl w:ilvl="2" w:tplc="E6B64FC0">
      <w:numFmt w:val="decimal"/>
      <w:lvlText w:val=""/>
      <w:lvlJc w:val="left"/>
    </w:lvl>
    <w:lvl w:ilvl="3" w:tplc="107A9FA2">
      <w:numFmt w:val="decimal"/>
      <w:lvlText w:val=""/>
      <w:lvlJc w:val="left"/>
    </w:lvl>
    <w:lvl w:ilvl="4" w:tplc="9FBA1ACE">
      <w:numFmt w:val="decimal"/>
      <w:lvlText w:val=""/>
      <w:lvlJc w:val="left"/>
    </w:lvl>
    <w:lvl w:ilvl="5" w:tplc="A5820234">
      <w:numFmt w:val="decimal"/>
      <w:lvlText w:val=""/>
      <w:lvlJc w:val="left"/>
    </w:lvl>
    <w:lvl w:ilvl="6" w:tplc="EBCEF848">
      <w:numFmt w:val="decimal"/>
      <w:lvlText w:val=""/>
      <w:lvlJc w:val="left"/>
    </w:lvl>
    <w:lvl w:ilvl="7" w:tplc="811EF6C0">
      <w:numFmt w:val="decimal"/>
      <w:lvlText w:val=""/>
      <w:lvlJc w:val="left"/>
    </w:lvl>
    <w:lvl w:ilvl="8" w:tplc="BC9EB254">
      <w:numFmt w:val="decimal"/>
      <w:lvlText w:val=""/>
      <w:lvlJc w:val="left"/>
    </w:lvl>
  </w:abstractNum>
  <w:abstractNum w:abstractNumId="19" w15:restartNumberingAfterBreak="0">
    <w:nsid w:val="14E17E33"/>
    <w:multiLevelType w:val="hybridMultilevel"/>
    <w:tmpl w:val="8F482F7E"/>
    <w:lvl w:ilvl="0" w:tplc="7DE4128A">
      <w:start w:val="2"/>
      <w:numFmt w:val="decimal"/>
      <w:lvlText w:val="%1."/>
      <w:lvlJc w:val="left"/>
    </w:lvl>
    <w:lvl w:ilvl="1" w:tplc="857EBA82">
      <w:numFmt w:val="decimal"/>
      <w:lvlText w:val=""/>
      <w:lvlJc w:val="left"/>
    </w:lvl>
    <w:lvl w:ilvl="2" w:tplc="8F262FD6">
      <w:numFmt w:val="decimal"/>
      <w:lvlText w:val=""/>
      <w:lvlJc w:val="left"/>
    </w:lvl>
    <w:lvl w:ilvl="3" w:tplc="B46C23AE">
      <w:numFmt w:val="decimal"/>
      <w:lvlText w:val=""/>
      <w:lvlJc w:val="left"/>
    </w:lvl>
    <w:lvl w:ilvl="4" w:tplc="18BAE30E">
      <w:numFmt w:val="decimal"/>
      <w:lvlText w:val=""/>
      <w:lvlJc w:val="left"/>
    </w:lvl>
    <w:lvl w:ilvl="5" w:tplc="1E227E1E">
      <w:numFmt w:val="decimal"/>
      <w:lvlText w:val=""/>
      <w:lvlJc w:val="left"/>
    </w:lvl>
    <w:lvl w:ilvl="6" w:tplc="C2167722">
      <w:numFmt w:val="decimal"/>
      <w:lvlText w:val=""/>
      <w:lvlJc w:val="left"/>
    </w:lvl>
    <w:lvl w:ilvl="7" w:tplc="BA700884">
      <w:numFmt w:val="decimal"/>
      <w:lvlText w:val=""/>
      <w:lvlJc w:val="left"/>
    </w:lvl>
    <w:lvl w:ilvl="8" w:tplc="FD5C6BBA">
      <w:numFmt w:val="decimal"/>
      <w:lvlText w:val=""/>
      <w:lvlJc w:val="left"/>
    </w:lvl>
  </w:abstractNum>
  <w:abstractNum w:abstractNumId="20" w15:restartNumberingAfterBreak="0">
    <w:nsid w:val="14FCE74E"/>
    <w:multiLevelType w:val="hybridMultilevel"/>
    <w:tmpl w:val="C6FA0128"/>
    <w:lvl w:ilvl="0" w:tplc="B7C47A30">
      <w:start w:val="1"/>
      <w:numFmt w:val="bullet"/>
      <w:lvlText w:val="•"/>
      <w:lvlJc w:val="left"/>
    </w:lvl>
    <w:lvl w:ilvl="1" w:tplc="1B2E26EC">
      <w:numFmt w:val="decimal"/>
      <w:lvlText w:val=""/>
      <w:lvlJc w:val="left"/>
    </w:lvl>
    <w:lvl w:ilvl="2" w:tplc="AE72D074">
      <w:numFmt w:val="decimal"/>
      <w:lvlText w:val=""/>
      <w:lvlJc w:val="left"/>
    </w:lvl>
    <w:lvl w:ilvl="3" w:tplc="ACBACF1A">
      <w:numFmt w:val="decimal"/>
      <w:lvlText w:val=""/>
      <w:lvlJc w:val="left"/>
    </w:lvl>
    <w:lvl w:ilvl="4" w:tplc="C5A24BEC">
      <w:numFmt w:val="decimal"/>
      <w:lvlText w:val=""/>
      <w:lvlJc w:val="left"/>
    </w:lvl>
    <w:lvl w:ilvl="5" w:tplc="EF622BD6">
      <w:numFmt w:val="decimal"/>
      <w:lvlText w:val=""/>
      <w:lvlJc w:val="left"/>
    </w:lvl>
    <w:lvl w:ilvl="6" w:tplc="0C209010">
      <w:numFmt w:val="decimal"/>
      <w:lvlText w:val=""/>
      <w:lvlJc w:val="left"/>
    </w:lvl>
    <w:lvl w:ilvl="7" w:tplc="3AFE9B32">
      <w:numFmt w:val="decimal"/>
      <w:lvlText w:val=""/>
      <w:lvlJc w:val="left"/>
    </w:lvl>
    <w:lvl w:ilvl="8" w:tplc="69AECDE6">
      <w:numFmt w:val="decimal"/>
      <w:lvlText w:val=""/>
      <w:lvlJc w:val="left"/>
    </w:lvl>
  </w:abstractNum>
  <w:abstractNum w:abstractNumId="21" w15:restartNumberingAfterBreak="0">
    <w:nsid w:val="15014ACB"/>
    <w:multiLevelType w:val="hybridMultilevel"/>
    <w:tmpl w:val="0510B1C0"/>
    <w:lvl w:ilvl="0" w:tplc="9C18B402">
      <w:start w:val="1"/>
      <w:numFmt w:val="bullet"/>
      <w:lvlText w:val="•"/>
      <w:lvlJc w:val="left"/>
    </w:lvl>
    <w:lvl w:ilvl="1" w:tplc="4B686622">
      <w:numFmt w:val="decimal"/>
      <w:lvlText w:val=""/>
      <w:lvlJc w:val="left"/>
    </w:lvl>
    <w:lvl w:ilvl="2" w:tplc="C3BCAF78">
      <w:numFmt w:val="decimal"/>
      <w:lvlText w:val=""/>
      <w:lvlJc w:val="left"/>
    </w:lvl>
    <w:lvl w:ilvl="3" w:tplc="285256DE">
      <w:numFmt w:val="decimal"/>
      <w:lvlText w:val=""/>
      <w:lvlJc w:val="left"/>
    </w:lvl>
    <w:lvl w:ilvl="4" w:tplc="EDFA48A0">
      <w:numFmt w:val="decimal"/>
      <w:lvlText w:val=""/>
      <w:lvlJc w:val="left"/>
    </w:lvl>
    <w:lvl w:ilvl="5" w:tplc="A25E7FEC">
      <w:numFmt w:val="decimal"/>
      <w:lvlText w:val=""/>
      <w:lvlJc w:val="left"/>
    </w:lvl>
    <w:lvl w:ilvl="6" w:tplc="FBE079B2">
      <w:numFmt w:val="decimal"/>
      <w:lvlText w:val=""/>
      <w:lvlJc w:val="left"/>
    </w:lvl>
    <w:lvl w:ilvl="7" w:tplc="14660108">
      <w:numFmt w:val="decimal"/>
      <w:lvlText w:val=""/>
      <w:lvlJc w:val="left"/>
    </w:lvl>
    <w:lvl w:ilvl="8" w:tplc="DAD0FE0E">
      <w:numFmt w:val="decimal"/>
      <w:lvlText w:val=""/>
      <w:lvlJc w:val="left"/>
    </w:lvl>
  </w:abstractNum>
  <w:abstractNum w:abstractNumId="22" w15:restartNumberingAfterBreak="0">
    <w:nsid w:val="15B5AF5C"/>
    <w:multiLevelType w:val="hybridMultilevel"/>
    <w:tmpl w:val="C088BEE6"/>
    <w:lvl w:ilvl="0" w:tplc="1F20615C">
      <w:start w:val="1"/>
      <w:numFmt w:val="bullet"/>
      <w:lvlText w:val="В"/>
      <w:lvlJc w:val="left"/>
    </w:lvl>
    <w:lvl w:ilvl="1" w:tplc="7A0EFDAE">
      <w:numFmt w:val="decimal"/>
      <w:lvlText w:val=""/>
      <w:lvlJc w:val="left"/>
    </w:lvl>
    <w:lvl w:ilvl="2" w:tplc="C9488476">
      <w:numFmt w:val="decimal"/>
      <w:lvlText w:val=""/>
      <w:lvlJc w:val="left"/>
    </w:lvl>
    <w:lvl w:ilvl="3" w:tplc="1200F3D0">
      <w:numFmt w:val="decimal"/>
      <w:lvlText w:val=""/>
      <w:lvlJc w:val="left"/>
    </w:lvl>
    <w:lvl w:ilvl="4" w:tplc="0D108DC8">
      <w:numFmt w:val="decimal"/>
      <w:lvlText w:val=""/>
      <w:lvlJc w:val="left"/>
    </w:lvl>
    <w:lvl w:ilvl="5" w:tplc="B0146F7A">
      <w:numFmt w:val="decimal"/>
      <w:lvlText w:val=""/>
      <w:lvlJc w:val="left"/>
    </w:lvl>
    <w:lvl w:ilvl="6" w:tplc="FA3C5E5C">
      <w:numFmt w:val="decimal"/>
      <w:lvlText w:val=""/>
      <w:lvlJc w:val="left"/>
    </w:lvl>
    <w:lvl w:ilvl="7" w:tplc="6A70B030">
      <w:numFmt w:val="decimal"/>
      <w:lvlText w:val=""/>
      <w:lvlJc w:val="left"/>
    </w:lvl>
    <w:lvl w:ilvl="8" w:tplc="A776F5B6">
      <w:numFmt w:val="decimal"/>
      <w:lvlText w:val=""/>
      <w:lvlJc w:val="left"/>
    </w:lvl>
  </w:abstractNum>
  <w:abstractNum w:abstractNumId="23" w15:restartNumberingAfterBreak="0">
    <w:nsid w:val="168E121F"/>
    <w:multiLevelType w:val="hybridMultilevel"/>
    <w:tmpl w:val="825A599E"/>
    <w:lvl w:ilvl="0" w:tplc="79E6DC68">
      <w:start w:val="5"/>
      <w:numFmt w:val="decimal"/>
      <w:lvlText w:val="%1."/>
      <w:lvlJc w:val="left"/>
    </w:lvl>
    <w:lvl w:ilvl="1" w:tplc="35127588">
      <w:numFmt w:val="decimal"/>
      <w:lvlText w:val=""/>
      <w:lvlJc w:val="left"/>
    </w:lvl>
    <w:lvl w:ilvl="2" w:tplc="5FFA8AF2">
      <w:numFmt w:val="decimal"/>
      <w:lvlText w:val=""/>
      <w:lvlJc w:val="left"/>
    </w:lvl>
    <w:lvl w:ilvl="3" w:tplc="FE9895B2">
      <w:numFmt w:val="decimal"/>
      <w:lvlText w:val=""/>
      <w:lvlJc w:val="left"/>
    </w:lvl>
    <w:lvl w:ilvl="4" w:tplc="5276F7B4">
      <w:numFmt w:val="decimal"/>
      <w:lvlText w:val=""/>
      <w:lvlJc w:val="left"/>
    </w:lvl>
    <w:lvl w:ilvl="5" w:tplc="5F8ABABA">
      <w:numFmt w:val="decimal"/>
      <w:lvlText w:val=""/>
      <w:lvlJc w:val="left"/>
    </w:lvl>
    <w:lvl w:ilvl="6" w:tplc="FDD21ACC">
      <w:numFmt w:val="decimal"/>
      <w:lvlText w:val=""/>
      <w:lvlJc w:val="left"/>
    </w:lvl>
    <w:lvl w:ilvl="7" w:tplc="5F246E0C">
      <w:numFmt w:val="decimal"/>
      <w:lvlText w:val=""/>
      <w:lvlJc w:val="left"/>
    </w:lvl>
    <w:lvl w:ilvl="8" w:tplc="47F60C72">
      <w:numFmt w:val="decimal"/>
      <w:lvlText w:val=""/>
      <w:lvlJc w:val="left"/>
    </w:lvl>
  </w:abstractNum>
  <w:abstractNum w:abstractNumId="24" w15:restartNumberingAfterBreak="0">
    <w:nsid w:val="1716703B"/>
    <w:multiLevelType w:val="hybridMultilevel"/>
    <w:tmpl w:val="573E7434"/>
    <w:lvl w:ilvl="0" w:tplc="793EB956">
      <w:start w:val="1"/>
      <w:numFmt w:val="decimal"/>
      <w:lvlText w:val="%1."/>
      <w:lvlJc w:val="left"/>
    </w:lvl>
    <w:lvl w:ilvl="1" w:tplc="A148BA4C">
      <w:numFmt w:val="decimal"/>
      <w:lvlText w:val=""/>
      <w:lvlJc w:val="left"/>
    </w:lvl>
    <w:lvl w:ilvl="2" w:tplc="74789120">
      <w:numFmt w:val="decimal"/>
      <w:lvlText w:val=""/>
      <w:lvlJc w:val="left"/>
    </w:lvl>
    <w:lvl w:ilvl="3" w:tplc="E4ECDAB2">
      <w:numFmt w:val="decimal"/>
      <w:lvlText w:val=""/>
      <w:lvlJc w:val="left"/>
    </w:lvl>
    <w:lvl w:ilvl="4" w:tplc="6EDE9758">
      <w:numFmt w:val="decimal"/>
      <w:lvlText w:val=""/>
      <w:lvlJc w:val="left"/>
    </w:lvl>
    <w:lvl w:ilvl="5" w:tplc="8194A05C">
      <w:numFmt w:val="decimal"/>
      <w:lvlText w:val=""/>
      <w:lvlJc w:val="left"/>
    </w:lvl>
    <w:lvl w:ilvl="6" w:tplc="6FCA2BCE">
      <w:numFmt w:val="decimal"/>
      <w:lvlText w:val=""/>
      <w:lvlJc w:val="left"/>
    </w:lvl>
    <w:lvl w:ilvl="7" w:tplc="DB422C96">
      <w:numFmt w:val="decimal"/>
      <w:lvlText w:val=""/>
      <w:lvlJc w:val="left"/>
    </w:lvl>
    <w:lvl w:ilvl="8" w:tplc="C7103A6C">
      <w:numFmt w:val="decimal"/>
      <w:lvlText w:val=""/>
      <w:lvlJc w:val="left"/>
    </w:lvl>
  </w:abstractNum>
  <w:abstractNum w:abstractNumId="25" w15:restartNumberingAfterBreak="0">
    <w:nsid w:val="180115BE"/>
    <w:multiLevelType w:val="hybridMultilevel"/>
    <w:tmpl w:val="09C42304"/>
    <w:lvl w:ilvl="0" w:tplc="AA2004E0">
      <w:start w:val="1"/>
      <w:numFmt w:val="bullet"/>
      <w:lvlText w:val="с"/>
      <w:lvlJc w:val="left"/>
    </w:lvl>
    <w:lvl w:ilvl="1" w:tplc="707492BE">
      <w:numFmt w:val="decimal"/>
      <w:lvlText w:val=""/>
      <w:lvlJc w:val="left"/>
    </w:lvl>
    <w:lvl w:ilvl="2" w:tplc="EFCAD53E">
      <w:numFmt w:val="decimal"/>
      <w:lvlText w:val=""/>
      <w:lvlJc w:val="left"/>
    </w:lvl>
    <w:lvl w:ilvl="3" w:tplc="27FC51B0">
      <w:numFmt w:val="decimal"/>
      <w:lvlText w:val=""/>
      <w:lvlJc w:val="left"/>
    </w:lvl>
    <w:lvl w:ilvl="4" w:tplc="52806ED6">
      <w:numFmt w:val="decimal"/>
      <w:lvlText w:val=""/>
      <w:lvlJc w:val="left"/>
    </w:lvl>
    <w:lvl w:ilvl="5" w:tplc="6988EC30">
      <w:numFmt w:val="decimal"/>
      <w:lvlText w:val=""/>
      <w:lvlJc w:val="left"/>
    </w:lvl>
    <w:lvl w:ilvl="6" w:tplc="7220B62E">
      <w:numFmt w:val="decimal"/>
      <w:lvlText w:val=""/>
      <w:lvlJc w:val="left"/>
    </w:lvl>
    <w:lvl w:ilvl="7" w:tplc="91226622">
      <w:numFmt w:val="decimal"/>
      <w:lvlText w:val=""/>
      <w:lvlJc w:val="left"/>
    </w:lvl>
    <w:lvl w:ilvl="8" w:tplc="A62C54BC">
      <w:numFmt w:val="decimal"/>
      <w:lvlText w:val=""/>
      <w:lvlJc w:val="left"/>
    </w:lvl>
  </w:abstractNum>
  <w:abstractNum w:abstractNumId="26" w15:restartNumberingAfterBreak="0">
    <w:nsid w:val="1A27709E"/>
    <w:multiLevelType w:val="hybridMultilevel"/>
    <w:tmpl w:val="62FA9DE6"/>
    <w:lvl w:ilvl="0" w:tplc="2774EEEE">
      <w:start w:val="6"/>
      <w:numFmt w:val="decimal"/>
      <w:lvlText w:val="%1."/>
      <w:lvlJc w:val="left"/>
    </w:lvl>
    <w:lvl w:ilvl="1" w:tplc="BCF22946">
      <w:numFmt w:val="decimal"/>
      <w:lvlText w:val=""/>
      <w:lvlJc w:val="left"/>
    </w:lvl>
    <w:lvl w:ilvl="2" w:tplc="C582A866">
      <w:numFmt w:val="decimal"/>
      <w:lvlText w:val=""/>
      <w:lvlJc w:val="left"/>
    </w:lvl>
    <w:lvl w:ilvl="3" w:tplc="CB2CE970">
      <w:numFmt w:val="decimal"/>
      <w:lvlText w:val=""/>
      <w:lvlJc w:val="left"/>
    </w:lvl>
    <w:lvl w:ilvl="4" w:tplc="352C2A12">
      <w:numFmt w:val="decimal"/>
      <w:lvlText w:val=""/>
      <w:lvlJc w:val="left"/>
    </w:lvl>
    <w:lvl w:ilvl="5" w:tplc="577C8DC0">
      <w:numFmt w:val="decimal"/>
      <w:lvlText w:val=""/>
      <w:lvlJc w:val="left"/>
    </w:lvl>
    <w:lvl w:ilvl="6" w:tplc="657A6506">
      <w:numFmt w:val="decimal"/>
      <w:lvlText w:val=""/>
      <w:lvlJc w:val="left"/>
    </w:lvl>
    <w:lvl w:ilvl="7" w:tplc="02000CB8">
      <w:numFmt w:val="decimal"/>
      <w:lvlText w:val=""/>
      <w:lvlJc w:val="left"/>
    </w:lvl>
    <w:lvl w:ilvl="8" w:tplc="5142D740">
      <w:numFmt w:val="decimal"/>
      <w:lvlText w:val=""/>
      <w:lvlJc w:val="left"/>
    </w:lvl>
  </w:abstractNum>
  <w:abstractNum w:abstractNumId="27" w15:restartNumberingAfterBreak="0">
    <w:nsid w:val="1A32234B"/>
    <w:multiLevelType w:val="hybridMultilevel"/>
    <w:tmpl w:val="D3EC7FA2"/>
    <w:lvl w:ilvl="0" w:tplc="DDD6E5AE">
      <w:start w:val="3"/>
      <w:numFmt w:val="decimal"/>
      <w:lvlText w:val="%1."/>
      <w:lvlJc w:val="left"/>
    </w:lvl>
    <w:lvl w:ilvl="1" w:tplc="FE4A1DEC">
      <w:numFmt w:val="decimal"/>
      <w:lvlText w:val=""/>
      <w:lvlJc w:val="left"/>
    </w:lvl>
    <w:lvl w:ilvl="2" w:tplc="431A915A">
      <w:numFmt w:val="decimal"/>
      <w:lvlText w:val=""/>
      <w:lvlJc w:val="left"/>
    </w:lvl>
    <w:lvl w:ilvl="3" w:tplc="BF48E8C2">
      <w:numFmt w:val="decimal"/>
      <w:lvlText w:val=""/>
      <w:lvlJc w:val="left"/>
    </w:lvl>
    <w:lvl w:ilvl="4" w:tplc="0342724A">
      <w:numFmt w:val="decimal"/>
      <w:lvlText w:val=""/>
      <w:lvlJc w:val="left"/>
    </w:lvl>
    <w:lvl w:ilvl="5" w:tplc="048A6A48">
      <w:numFmt w:val="decimal"/>
      <w:lvlText w:val=""/>
      <w:lvlJc w:val="left"/>
    </w:lvl>
    <w:lvl w:ilvl="6" w:tplc="DC182794">
      <w:numFmt w:val="decimal"/>
      <w:lvlText w:val=""/>
      <w:lvlJc w:val="left"/>
    </w:lvl>
    <w:lvl w:ilvl="7" w:tplc="DE563200">
      <w:numFmt w:val="decimal"/>
      <w:lvlText w:val=""/>
      <w:lvlJc w:val="left"/>
    </w:lvl>
    <w:lvl w:ilvl="8" w:tplc="A9AE2B00">
      <w:numFmt w:val="decimal"/>
      <w:lvlText w:val=""/>
      <w:lvlJc w:val="left"/>
    </w:lvl>
  </w:abstractNum>
  <w:abstractNum w:abstractNumId="28" w15:restartNumberingAfterBreak="0">
    <w:nsid w:val="1CF10FD8"/>
    <w:multiLevelType w:val="hybridMultilevel"/>
    <w:tmpl w:val="A880CCCA"/>
    <w:lvl w:ilvl="0" w:tplc="01C666BA">
      <w:start w:val="1"/>
      <w:numFmt w:val="bullet"/>
      <w:lvlText w:val="с"/>
      <w:lvlJc w:val="left"/>
    </w:lvl>
    <w:lvl w:ilvl="1" w:tplc="6AE8B43E">
      <w:numFmt w:val="decimal"/>
      <w:lvlText w:val=""/>
      <w:lvlJc w:val="left"/>
    </w:lvl>
    <w:lvl w:ilvl="2" w:tplc="29BC8144">
      <w:numFmt w:val="decimal"/>
      <w:lvlText w:val=""/>
      <w:lvlJc w:val="left"/>
    </w:lvl>
    <w:lvl w:ilvl="3" w:tplc="6C94D944">
      <w:numFmt w:val="decimal"/>
      <w:lvlText w:val=""/>
      <w:lvlJc w:val="left"/>
    </w:lvl>
    <w:lvl w:ilvl="4" w:tplc="AD1CAEB2">
      <w:numFmt w:val="decimal"/>
      <w:lvlText w:val=""/>
      <w:lvlJc w:val="left"/>
    </w:lvl>
    <w:lvl w:ilvl="5" w:tplc="5F0E0B0E">
      <w:numFmt w:val="decimal"/>
      <w:lvlText w:val=""/>
      <w:lvlJc w:val="left"/>
    </w:lvl>
    <w:lvl w:ilvl="6" w:tplc="5BE6E5A8">
      <w:numFmt w:val="decimal"/>
      <w:lvlText w:val=""/>
      <w:lvlJc w:val="left"/>
    </w:lvl>
    <w:lvl w:ilvl="7" w:tplc="DC86A6DA">
      <w:numFmt w:val="decimal"/>
      <w:lvlText w:val=""/>
      <w:lvlJc w:val="left"/>
    </w:lvl>
    <w:lvl w:ilvl="8" w:tplc="871CD200">
      <w:numFmt w:val="decimal"/>
      <w:lvlText w:val=""/>
      <w:lvlJc w:val="left"/>
    </w:lvl>
  </w:abstractNum>
  <w:abstractNum w:abstractNumId="29" w15:restartNumberingAfterBreak="0">
    <w:nsid w:val="1D545C4D"/>
    <w:multiLevelType w:val="hybridMultilevel"/>
    <w:tmpl w:val="70DC1EA2"/>
    <w:lvl w:ilvl="0" w:tplc="93F6E62E">
      <w:start w:val="1"/>
      <w:numFmt w:val="bullet"/>
      <w:lvlText w:val="•"/>
      <w:lvlJc w:val="left"/>
    </w:lvl>
    <w:lvl w:ilvl="1" w:tplc="F726FD48">
      <w:numFmt w:val="decimal"/>
      <w:lvlText w:val=""/>
      <w:lvlJc w:val="left"/>
    </w:lvl>
    <w:lvl w:ilvl="2" w:tplc="716EE458">
      <w:numFmt w:val="decimal"/>
      <w:lvlText w:val=""/>
      <w:lvlJc w:val="left"/>
    </w:lvl>
    <w:lvl w:ilvl="3" w:tplc="A77825BE">
      <w:numFmt w:val="decimal"/>
      <w:lvlText w:val=""/>
      <w:lvlJc w:val="left"/>
    </w:lvl>
    <w:lvl w:ilvl="4" w:tplc="584AA830">
      <w:numFmt w:val="decimal"/>
      <w:lvlText w:val=""/>
      <w:lvlJc w:val="left"/>
    </w:lvl>
    <w:lvl w:ilvl="5" w:tplc="AEE4F6C0">
      <w:numFmt w:val="decimal"/>
      <w:lvlText w:val=""/>
      <w:lvlJc w:val="left"/>
    </w:lvl>
    <w:lvl w:ilvl="6" w:tplc="DF0A419A">
      <w:numFmt w:val="decimal"/>
      <w:lvlText w:val=""/>
      <w:lvlJc w:val="left"/>
    </w:lvl>
    <w:lvl w:ilvl="7" w:tplc="2B6E6CE6">
      <w:numFmt w:val="decimal"/>
      <w:lvlText w:val=""/>
      <w:lvlJc w:val="left"/>
    </w:lvl>
    <w:lvl w:ilvl="8" w:tplc="2AD6B40E">
      <w:numFmt w:val="decimal"/>
      <w:lvlText w:val=""/>
      <w:lvlJc w:val="left"/>
    </w:lvl>
  </w:abstractNum>
  <w:abstractNum w:abstractNumId="30" w15:restartNumberingAfterBreak="0">
    <w:nsid w:val="1D9F6E5F"/>
    <w:multiLevelType w:val="hybridMultilevel"/>
    <w:tmpl w:val="84FAEDAE"/>
    <w:lvl w:ilvl="0" w:tplc="AC642E58">
      <w:start w:val="1"/>
      <w:numFmt w:val="bullet"/>
      <w:lvlText w:val="•"/>
      <w:lvlJc w:val="left"/>
    </w:lvl>
    <w:lvl w:ilvl="1" w:tplc="49F25422">
      <w:numFmt w:val="decimal"/>
      <w:lvlText w:val=""/>
      <w:lvlJc w:val="left"/>
    </w:lvl>
    <w:lvl w:ilvl="2" w:tplc="FB00B068">
      <w:numFmt w:val="decimal"/>
      <w:lvlText w:val=""/>
      <w:lvlJc w:val="left"/>
    </w:lvl>
    <w:lvl w:ilvl="3" w:tplc="38C8BB46">
      <w:numFmt w:val="decimal"/>
      <w:lvlText w:val=""/>
      <w:lvlJc w:val="left"/>
    </w:lvl>
    <w:lvl w:ilvl="4" w:tplc="FE269096">
      <w:numFmt w:val="decimal"/>
      <w:lvlText w:val=""/>
      <w:lvlJc w:val="left"/>
    </w:lvl>
    <w:lvl w:ilvl="5" w:tplc="322417CC">
      <w:numFmt w:val="decimal"/>
      <w:lvlText w:val=""/>
      <w:lvlJc w:val="left"/>
    </w:lvl>
    <w:lvl w:ilvl="6" w:tplc="6F50B624">
      <w:numFmt w:val="decimal"/>
      <w:lvlText w:val=""/>
      <w:lvlJc w:val="left"/>
    </w:lvl>
    <w:lvl w:ilvl="7" w:tplc="FB64E0DC">
      <w:numFmt w:val="decimal"/>
      <w:lvlText w:val=""/>
      <w:lvlJc w:val="left"/>
    </w:lvl>
    <w:lvl w:ilvl="8" w:tplc="D5D2557C">
      <w:numFmt w:val="decimal"/>
      <w:lvlText w:val=""/>
      <w:lvlJc w:val="left"/>
    </w:lvl>
  </w:abstractNum>
  <w:abstractNum w:abstractNumId="31" w15:restartNumberingAfterBreak="0">
    <w:nsid w:val="1DBABF00"/>
    <w:multiLevelType w:val="hybridMultilevel"/>
    <w:tmpl w:val="3386F388"/>
    <w:lvl w:ilvl="0" w:tplc="327E9254">
      <w:start w:val="7"/>
      <w:numFmt w:val="decimal"/>
      <w:lvlText w:val="%1."/>
      <w:lvlJc w:val="left"/>
    </w:lvl>
    <w:lvl w:ilvl="1" w:tplc="2B48D1C4">
      <w:numFmt w:val="decimal"/>
      <w:lvlText w:val=""/>
      <w:lvlJc w:val="left"/>
    </w:lvl>
    <w:lvl w:ilvl="2" w:tplc="07D23D32">
      <w:numFmt w:val="decimal"/>
      <w:lvlText w:val=""/>
      <w:lvlJc w:val="left"/>
    </w:lvl>
    <w:lvl w:ilvl="3" w:tplc="21B8DA22">
      <w:numFmt w:val="decimal"/>
      <w:lvlText w:val=""/>
      <w:lvlJc w:val="left"/>
    </w:lvl>
    <w:lvl w:ilvl="4" w:tplc="E8FCCAEC">
      <w:numFmt w:val="decimal"/>
      <w:lvlText w:val=""/>
      <w:lvlJc w:val="left"/>
    </w:lvl>
    <w:lvl w:ilvl="5" w:tplc="35BE26BC">
      <w:numFmt w:val="decimal"/>
      <w:lvlText w:val=""/>
      <w:lvlJc w:val="left"/>
    </w:lvl>
    <w:lvl w:ilvl="6" w:tplc="4304557C">
      <w:numFmt w:val="decimal"/>
      <w:lvlText w:val=""/>
      <w:lvlJc w:val="left"/>
    </w:lvl>
    <w:lvl w:ilvl="7" w:tplc="E67815C6">
      <w:numFmt w:val="decimal"/>
      <w:lvlText w:val=""/>
      <w:lvlJc w:val="left"/>
    </w:lvl>
    <w:lvl w:ilvl="8" w:tplc="8C588FBE">
      <w:numFmt w:val="decimal"/>
      <w:lvlText w:val=""/>
      <w:lvlJc w:val="left"/>
    </w:lvl>
  </w:abstractNum>
  <w:abstractNum w:abstractNumId="32" w15:restartNumberingAfterBreak="0">
    <w:nsid w:val="1EBA5D23"/>
    <w:multiLevelType w:val="hybridMultilevel"/>
    <w:tmpl w:val="D58E4F6E"/>
    <w:lvl w:ilvl="0" w:tplc="C7BAE196">
      <w:start w:val="6"/>
      <w:numFmt w:val="decimal"/>
      <w:lvlText w:val="%1."/>
      <w:lvlJc w:val="left"/>
    </w:lvl>
    <w:lvl w:ilvl="1" w:tplc="C35A0924">
      <w:numFmt w:val="decimal"/>
      <w:lvlText w:val=""/>
      <w:lvlJc w:val="left"/>
    </w:lvl>
    <w:lvl w:ilvl="2" w:tplc="F33031D6">
      <w:numFmt w:val="decimal"/>
      <w:lvlText w:val=""/>
      <w:lvlJc w:val="left"/>
    </w:lvl>
    <w:lvl w:ilvl="3" w:tplc="6FF43F0C">
      <w:numFmt w:val="decimal"/>
      <w:lvlText w:val=""/>
      <w:lvlJc w:val="left"/>
    </w:lvl>
    <w:lvl w:ilvl="4" w:tplc="1C683AF2">
      <w:numFmt w:val="decimal"/>
      <w:lvlText w:val=""/>
      <w:lvlJc w:val="left"/>
    </w:lvl>
    <w:lvl w:ilvl="5" w:tplc="ACF0E6EA">
      <w:numFmt w:val="decimal"/>
      <w:lvlText w:val=""/>
      <w:lvlJc w:val="left"/>
    </w:lvl>
    <w:lvl w:ilvl="6" w:tplc="65807C4A">
      <w:numFmt w:val="decimal"/>
      <w:lvlText w:val=""/>
      <w:lvlJc w:val="left"/>
    </w:lvl>
    <w:lvl w:ilvl="7" w:tplc="B5A054AE">
      <w:numFmt w:val="decimal"/>
      <w:lvlText w:val=""/>
      <w:lvlJc w:val="left"/>
    </w:lvl>
    <w:lvl w:ilvl="8" w:tplc="EBDA8D6E">
      <w:numFmt w:val="decimal"/>
      <w:lvlText w:val=""/>
      <w:lvlJc w:val="left"/>
    </w:lvl>
  </w:abstractNum>
  <w:abstractNum w:abstractNumId="33" w15:restartNumberingAfterBreak="0">
    <w:nsid w:val="1F48EAA1"/>
    <w:multiLevelType w:val="hybridMultilevel"/>
    <w:tmpl w:val="C64620BA"/>
    <w:lvl w:ilvl="0" w:tplc="EE4EDBB6">
      <w:start w:val="9"/>
      <w:numFmt w:val="decimal"/>
      <w:lvlText w:val="%1."/>
      <w:lvlJc w:val="left"/>
    </w:lvl>
    <w:lvl w:ilvl="1" w:tplc="4F1679E2">
      <w:numFmt w:val="decimal"/>
      <w:lvlText w:val=""/>
      <w:lvlJc w:val="left"/>
    </w:lvl>
    <w:lvl w:ilvl="2" w:tplc="49FA6CC2">
      <w:numFmt w:val="decimal"/>
      <w:lvlText w:val=""/>
      <w:lvlJc w:val="left"/>
    </w:lvl>
    <w:lvl w:ilvl="3" w:tplc="B948B82A">
      <w:numFmt w:val="decimal"/>
      <w:lvlText w:val=""/>
      <w:lvlJc w:val="left"/>
    </w:lvl>
    <w:lvl w:ilvl="4" w:tplc="CAC8199A">
      <w:numFmt w:val="decimal"/>
      <w:lvlText w:val=""/>
      <w:lvlJc w:val="left"/>
    </w:lvl>
    <w:lvl w:ilvl="5" w:tplc="91A28550">
      <w:numFmt w:val="decimal"/>
      <w:lvlText w:val=""/>
      <w:lvlJc w:val="left"/>
    </w:lvl>
    <w:lvl w:ilvl="6" w:tplc="B330A948">
      <w:numFmt w:val="decimal"/>
      <w:lvlText w:val=""/>
      <w:lvlJc w:val="left"/>
    </w:lvl>
    <w:lvl w:ilvl="7" w:tplc="BD84233A">
      <w:numFmt w:val="decimal"/>
      <w:lvlText w:val=""/>
      <w:lvlJc w:val="left"/>
    </w:lvl>
    <w:lvl w:ilvl="8" w:tplc="CE260F88">
      <w:numFmt w:val="decimal"/>
      <w:lvlText w:val=""/>
      <w:lvlJc w:val="left"/>
    </w:lvl>
  </w:abstractNum>
  <w:abstractNum w:abstractNumId="34" w15:restartNumberingAfterBreak="0">
    <w:nsid w:val="1FBFE8E0"/>
    <w:multiLevelType w:val="hybridMultilevel"/>
    <w:tmpl w:val="929A85B2"/>
    <w:lvl w:ilvl="0" w:tplc="6E96D3CE">
      <w:start w:val="1"/>
      <w:numFmt w:val="bullet"/>
      <w:lvlText w:val="•"/>
      <w:lvlJc w:val="left"/>
    </w:lvl>
    <w:lvl w:ilvl="1" w:tplc="1826E90E">
      <w:numFmt w:val="decimal"/>
      <w:lvlText w:val=""/>
      <w:lvlJc w:val="left"/>
    </w:lvl>
    <w:lvl w:ilvl="2" w:tplc="611618C4">
      <w:numFmt w:val="decimal"/>
      <w:lvlText w:val=""/>
      <w:lvlJc w:val="left"/>
    </w:lvl>
    <w:lvl w:ilvl="3" w:tplc="9F94634E">
      <w:numFmt w:val="decimal"/>
      <w:lvlText w:val=""/>
      <w:lvlJc w:val="left"/>
    </w:lvl>
    <w:lvl w:ilvl="4" w:tplc="FDC6317E">
      <w:numFmt w:val="decimal"/>
      <w:lvlText w:val=""/>
      <w:lvlJc w:val="left"/>
    </w:lvl>
    <w:lvl w:ilvl="5" w:tplc="215AC8A8">
      <w:numFmt w:val="decimal"/>
      <w:lvlText w:val=""/>
      <w:lvlJc w:val="left"/>
    </w:lvl>
    <w:lvl w:ilvl="6" w:tplc="6158FDB0">
      <w:numFmt w:val="decimal"/>
      <w:lvlText w:val=""/>
      <w:lvlJc w:val="left"/>
    </w:lvl>
    <w:lvl w:ilvl="7" w:tplc="15DC0A82">
      <w:numFmt w:val="decimal"/>
      <w:lvlText w:val=""/>
      <w:lvlJc w:val="left"/>
    </w:lvl>
    <w:lvl w:ilvl="8" w:tplc="74BA909A">
      <w:numFmt w:val="decimal"/>
      <w:lvlText w:val=""/>
      <w:lvlJc w:val="left"/>
    </w:lvl>
  </w:abstractNum>
  <w:abstractNum w:abstractNumId="35" w15:restartNumberingAfterBreak="0">
    <w:nsid w:val="235BA861"/>
    <w:multiLevelType w:val="hybridMultilevel"/>
    <w:tmpl w:val="1DC42BC0"/>
    <w:lvl w:ilvl="0" w:tplc="D8B8B68E">
      <w:start w:val="1"/>
      <w:numFmt w:val="bullet"/>
      <w:lvlText w:val="В"/>
      <w:lvlJc w:val="left"/>
    </w:lvl>
    <w:lvl w:ilvl="1" w:tplc="F69A3C72">
      <w:numFmt w:val="decimal"/>
      <w:lvlText w:val=""/>
      <w:lvlJc w:val="left"/>
    </w:lvl>
    <w:lvl w:ilvl="2" w:tplc="5A083E60">
      <w:numFmt w:val="decimal"/>
      <w:lvlText w:val=""/>
      <w:lvlJc w:val="left"/>
    </w:lvl>
    <w:lvl w:ilvl="3" w:tplc="7A800AD8">
      <w:numFmt w:val="decimal"/>
      <w:lvlText w:val=""/>
      <w:lvlJc w:val="left"/>
    </w:lvl>
    <w:lvl w:ilvl="4" w:tplc="7E1C9F1E">
      <w:numFmt w:val="decimal"/>
      <w:lvlText w:val=""/>
      <w:lvlJc w:val="left"/>
    </w:lvl>
    <w:lvl w:ilvl="5" w:tplc="CF1601FE">
      <w:numFmt w:val="decimal"/>
      <w:lvlText w:val=""/>
      <w:lvlJc w:val="left"/>
    </w:lvl>
    <w:lvl w:ilvl="6" w:tplc="ED429AF0">
      <w:numFmt w:val="decimal"/>
      <w:lvlText w:val=""/>
      <w:lvlJc w:val="left"/>
    </w:lvl>
    <w:lvl w:ilvl="7" w:tplc="6EFAD19A">
      <w:numFmt w:val="decimal"/>
      <w:lvlText w:val=""/>
      <w:lvlJc w:val="left"/>
    </w:lvl>
    <w:lvl w:ilvl="8" w:tplc="A3404FAA">
      <w:numFmt w:val="decimal"/>
      <w:lvlText w:val=""/>
      <w:lvlJc w:val="left"/>
    </w:lvl>
  </w:abstractNum>
  <w:abstractNum w:abstractNumId="36" w15:restartNumberingAfterBreak="0">
    <w:nsid w:val="23F9C13C"/>
    <w:multiLevelType w:val="hybridMultilevel"/>
    <w:tmpl w:val="3586DE04"/>
    <w:lvl w:ilvl="0" w:tplc="DBBC46BE">
      <w:start w:val="1"/>
      <w:numFmt w:val="decimal"/>
      <w:lvlText w:val="%1."/>
      <w:lvlJc w:val="left"/>
    </w:lvl>
    <w:lvl w:ilvl="1" w:tplc="7562BB76">
      <w:numFmt w:val="decimal"/>
      <w:lvlText w:val=""/>
      <w:lvlJc w:val="left"/>
    </w:lvl>
    <w:lvl w:ilvl="2" w:tplc="1806DE88">
      <w:numFmt w:val="decimal"/>
      <w:lvlText w:val=""/>
      <w:lvlJc w:val="left"/>
    </w:lvl>
    <w:lvl w:ilvl="3" w:tplc="C2C22148">
      <w:numFmt w:val="decimal"/>
      <w:lvlText w:val=""/>
      <w:lvlJc w:val="left"/>
    </w:lvl>
    <w:lvl w:ilvl="4" w:tplc="094624D2">
      <w:numFmt w:val="decimal"/>
      <w:lvlText w:val=""/>
      <w:lvlJc w:val="left"/>
    </w:lvl>
    <w:lvl w:ilvl="5" w:tplc="E1E4A328">
      <w:numFmt w:val="decimal"/>
      <w:lvlText w:val=""/>
      <w:lvlJc w:val="left"/>
    </w:lvl>
    <w:lvl w:ilvl="6" w:tplc="E0D29AAE">
      <w:numFmt w:val="decimal"/>
      <w:lvlText w:val=""/>
      <w:lvlJc w:val="left"/>
    </w:lvl>
    <w:lvl w:ilvl="7" w:tplc="9D4AA948">
      <w:numFmt w:val="decimal"/>
      <w:lvlText w:val=""/>
      <w:lvlJc w:val="left"/>
    </w:lvl>
    <w:lvl w:ilvl="8" w:tplc="DAC2F024">
      <w:numFmt w:val="decimal"/>
      <w:lvlText w:val=""/>
      <w:lvlJc w:val="left"/>
    </w:lvl>
  </w:abstractNum>
  <w:abstractNum w:abstractNumId="37" w15:restartNumberingAfterBreak="0">
    <w:nsid w:val="25A70BF7"/>
    <w:multiLevelType w:val="hybridMultilevel"/>
    <w:tmpl w:val="59FA24FE"/>
    <w:lvl w:ilvl="0" w:tplc="A816C360">
      <w:start w:val="4"/>
      <w:numFmt w:val="decimal"/>
      <w:lvlText w:val="%1"/>
      <w:lvlJc w:val="left"/>
    </w:lvl>
    <w:lvl w:ilvl="1" w:tplc="B118574C">
      <w:numFmt w:val="decimal"/>
      <w:lvlText w:val=""/>
      <w:lvlJc w:val="left"/>
    </w:lvl>
    <w:lvl w:ilvl="2" w:tplc="76389FB6">
      <w:numFmt w:val="decimal"/>
      <w:lvlText w:val=""/>
      <w:lvlJc w:val="left"/>
    </w:lvl>
    <w:lvl w:ilvl="3" w:tplc="796ED33C">
      <w:numFmt w:val="decimal"/>
      <w:lvlText w:val=""/>
      <w:lvlJc w:val="left"/>
    </w:lvl>
    <w:lvl w:ilvl="4" w:tplc="4C48F538">
      <w:numFmt w:val="decimal"/>
      <w:lvlText w:val=""/>
      <w:lvlJc w:val="left"/>
    </w:lvl>
    <w:lvl w:ilvl="5" w:tplc="FAB0C310">
      <w:numFmt w:val="decimal"/>
      <w:lvlText w:val=""/>
      <w:lvlJc w:val="left"/>
    </w:lvl>
    <w:lvl w:ilvl="6" w:tplc="F5D4636E">
      <w:numFmt w:val="decimal"/>
      <w:lvlText w:val=""/>
      <w:lvlJc w:val="left"/>
    </w:lvl>
    <w:lvl w:ilvl="7" w:tplc="D21E723C">
      <w:numFmt w:val="decimal"/>
      <w:lvlText w:val=""/>
      <w:lvlJc w:val="left"/>
    </w:lvl>
    <w:lvl w:ilvl="8" w:tplc="0A76C94E">
      <w:numFmt w:val="decimal"/>
      <w:lvlText w:val=""/>
      <w:lvlJc w:val="left"/>
    </w:lvl>
  </w:abstractNum>
  <w:abstractNum w:abstractNumId="38" w15:restartNumberingAfterBreak="0">
    <w:nsid w:val="26F324BA"/>
    <w:multiLevelType w:val="hybridMultilevel"/>
    <w:tmpl w:val="856ACA28"/>
    <w:lvl w:ilvl="0" w:tplc="0A1890AE">
      <w:start w:val="10"/>
      <w:numFmt w:val="decimal"/>
      <w:lvlText w:val="%1."/>
      <w:lvlJc w:val="left"/>
    </w:lvl>
    <w:lvl w:ilvl="1" w:tplc="FBFCB186">
      <w:numFmt w:val="decimal"/>
      <w:lvlText w:val=""/>
      <w:lvlJc w:val="left"/>
    </w:lvl>
    <w:lvl w:ilvl="2" w:tplc="D80E38AC">
      <w:numFmt w:val="decimal"/>
      <w:lvlText w:val=""/>
      <w:lvlJc w:val="left"/>
    </w:lvl>
    <w:lvl w:ilvl="3" w:tplc="7E82AFD8">
      <w:numFmt w:val="decimal"/>
      <w:lvlText w:val=""/>
      <w:lvlJc w:val="left"/>
    </w:lvl>
    <w:lvl w:ilvl="4" w:tplc="A6302BA2">
      <w:numFmt w:val="decimal"/>
      <w:lvlText w:val=""/>
      <w:lvlJc w:val="left"/>
    </w:lvl>
    <w:lvl w:ilvl="5" w:tplc="4252C508">
      <w:numFmt w:val="decimal"/>
      <w:lvlText w:val=""/>
      <w:lvlJc w:val="left"/>
    </w:lvl>
    <w:lvl w:ilvl="6" w:tplc="4B48A1F4">
      <w:numFmt w:val="decimal"/>
      <w:lvlText w:val=""/>
      <w:lvlJc w:val="left"/>
    </w:lvl>
    <w:lvl w:ilvl="7" w:tplc="9926CED0">
      <w:numFmt w:val="decimal"/>
      <w:lvlText w:val=""/>
      <w:lvlJc w:val="left"/>
    </w:lvl>
    <w:lvl w:ilvl="8" w:tplc="92EA9254">
      <w:numFmt w:val="decimal"/>
      <w:lvlText w:val=""/>
      <w:lvlJc w:val="left"/>
    </w:lvl>
  </w:abstractNum>
  <w:abstractNum w:abstractNumId="39" w15:restartNumberingAfterBreak="0">
    <w:nsid w:val="275AC794"/>
    <w:multiLevelType w:val="hybridMultilevel"/>
    <w:tmpl w:val="73C6CBC6"/>
    <w:lvl w:ilvl="0" w:tplc="02387EAA">
      <w:start w:val="3"/>
      <w:numFmt w:val="decimal"/>
      <w:lvlText w:val="%1."/>
      <w:lvlJc w:val="left"/>
    </w:lvl>
    <w:lvl w:ilvl="1" w:tplc="C4FA2838">
      <w:numFmt w:val="decimal"/>
      <w:lvlText w:val=""/>
      <w:lvlJc w:val="left"/>
    </w:lvl>
    <w:lvl w:ilvl="2" w:tplc="4112AB46">
      <w:numFmt w:val="decimal"/>
      <w:lvlText w:val=""/>
      <w:lvlJc w:val="left"/>
    </w:lvl>
    <w:lvl w:ilvl="3" w:tplc="44CEFC8A">
      <w:numFmt w:val="decimal"/>
      <w:lvlText w:val=""/>
      <w:lvlJc w:val="left"/>
    </w:lvl>
    <w:lvl w:ilvl="4" w:tplc="F2261DF4">
      <w:numFmt w:val="decimal"/>
      <w:lvlText w:val=""/>
      <w:lvlJc w:val="left"/>
    </w:lvl>
    <w:lvl w:ilvl="5" w:tplc="72629C10">
      <w:numFmt w:val="decimal"/>
      <w:lvlText w:val=""/>
      <w:lvlJc w:val="left"/>
    </w:lvl>
    <w:lvl w:ilvl="6" w:tplc="AE14E324">
      <w:numFmt w:val="decimal"/>
      <w:lvlText w:val=""/>
      <w:lvlJc w:val="left"/>
    </w:lvl>
    <w:lvl w:ilvl="7" w:tplc="78084AD6">
      <w:numFmt w:val="decimal"/>
      <w:lvlText w:val=""/>
      <w:lvlJc w:val="left"/>
    </w:lvl>
    <w:lvl w:ilvl="8" w:tplc="822A2C26">
      <w:numFmt w:val="decimal"/>
      <w:lvlText w:val=""/>
      <w:lvlJc w:val="left"/>
    </w:lvl>
  </w:abstractNum>
  <w:abstractNum w:abstractNumId="40" w15:restartNumberingAfterBreak="0">
    <w:nsid w:val="288F1A34"/>
    <w:multiLevelType w:val="hybridMultilevel"/>
    <w:tmpl w:val="55504E32"/>
    <w:lvl w:ilvl="0" w:tplc="2AD47B6A">
      <w:start w:val="5"/>
      <w:numFmt w:val="decimal"/>
      <w:lvlText w:val="%1."/>
      <w:lvlJc w:val="left"/>
    </w:lvl>
    <w:lvl w:ilvl="1" w:tplc="15522CA2">
      <w:numFmt w:val="decimal"/>
      <w:lvlText w:val=""/>
      <w:lvlJc w:val="left"/>
    </w:lvl>
    <w:lvl w:ilvl="2" w:tplc="95961862">
      <w:numFmt w:val="decimal"/>
      <w:lvlText w:val=""/>
      <w:lvlJc w:val="left"/>
    </w:lvl>
    <w:lvl w:ilvl="3" w:tplc="C3DEBC0C">
      <w:numFmt w:val="decimal"/>
      <w:lvlText w:val=""/>
      <w:lvlJc w:val="left"/>
    </w:lvl>
    <w:lvl w:ilvl="4" w:tplc="D3840CCE">
      <w:numFmt w:val="decimal"/>
      <w:lvlText w:val=""/>
      <w:lvlJc w:val="left"/>
    </w:lvl>
    <w:lvl w:ilvl="5" w:tplc="9F2CC914">
      <w:numFmt w:val="decimal"/>
      <w:lvlText w:val=""/>
      <w:lvlJc w:val="left"/>
    </w:lvl>
    <w:lvl w:ilvl="6" w:tplc="A6C2EA46">
      <w:numFmt w:val="decimal"/>
      <w:lvlText w:val=""/>
      <w:lvlJc w:val="left"/>
    </w:lvl>
    <w:lvl w:ilvl="7" w:tplc="2A38F18A">
      <w:numFmt w:val="decimal"/>
      <w:lvlText w:val=""/>
      <w:lvlJc w:val="left"/>
    </w:lvl>
    <w:lvl w:ilvl="8" w:tplc="F18AC0F4">
      <w:numFmt w:val="decimal"/>
      <w:lvlText w:val=""/>
      <w:lvlJc w:val="left"/>
    </w:lvl>
  </w:abstractNum>
  <w:abstractNum w:abstractNumId="41" w15:restartNumberingAfterBreak="0">
    <w:nsid w:val="2A155DBC"/>
    <w:multiLevelType w:val="hybridMultilevel"/>
    <w:tmpl w:val="CDA0F30C"/>
    <w:lvl w:ilvl="0" w:tplc="BC465D88">
      <w:start w:val="6"/>
      <w:numFmt w:val="decimal"/>
      <w:lvlText w:val="%1."/>
      <w:lvlJc w:val="left"/>
    </w:lvl>
    <w:lvl w:ilvl="1" w:tplc="88802F60">
      <w:numFmt w:val="decimal"/>
      <w:lvlText w:val=""/>
      <w:lvlJc w:val="left"/>
    </w:lvl>
    <w:lvl w:ilvl="2" w:tplc="CA56FB88">
      <w:numFmt w:val="decimal"/>
      <w:lvlText w:val=""/>
      <w:lvlJc w:val="left"/>
    </w:lvl>
    <w:lvl w:ilvl="3" w:tplc="440AAF5E">
      <w:numFmt w:val="decimal"/>
      <w:lvlText w:val=""/>
      <w:lvlJc w:val="left"/>
    </w:lvl>
    <w:lvl w:ilvl="4" w:tplc="5C3020B8">
      <w:numFmt w:val="decimal"/>
      <w:lvlText w:val=""/>
      <w:lvlJc w:val="left"/>
    </w:lvl>
    <w:lvl w:ilvl="5" w:tplc="867226E4">
      <w:numFmt w:val="decimal"/>
      <w:lvlText w:val=""/>
      <w:lvlJc w:val="left"/>
    </w:lvl>
    <w:lvl w:ilvl="6" w:tplc="5DA26AE2">
      <w:numFmt w:val="decimal"/>
      <w:lvlText w:val=""/>
      <w:lvlJc w:val="left"/>
    </w:lvl>
    <w:lvl w:ilvl="7" w:tplc="DBC83230">
      <w:numFmt w:val="decimal"/>
      <w:lvlText w:val=""/>
      <w:lvlJc w:val="left"/>
    </w:lvl>
    <w:lvl w:ilvl="8" w:tplc="EA182630">
      <w:numFmt w:val="decimal"/>
      <w:lvlText w:val=""/>
      <w:lvlJc w:val="left"/>
    </w:lvl>
  </w:abstractNum>
  <w:abstractNum w:abstractNumId="42" w15:restartNumberingAfterBreak="0">
    <w:nsid w:val="2DF6D648"/>
    <w:multiLevelType w:val="hybridMultilevel"/>
    <w:tmpl w:val="051694FE"/>
    <w:lvl w:ilvl="0" w:tplc="7F52CFE2">
      <w:start w:val="1"/>
      <w:numFmt w:val="decimal"/>
      <w:lvlText w:val="%1."/>
      <w:lvlJc w:val="left"/>
    </w:lvl>
    <w:lvl w:ilvl="1" w:tplc="CEBA4FF2">
      <w:numFmt w:val="decimal"/>
      <w:lvlText w:val=""/>
      <w:lvlJc w:val="left"/>
    </w:lvl>
    <w:lvl w:ilvl="2" w:tplc="7164ACBA">
      <w:numFmt w:val="decimal"/>
      <w:lvlText w:val=""/>
      <w:lvlJc w:val="left"/>
    </w:lvl>
    <w:lvl w:ilvl="3" w:tplc="FA9E41B2">
      <w:numFmt w:val="decimal"/>
      <w:lvlText w:val=""/>
      <w:lvlJc w:val="left"/>
    </w:lvl>
    <w:lvl w:ilvl="4" w:tplc="CF78A4B0">
      <w:numFmt w:val="decimal"/>
      <w:lvlText w:val=""/>
      <w:lvlJc w:val="left"/>
    </w:lvl>
    <w:lvl w:ilvl="5" w:tplc="7C0C6F88">
      <w:numFmt w:val="decimal"/>
      <w:lvlText w:val=""/>
      <w:lvlJc w:val="left"/>
    </w:lvl>
    <w:lvl w:ilvl="6" w:tplc="300A46DE">
      <w:numFmt w:val="decimal"/>
      <w:lvlText w:val=""/>
      <w:lvlJc w:val="left"/>
    </w:lvl>
    <w:lvl w:ilvl="7" w:tplc="0FD0F456">
      <w:numFmt w:val="decimal"/>
      <w:lvlText w:val=""/>
      <w:lvlJc w:val="left"/>
    </w:lvl>
    <w:lvl w:ilvl="8" w:tplc="3DBE1E46">
      <w:numFmt w:val="decimal"/>
      <w:lvlText w:val=""/>
      <w:lvlJc w:val="left"/>
    </w:lvl>
  </w:abstractNum>
  <w:abstractNum w:abstractNumId="43" w15:restartNumberingAfterBreak="0">
    <w:nsid w:val="2F305DEF"/>
    <w:multiLevelType w:val="hybridMultilevel"/>
    <w:tmpl w:val="9468E232"/>
    <w:lvl w:ilvl="0" w:tplc="26E80462">
      <w:start w:val="6"/>
      <w:numFmt w:val="decimal"/>
      <w:lvlText w:val="%1."/>
      <w:lvlJc w:val="left"/>
    </w:lvl>
    <w:lvl w:ilvl="1" w:tplc="A60CB074">
      <w:numFmt w:val="decimal"/>
      <w:lvlText w:val=""/>
      <w:lvlJc w:val="left"/>
    </w:lvl>
    <w:lvl w:ilvl="2" w:tplc="06FE8B28">
      <w:numFmt w:val="decimal"/>
      <w:lvlText w:val=""/>
      <w:lvlJc w:val="left"/>
    </w:lvl>
    <w:lvl w:ilvl="3" w:tplc="DE003E7A">
      <w:numFmt w:val="decimal"/>
      <w:lvlText w:val=""/>
      <w:lvlJc w:val="left"/>
    </w:lvl>
    <w:lvl w:ilvl="4" w:tplc="57105546">
      <w:numFmt w:val="decimal"/>
      <w:lvlText w:val=""/>
      <w:lvlJc w:val="left"/>
    </w:lvl>
    <w:lvl w:ilvl="5" w:tplc="D5D8462E">
      <w:numFmt w:val="decimal"/>
      <w:lvlText w:val=""/>
      <w:lvlJc w:val="left"/>
    </w:lvl>
    <w:lvl w:ilvl="6" w:tplc="C0B45BBA">
      <w:numFmt w:val="decimal"/>
      <w:lvlText w:val=""/>
      <w:lvlJc w:val="left"/>
    </w:lvl>
    <w:lvl w:ilvl="7" w:tplc="43F0B1F6">
      <w:numFmt w:val="decimal"/>
      <w:lvlText w:val=""/>
      <w:lvlJc w:val="left"/>
    </w:lvl>
    <w:lvl w:ilvl="8" w:tplc="A5AC4E6E">
      <w:numFmt w:val="decimal"/>
      <w:lvlText w:val=""/>
      <w:lvlJc w:val="left"/>
    </w:lvl>
  </w:abstractNum>
  <w:abstractNum w:abstractNumId="44" w15:restartNumberingAfterBreak="0">
    <w:nsid w:val="310C50B3"/>
    <w:multiLevelType w:val="hybridMultilevel"/>
    <w:tmpl w:val="4A142FEE"/>
    <w:lvl w:ilvl="0" w:tplc="42C4CCD0">
      <w:start w:val="1"/>
      <w:numFmt w:val="bullet"/>
      <w:lvlText w:val="В"/>
      <w:lvlJc w:val="left"/>
    </w:lvl>
    <w:lvl w:ilvl="1" w:tplc="DAC41494">
      <w:numFmt w:val="decimal"/>
      <w:lvlText w:val=""/>
      <w:lvlJc w:val="left"/>
    </w:lvl>
    <w:lvl w:ilvl="2" w:tplc="F96EBD50">
      <w:numFmt w:val="decimal"/>
      <w:lvlText w:val=""/>
      <w:lvlJc w:val="left"/>
    </w:lvl>
    <w:lvl w:ilvl="3" w:tplc="431878C0">
      <w:numFmt w:val="decimal"/>
      <w:lvlText w:val=""/>
      <w:lvlJc w:val="left"/>
    </w:lvl>
    <w:lvl w:ilvl="4" w:tplc="CE1230C8">
      <w:numFmt w:val="decimal"/>
      <w:lvlText w:val=""/>
      <w:lvlJc w:val="left"/>
    </w:lvl>
    <w:lvl w:ilvl="5" w:tplc="D2C67AC0">
      <w:numFmt w:val="decimal"/>
      <w:lvlText w:val=""/>
      <w:lvlJc w:val="left"/>
    </w:lvl>
    <w:lvl w:ilvl="6" w:tplc="80E0B792">
      <w:numFmt w:val="decimal"/>
      <w:lvlText w:val=""/>
      <w:lvlJc w:val="left"/>
    </w:lvl>
    <w:lvl w:ilvl="7" w:tplc="D48EEE14">
      <w:numFmt w:val="decimal"/>
      <w:lvlText w:val=""/>
      <w:lvlJc w:val="left"/>
    </w:lvl>
    <w:lvl w:ilvl="8" w:tplc="1D8CCA16">
      <w:numFmt w:val="decimal"/>
      <w:lvlText w:val=""/>
      <w:lvlJc w:val="left"/>
    </w:lvl>
  </w:abstractNum>
  <w:abstractNum w:abstractNumId="45" w15:restartNumberingAfterBreak="0">
    <w:nsid w:val="3222E7CD"/>
    <w:multiLevelType w:val="hybridMultilevel"/>
    <w:tmpl w:val="4C4EAAD2"/>
    <w:lvl w:ilvl="0" w:tplc="BA68DCB0">
      <w:start w:val="3"/>
      <w:numFmt w:val="decimal"/>
      <w:lvlText w:val="%1."/>
      <w:lvlJc w:val="left"/>
    </w:lvl>
    <w:lvl w:ilvl="1" w:tplc="DC9CD4E2">
      <w:numFmt w:val="decimal"/>
      <w:lvlText w:val=""/>
      <w:lvlJc w:val="left"/>
    </w:lvl>
    <w:lvl w:ilvl="2" w:tplc="8F48644E">
      <w:numFmt w:val="decimal"/>
      <w:lvlText w:val=""/>
      <w:lvlJc w:val="left"/>
    </w:lvl>
    <w:lvl w:ilvl="3" w:tplc="7012EF40">
      <w:numFmt w:val="decimal"/>
      <w:lvlText w:val=""/>
      <w:lvlJc w:val="left"/>
    </w:lvl>
    <w:lvl w:ilvl="4" w:tplc="2346B03A">
      <w:numFmt w:val="decimal"/>
      <w:lvlText w:val=""/>
      <w:lvlJc w:val="left"/>
    </w:lvl>
    <w:lvl w:ilvl="5" w:tplc="4F4A2AAE">
      <w:numFmt w:val="decimal"/>
      <w:lvlText w:val=""/>
      <w:lvlJc w:val="left"/>
    </w:lvl>
    <w:lvl w:ilvl="6" w:tplc="A61C252C">
      <w:numFmt w:val="decimal"/>
      <w:lvlText w:val=""/>
      <w:lvlJc w:val="left"/>
    </w:lvl>
    <w:lvl w:ilvl="7" w:tplc="6B841F04">
      <w:numFmt w:val="decimal"/>
      <w:lvlText w:val=""/>
      <w:lvlJc w:val="left"/>
    </w:lvl>
    <w:lvl w:ilvl="8" w:tplc="4D8453BA">
      <w:numFmt w:val="decimal"/>
      <w:lvlText w:val=""/>
      <w:lvlJc w:val="left"/>
    </w:lvl>
  </w:abstractNum>
  <w:abstractNum w:abstractNumId="46" w15:restartNumberingAfterBreak="0">
    <w:nsid w:val="354FE9F9"/>
    <w:multiLevelType w:val="hybridMultilevel"/>
    <w:tmpl w:val="A242651E"/>
    <w:lvl w:ilvl="0" w:tplc="B3067FA2">
      <w:start w:val="1"/>
      <w:numFmt w:val="bullet"/>
      <w:lvlText w:val="В"/>
      <w:lvlJc w:val="left"/>
    </w:lvl>
    <w:lvl w:ilvl="1" w:tplc="0568DD50">
      <w:numFmt w:val="decimal"/>
      <w:lvlText w:val=""/>
      <w:lvlJc w:val="left"/>
    </w:lvl>
    <w:lvl w:ilvl="2" w:tplc="F040479E">
      <w:numFmt w:val="decimal"/>
      <w:lvlText w:val=""/>
      <w:lvlJc w:val="left"/>
    </w:lvl>
    <w:lvl w:ilvl="3" w:tplc="C8CE19C0">
      <w:numFmt w:val="decimal"/>
      <w:lvlText w:val=""/>
      <w:lvlJc w:val="left"/>
    </w:lvl>
    <w:lvl w:ilvl="4" w:tplc="652473DE">
      <w:numFmt w:val="decimal"/>
      <w:lvlText w:val=""/>
      <w:lvlJc w:val="left"/>
    </w:lvl>
    <w:lvl w:ilvl="5" w:tplc="77F43862">
      <w:numFmt w:val="decimal"/>
      <w:lvlText w:val=""/>
      <w:lvlJc w:val="left"/>
    </w:lvl>
    <w:lvl w:ilvl="6" w:tplc="84E816A6">
      <w:numFmt w:val="decimal"/>
      <w:lvlText w:val=""/>
      <w:lvlJc w:val="left"/>
    </w:lvl>
    <w:lvl w:ilvl="7" w:tplc="267EFCF8">
      <w:numFmt w:val="decimal"/>
      <w:lvlText w:val=""/>
      <w:lvlJc w:val="left"/>
    </w:lvl>
    <w:lvl w:ilvl="8" w:tplc="58AE7B40">
      <w:numFmt w:val="decimal"/>
      <w:lvlText w:val=""/>
      <w:lvlJc w:val="left"/>
    </w:lvl>
  </w:abstractNum>
  <w:abstractNum w:abstractNumId="47" w15:restartNumberingAfterBreak="0">
    <w:nsid w:val="39386575"/>
    <w:multiLevelType w:val="hybridMultilevel"/>
    <w:tmpl w:val="23164C0E"/>
    <w:lvl w:ilvl="0" w:tplc="33140976">
      <w:start w:val="4"/>
      <w:numFmt w:val="decimal"/>
      <w:lvlText w:val="%1."/>
      <w:lvlJc w:val="left"/>
    </w:lvl>
    <w:lvl w:ilvl="1" w:tplc="6E9A7586">
      <w:numFmt w:val="decimal"/>
      <w:lvlText w:val=""/>
      <w:lvlJc w:val="left"/>
    </w:lvl>
    <w:lvl w:ilvl="2" w:tplc="120EE066">
      <w:numFmt w:val="decimal"/>
      <w:lvlText w:val=""/>
      <w:lvlJc w:val="left"/>
    </w:lvl>
    <w:lvl w:ilvl="3" w:tplc="3EE07CBA">
      <w:numFmt w:val="decimal"/>
      <w:lvlText w:val=""/>
      <w:lvlJc w:val="left"/>
    </w:lvl>
    <w:lvl w:ilvl="4" w:tplc="4A5AD826">
      <w:numFmt w:val="decimal"/>
      <w:lvlText w:val=""/>
      <w:lvlJc w:val="left"/>
    </w:lvl>
    <w:lvl w:ilvl="5" w:tplc="D04C78A4">
      <w:numFmt w:val="decimal"/>
      <w:lvlText w:val=""/>
      <w:lvlJc w:val="left"/>
    </w:lvl>
    <w:lvl w:ilvl="6" w:tplc="B1BC28B4">
      <w:numFmt w:val="decimal"/>
      <w:lvlText w:val=""/>
      <w:lvlJc w:val="left"/>
    </w:lvl>
    <w:lvl w:ilvl="7" w:tplc="EFE0EC30">
      <w:numFmt w:val="decimal"/>
      <w:lvlText w:val=""/>
      <w:lvlJc w:val="left"/>
    </w:lvl>
    <w:lvl w:ilvl="8" w:tplc="7B1A3A6C">
      <w:numFmt w:val="decimal"/>
      <w:lvlText w:val=""/>
      <w:lvlJc w:val="left"/>
    </w:lvl>
  </w:abstractNum>
  <w:abstractNum w:abstractNumId="48" w15:restartNumberingAfterBreak="0">
    <w:nsid w:val="39EE015C"/>
    <w:multiLevelType w:val="hybridMultilevel"/>
    <w:tmpl w:val="3258D3D2"/>
    <w:lvl w:ilvl="0" w:tplc="CF72D78E">
      <w:start w:val="4"/>
      <w:numFmt w:val="decimal"/>
      <w:lvlText w:val="%1."/>
      <w:lvlJc w:val="left"/>
    </w:lvl>
    <w:lvl w:ilvl="1" w:tplc="161ED92C">
      <w:numFmt w:val="decimal"/>
      <w:lvlText w:val=""/>
      <w:lvlJc w:val="left"/>
    </w:lvl>
    <w:lvl w:ilvl="2" w:tplc="E8187E2E">
      <w:numFmt w:val="decimal"/>
      <w:lvlText w:val=""/>
      <w:lvlJc w:val="left"/>
    </w:lvl>
    <w:lvl w:ilvl="3" w:tplc="16423DE2">
      <w:numFmt w:val="decimal"/>
      <w:lvlText w:val=""/>
      <w:lvlJc w:val="left"/>
    </w:lvl>
    <w:lvl w:ilvl="4" w:tplc="751420F8">
      <w:numFmt w:val="decimal"/>
      <w:lvlText w:val=""/>
      <w:lvlJc w:val="left"/>
    </w:lvl>
    <w:lvl w:ilvl="5" w:tplc="0B6A6692">
      <w:numFmt w:val="decimal"/>
      <w:lvlText w:val=""/>
      <w:lvlJc w:val="left"/>
    </w:lvl>
    <w:lvl w:ilvl="6" w:tplc="896C91B0">
      <w:numFmt w:val="decimal"/>
      <w:lvlText w:val=""/>
      <w:lvlJc w:val="left"/>
    </w:lvl>
    <w:lvl w:ilvl="7" w:tplc="9C2E0376">
      <w:numFmt w:val="decimal"/>
      <w:lvlText w:val=""/>
      <w:lvlJc w:val="left"/>
    </w:lvl>
    <w:lvl w:ilvl="8" w:tplc="06DC8960">
      <w:numFmt w:val="decimal"/>
      <w:lvlText w:val=""/>
      <w:lvlJc w:val="left"/>
    </w:lvl>
  </w:abstractNum>
  <w:abstractNum w:abstractNumId="49" w15:restartNumberingAfterBreak="0">
    <w:nsid w:val="3B0FD379"/>
    <w:multiLevelType w:val="hybridMultilevel"/>
    <w:tmpl w:val="18EC64EA"/>
    <w:lvl w:ilvl="0" w:tplc="E2B4B75E">
      <w:start w:val="4"/>
      <w:numFmt w:val="decimal"/>
      <w:lvlText w:val="%1."/>
      <w:lvlJc w:val="left"/>
    </w:lvl>
    <w:lvl w:ilvl="1" w:tplc="1D2C9CB2">
      <w:numFmt w:val="decimal"/>
      <w:lvlText w:val=""/>
      <w:lvlJc w:val="left"/>
    </w:lvl>
    <w:lvl w:ilvl="2" w:tplc="DF58CD52">
      <w:numFmt w:val="decimal"/>
      <w:lvlText w:val=""/>
      <w:lvlJc w:val="left"/>
    </w:lvl>
    <w:lvl w:ilvl="3" w:tplc="7AB015C4">
      <w:numFmt w:val="decimal"/>
      <w:lvlText w:val=""/>
      <w:lvlJc w:val="left"/>
    </w:lvl>
    <w:lvl w:ilvl="4" w:tplc="7B3084D4">
      <w:numFmt w:val="decimal"/>
      <w:lvlText w:val=""/>
      <w:lvlJc w:val="left"/>
    </w:lvl>
    <w:lvl w:ilvl="5" w:tplc="2B0A8F56">
      <w:numFmt w:val="decimal"/>
      <w:lvlText w:val=""/>
      <w:lvlJc w:val="left"/>
    </w:lvl>
    <w:lvl w:ilvl="6" w:tplc="788CF7F8">
      <w:numFmt w:val="decimal"/>
      <w:lvlText w:val=""/>
      <w:lvlJc w:val="left"/>
    </w:lvl>
    <w:lvl w:ilvl="7" w:tplc="A2FE763A">
      <w:numFmt w:val="decimal"/>
      <w:lvlText w:val=""/>
      <w:lvlJc w:val="left"/>
    </w:lvl>
    <w:lvl w:ilvl="8" w:tplc="32F8BE62">
      <w:numFmt w:val="decimal"/>
      <w:lvlText w:val=""/>
      <w:lvlJc w:val="left"/>
    </w:lvl>
  </w:abstractNum>
  <w:abstractNum w:abstractNumId="50" w15:restartNumberingAfterBreak="0">
    <w:nsid w:val="3F6AB60F"/>
    <w:multiLevelType w:val="hybridMultilevel"/>
    <w:tmpl w:val="4EA21F3A"/>
    <w:lvl w:ilvl="0" w:tplc="45204B70">
      <w:start w:val="1"/>
      <w:numFmt w:val="bullet"/>
      <w:lvlText w:val="*"/>
      <w:lvlJc w:val="left"/>
    </w:lvl>
    <w:lvl w:ilvl="1" w:tplc="5CB89810">
      <w:numFmt w:val="decimal"/>
      <w:lvlText w:val=""/>
      <w:lvlJc w:val="left"/>
    </w:lvl>
    <w:lvl w:ilvl="2" w:tplc="07221D32">
      <w:numFmt w:val="decimal"/>
      <w:lvlText w:val=""/>
      <w:lvlJc w:val="left"/>
    </w:lvl>
    <w:lvl w:ilvl="3" w:tplc="7402FF1E">
      <w:numFmt w:val="decimal"/>
      <w:lvlText w:val=""/>
      <w:lvlJc w:val="left"/>
    </w:lvl>
    <w:lvl w:ilvl="4" w:tplc="D1040C86">
      <w:numFmt w:val="decimal"/>
      <w:lvlText w:val=""/>
      <w:lvlJc w:val="left"/>
    </w:lvl>
    <w:lvl w:ilvl="5" w:tplc="EB92C4F2">
      <w:numFmt w:val="decimal"/>
      <w:lvlText w:val=""/>
      <w:lvlJc w:val="left"/>
    </w:lvl>
    <w:lvl w:ilvl="6" w:tplc="13C48C5E">
      <w:numFmt w:val="decimal"/>
      <w:lvlText w:val=""/>
      <w:lvlJc w:val="left"/>
    </w:lvl>
    <w:lvl w:ilvl="7" w:tplc="92C4D4A4">
      <w:numFmt w:val="decimal"/>
      <w:lvlText w:val=""/>
      <w:lvlJc w:val="left"/>
    </w:lvl>
    <w:lvl w:ilvl="8" w:tplc="3C5E486A">
      <w:numFmt w:val="decimal"/>
      <w:lvlText w:val=""/>
      <w:lvlJc w:val="left"/>
    </w:lvl>
  </w:abstractNum>
  <w:abstractNum w:abstractNumId="51" w15:restartNumberingAfterBreak="0">
    <w:nsid w:val="3FA62ACA"/>
    <w:multiLevelType w:val="hybridMultilevel"/>
    <w:tmpl w:val="1B8E928A"/>
    <w:lvl w:ilvl="0" w:tplc="41AE0BA4">
      <w:start w:val="1"/>
      <w:numFmt w:val="bullet"/>
      <w:lvlText w:val="•"/>
      <w:lvlJc w:val="left"/>
    </w:lvl>
    <w:lvl w:ilvl="1" w:tplc="E8ACC7F4">
      <w:numFmt w:val="decimal"/>
      <w:lvlText w:val=""/>
      <w:lvlJc w:val="left"/>
    </w:lvl>
    <w:lvl w:ilvl="2" w:tplc="818083C4">
      <w:numFmt w:val="decimal"/>
      <w:lvlText w:val=""/>
      <w:lvlJc w:val="left"/>
    </w:lvl>
    <w:lvl w:ilvl="3" w:tplc="8D12768A">
      <w:numFmt w:val="decimal"/>
      <w:lvlText w:val=""/>
      <w:lvlJc w:val="left"/>
    </w:lvl>
    <w:lvl w:ilvl="4" w:tplc="FDAEB948">
      <w:numFmt w:val="decimal"/>
      <w:lvlText w:val=""/>
      <w:lvlJc w:val="left"/>
    </w:lvl>
    <w:lvl w:ilvl="5" w:tplc="A6A81BF2">
      <w:numFmt w:val="decimal"/>
      <w:lvlText w:val=""/>
      <w:lvlJc w:val="left"/>
    </w:lvl>
    <w:lvl w:ilvl="6" w:tplc="8D22F2A8">
      <w:numFmt w:val="decimal"/>
      <w:lvlText w:val=""/>
      <w:lvlJc w:val="left"/>
    </w:lvl>
    <w:lvl w:ilvl="7" w:tplc="C00E4C2A">
      <w:numFmt w:val="decimal"/>
      <w:lvlText w:val=""/>
      <w:lvlJc w:val="left"/>
    </w:lvl>
    <w:lvl w:ilvl="8" w:tplc="5E9636A6">
      <w:numFmt w:val="decimal"/>
      <w:lvlText w:val=""/>
      <w:lvlJc w:val="left"/>
    </w:lvl>
  </w:abstractNum>
  <w:abstractNum w:abstractNumId="52" w15:restartNumberingAfterBreak="0">
    <w:nsid w:val="42963E5A"/>
    <w:multiLevelType w:val="hybridMultilevel"/>
    <w:tmpl w:val="A3E04EE8"/>
    <w:lvl w:ilvl="0" w:tplc="90327B98">
      <w:start w:val="18"/>
      <w:numFmt w:val="decimal"/>
      <w:lvlText w:val="%1."/>
      <w:lvlJc w:val="left"/>
    </w:lvl>
    <w:lvl w:ilvl="1" w:tplc="028856F4">
      <w:numFmt w:val="decimal"/>
      <w:lvlText w:val=""/>
      <w:lvlJc w:val="left"/>
    </w:lvl>
    <w:lvl w:ilvl="2" w:tplc="51FEF510">
      <w:numFmt w:val="decimal"/>
      <w:lvlText w:val=""/>
      <w:lvlJc w:val="left"/>
    </w:lvl>
    <w:lvl w:ilvl="3" w:tplc="F62805A4">
      <w:numFmt w:val="decimal"/>
      <w:lvlText w:val=""/>
      <w:lvlJc w:val="left"/>
    </w:lvl>
    <w:lvl w:ilvl="4" w:tplc="BACE07DC">
      <w:numFmt w:val="decimal"/>
      <w:lvlText w:val=""/>
      <w:lvlJc w:val="left"/>
    </w:lvl>
    <w:lvl w:ilvl="5" w:tplc="D6ECAE72">
      <w:numFmt w:val="decimal"/>
      <w:lvlText w:val=""/>
      <w:lvlJc w:val="left"/>
    </w:lvl>
    <w:lvl w:ilvl="6" w:tplc="BC9E82BE">
      <w:numFmt w:val="decimal"/>
      <w:lvlText w:val=""/>
      <w:lvlJc w:val="left"/>
    </w:lvl>
    <w:lvl w:ilvl="7" w:tplc="293C4448">
      <w:numFmt w:val="decimal"/>
      <w:lvlText w:val=""/>
      <w:lvlJc w:val="left"/>
    </w:lvl>
    <w:lvl w:ilvl="8" w:tplc="0A20E540">
      <w:numFmt w:val="decimal"/>
      <w:lvlText w:val=""/>
      <w:lvlJc w:val="left"/>
    </w:lvl>
  </w:abstractNum>
  <w:abstractNum w:abstractNumId="53" w15:restartNumberingAfterBreak="0">
    <w:nsid w:val="42C296BD"/>
    <w:multiLevelType w:val="hybridMultilevel"/>
    <w:tmpl w:val="2CDC5EE8"/>
    <w:lvl w:ilvl="0" w:tplc="41F26B0E">
      <w:start w:val="4"/>
      <w:numFmt w:val="decimal"/>
      <w:lvlText w:val="%1."/>
      <w:lvlJc w:val="left"/>
    </w:lvl>
    <w:lvl w:ilvl="1" w:tplc="78B64672">
      <w:numFmt w:val="decimal"/>
      <w:lvlText w:val=""/>
      <w:lvlJc w:val="left"/>
    </w:lvl>
    <w:lvl w:ilvl="2" w:tplc="0D0839CE">
      <w:numFmt w:val="decimal"/>
      <w:lvlText w:val=""/>
      <w:lvlJc w:val="left"/>
    </w:lvl>
    <w:lvl w:ilvl="3" w:tplc="0846C7EE">
      <w:numFmt w:val="decimal"/>
      <w:lvlText w:val=""/>
      <w:lvlJc w:val="left"/>
    </w:lvl>
    <w:lvl w:ilvl="4" w:tplc="8D2C5A5E">
      <w:numFmt w:val="decimal"/>
      <w:lvlText w:val=""/>
      <w:lvlJc w:val="left"/>
    </w:lvl>
    <w:lvl w:ilvl="5" w:tplc="605C0964">
      <w:numFmt w:val="decimal"/>
      <w:lvlText w:val=""/>
      <w:lvlJc w:val="left"/>
    </w:lvl>
    <w:lvl w:ilvl="6" w:tplc="9D8A4532">
      <w:numFmt w:val="decimal"/>
      <w:lvlText w:val=""/>
      <w:lvlJc w:val="left"/>
    </w:lvl>
    <w:lvl w:ilvl="7" w:tplc="06C655AE">
      <w:numFmt w:val="decimal"/>
      <w:lvlText w:val=""/>
      <w:lvlJc w:val="left"/>
    </w:lvl>
    <w:lvl w:ilvl="8" w:tplc="733672AA">
      <w:numFmt w:val="decimal"/>
      <w:lvlText w:val=""/>
      <w:lvlJc w:val="left"/>
    </w:lvl>
  </w:abstractNum>
  <w:abstractNum w:abstractNumId="54" w15:restartNumberingAfterBreak="0">
    <w:nsid w:val="43F18422"/>
    <w:multiLevelType w:val="hybridMultilevel"/>
    <w:tmpl w:val="78F61A20"/>
    <w:lvl w:ilvl="0" w:tplc="AFFAA090">
      <w:start w:val="7"/>
      <w:numFmt w:val="decimal"/>
      <w:lvlText w:val="%1."/>
      <w:lvlJc w:val="left"/>
    </w:lvl>
    <w:lvl w:ilvl="1" w:tplc="458C7B8C">
      <w:numFmt w:val="decimal"/>
      <w:lvlText w:val=""/>
      <w:lvlJc w:val="left"/>
    </w:lvl>
    <w:lvl w:ilvl="2" w:tplc="2960D62E">
      <w:numFmt w:val="decimal"/>
      <w:lvlText w:val=""/>
      <w:lvlJc w:val="left"/>
    </w:lvl>
    <w:lvl w:ilvl="3" w:tplc="51B03568">
      <w:numFmt w:val="decimal"/>
      <w:lvlText w:val=""/>
      <w:lvlJc w:val="left"/>
    </w:lvl>
    <w:lvl w:ilvl="4" w:tplc="46D25B1E">
      <w:numFmt w:val="decimal"/>
      <w:lvlText w:val=""/>
      <w:lvlJc w:val="left"/>
    </w:lvl>
    <w:lvl w:ilvl="5" w:tplc="04DCE618">
      <w:numFmt w:val="decimal"/>
      <w:lvlText w:val=""/>
      <w:lvlJc w:val="left"/>
    </w:lvl>
    <w:lvl w:ilvl="6" w:tplc="BC34B616">
      <w:numFmt w:val="decimal"/>
      <w:lvlText w:val=""/>
      <w:lvlJc w:val="left"/>
    </w:lvl>
    <w:lvl w:ilvl="7" w:tplc="DC7863F0">
      <w:numFmt w:val="decimal"/>
      <w:lvlText w:val=""/>
      <w:lvlJc w:val="left"/>
    </w:lvl>
    <w:lvl w:ilvl="8" w:tplc="6A8C0804">
      <w:numFmt w:val="decimal"/>
      <w:lvlText w:val=""/>
      <w:lvlJc w:val="left"/>
    </w:lvl>
  </w:abstractNum>
  <w:abstractNum w:abstractNumId="55" w15:restartNumberingAfterBreak="0">
    <w:nsid w:val="46B7D447"/>
    <w:multiLevelType w:val="hybridMultilevel"/>
    <w:tmpl w:val="D70EDE8C"/>
    <w:lvl w:ilvl="0" w:tplc="42E83E12">
      <w:start w:val="2"/>
      <w:numFmt w:val="decimal"/>
      <w:lvlText w:val="%1."/>
      <w:lvlJc w:val="left"/>
    </w:lvl>
    <w:lvl w:ilvl="1" w:tplc="C5303810">
      <w:numFmt w:val="decimal"/>
      <w:lvlText w:val=""/>
      <w:lvlJc w:val="left"/>
    </w:lvl>
    <w:lvl w:ilvl="2" w:tplc="3F4EE434">
      <w:numFmt w:val="decimal"/>
      <w:lvlText w:val=""/>
      <w:lvlJc w:val="left"/>
    </w:lvl>
    <w:lvl w:ilvl="3" w:tplc="3742332E">
      <w:numFmt w:val="decimal"/>
      <w:lvlText w:val=""/>
      <w:lvlJc w:val="left"/>
    </w:lvl>
    <w:lvl w:ilvl="4" w:tplc="B45811E0">
      <w:numFmt w:val="decimal"/>
      <w:lvlText w:val=""/>
      <w:lvlJc w:val="left"/>
    </w:lvl>
    <w:lvl w:ilvl="5" w:tplc="1F904888">
      <w:numFmt w:val="decimal"/>
      <w:lvlText w:val=""/>
      <w:lvlJc w:val="left"/>
    </w:lvl>
    <w:lvl w:ilvl="6" w:tplc="FC666256">
      <w:numFmt w:val="decimal"/>
      <w:lvlText w:val=""/>
      <w:lvlJc w:val="left"/>
    </w:lvl>
    <w:lvl w:ilvl="7" w:tplc="1C621ACC">
      <w:numFmt w:val="decimal"/>
      <w:lvlText w:val=""/>
      <w:lvlJc w:val="left"/>
    </w:lvl>
    <w:lvl w:ilvl="8" w:tplc="45D0A5EE">
      <w:numFmt w:val="decimal"/>
      <w:lvlText w:val=""/>
      <w:lvlJc w:val="left"/>
    </w:lvl>
  </w:abstractNum>
  <w:abstractNum w:abstractNumId="56" w15:restartNumberingAfterBreak="0">
    <w:nsid w:val="47398C89"/>
    <w:multiLevelType w:val="hybridMultilevel"/>
    <w:tmpl w:val="937462F4"/>
    <w:lvl w:ilvl="0" w:tplc="BB2E491E">
      <w:start w:val="1"/>
      <w:numFmt w:val="bullet"/>
      <w:lvlText w:val="В"/>
      <w:lvlJc w:val="left"/>
    </w:lvl>
    <w:lvl w:ilvl="1" w:tplc="52505948">
      <w:numFmt w:val="decimal"/>
      <w:lvlText w:val=""/>
      <w:lvlJc w:val="left"/>
    </w:lvl>
    <w:lvl w:ilvl="2" w:tplc="B4A0D7DC">
      <w:numFmt w:val="decimal"/>
      <w:lvlText w:val=""/>
      <w:lvlJc w:val="left"/>
    </w:lvl>
    <w:lvl w:ilvl="3" w:tplc="C5085A6A">
      <w:numFmt w:val="decimal"/>
      <w:lvlText w:val=""/>
      <w:lvlJc w:val="left"/>
    </w:lvl>
    <w:lvl w:ilvl="4" w:tplc="2842D99C">
      <w:numFmt w:val="decimal"/>
      <w:lvlText w:val=""/>
      <w:lvlJc w:val="left"/>
    </w:lvl>
    <w:lvl w:ilvl="5" w:tplc="DD84B4B6">
      <w:numFmt w:val="decimal"/>
      <w:lvlText w:val=""/>
      <w:lvlJc w:val="left"/>
    </w:lvl>
    <w:lvl w:ilvl="6" w:tplc="1A28DF5C">
      <w:numFmt w:val="decimal"/>
      <w:lvlText w:val=""/>
      <w:lvlJc w:val="left"/>
    </w:lvl>
    <w:lvl w:ilvl="7" w:tplc="6A825598">
      <w:numFmt w:val="decimal"/>
      <w:lvlText w:val=""/>
      <w:lvlJc w:val="left"/>
    </w:lvl>
    <w:lvl w:ilvl="8" w:tplc="0BF05BF0">
      <w:numFmt w:val="decimal"/>
      <w:lvlText w:val=""/>
      <w:lvlJc w:val="left"/>
    </w:lvl>
  </w:abstractNum>
  <w:abstractNum w:abstractNumId="57" w15:restartNumberingAfterBreak="0">
    <w:nsid w:val="4962813B"/>
    <w:multiLevelType w:val="hybridMultilevel"/>
    <w:tmpl w:val="00121120"/>
    <w:lvl w:ilvl="0" w:tplc="60F8967C">
      <w:start w:val="1"/>
      <w:numFmt w:val="decimal"/>
      <w:lvlText w:val="%1."/>
      <w:lvlJc w:val="left"/>
    </w:lvl>
    <w:lvl w:ilvl="1" w:tplc="A70E61CE">
      <w:numFmt w:val="decimal"/>
      <w:lvlText w:val=""/>
      <w:lvlJc w:val="left"/>
    </w:lvl>
    <w:lvl w:ilvl="2" w:tplc="B70E43F4">
      <w:numFmt w:val="decimal"/>
      <w:lvlText w:val=""/>
      <w:lvlJc w:val="left"/>
    </w:lvl>
    <w:lvl w:ilvl="3" w:tplc="492EF7DA">
      <w:numFmt w:val="decimal"/>
      <w:lvlText w:val=""/>
      <w:lvlJc w:val="left"/>
    </w:lvl>
    <w:lvl w:ilvl="4" w:tplc="F08E022A">
      <w:numFmt w:val="decimal"/>
      <w:lvlText w:val=""/>
      <w:lvlJc w:val="left"/>
    </w:lvl>
    <w:lvl w:ilvl="5" w:tplc="69A41F5E">
      <w:numFmt w:val="decimal"/>
      <w:lvlText w:val=""/>
      <w:lvlJc w:val="left"/>
    </w:lvl>
    <w:lvl w:ilvl="6" w:tplc="B3681188">
      <w:numFmt w:val="decimal"/>
      <w:lvlText w:val=""/>
      <w:lvlJc w:val="left"/>
    </w:lvl>
    <w:lvl w:ilvl="7" w:tplc="CCECF160">
      <w:numFmt w:val="decimal"/>
      <w:lvlText w:val=""/>
      <w:lvlJc w:val="left"/>
    </w:lvl>
    <w:lvl w:ilvl="8" w:tplc="B52A7D34">
      <w:numFmt w:val="decimal"/>
      <w:lvlText w:val=""/>
      <w:lvlJc w:val="left"/>
    </w:lvl>
  </w:abstractNum>
  <w:abstractNum w:abstractNumId="58" w15:restartNumberingAfterBreak="0">
    <w:nsid w:val="49DA307D"/>
    <w:multiLevelType w:val="hybridMultilevel"/>
    <w:tmpl w:val="D5AEFC1E"/>
    <w:lvl w:ilvl="0" w:tplc="916C4E4E">
      <w:start w:val="13"/>
      <w:numFmt w:val="decimal"/>
      <w:lvlText w:val="%1."/>
      <w:lvlJc w:val="left"/>
    </w:lvl>
    <w:lvl w:ilvl="1" w:tplc="7F0C6888">
      <w:numFmt w:val="decimal"/>
      <w:lvlText w:val=""/>
      <w:lvlJc w:val="left"/>
    </w:lvl>
    <w:lvl w:ilvl="2" w:tplc="CA5CEACA">
      <w:numFmt w:val="decimal"/>
      <w:lvlText w:val=""/>
      <w:lvlJc w:val="left"/>
    </w:lvl>
    <w:lvl w:ilvl="3" w:tplc="C748A876">
      <w:numFmt w:val="decimal"/>
      <w:lvlText w:val=""/>
      <w:lvlJc w:val="left"/>
    </w:lvl>
    <w:lvl w:ilvl="4" w:tplc="579A124E">
      <w:numFmt w:val="decimal"/>
      <w:lvlText w:val=""/>
      <w:lvlJc w:val="left"/>
    </w:lvl>
    <w:lvl w:ilvl="5" w:tplc="9F3419E8">
      <w:numFmt w:val="decimal"/>
      <w:lvlText w:val=""/>
      <w:lvlJc w:val="left"/>
    </w:lvl>
    <w:lvl w:ilvl="6" w:tplc="48B481E8">
      <w:numFmt w:val="decimal"/>
      <w:lvlText w:val=""/>
      <w:lvlJc w:val="left"/>
    </w:lvl>
    <w:lvl w:ilvl="7" w:tplc="09B6FEBE">
      <w:numFmt w:val="decimal"/>
      <w:lvlText w:val=""/>
      <w:lvlJc w:val="left"/>
    </w:lvl>
    <w:lvl w:ilvl="8" w:tplc="7AC2DF20">
      <w:numFmt w:val="decimal"/>
      <w:lvlText w:val=""/>
      <w:lvlJc w:val="left"/>
    </w:lvl>
  </w:abstractNum>
  <w:abstractNum w:abstractNumId="59" w15:restartNumberingAfterBreak="0">
    <w:nsid w:val="4A1B269A"/>
    <w:multiLevelType w:val="multilevel"/>
    <w:tmpl w:val="36CA677C"/>
    <w:lvl w:ilvl="0">
      <w:start w:val="6"/>
      <w:numFmt w:val="decimal"/>
      <w:lvlText w:val="%1"/>
      <w:lvlJc w:val="left"/>
      <w:pPr>
        <w:ind w:left="360" w:hanging="360"/>
      </w:pPr>
      <w:rPr>
        <w:rFonts w:eastAsia="Times New Roman" w:hint="default"/>
        <w:b/>
        <w:sz w:val="22"/>
      </w:rPr>
    </w:lvl>
    <w:lvl w:ilvl="1">
      <w:start w:val="3"/>
      <w:numFmt w:val="decimal"/>
      <w:lvlText w:val="%1.%2"/>
      <w:lvlJc w:val="left"/>
      <w:pPr>
        <w:ind w:left="364" w:hanging="360"/>
      </w:pPr>
      <w:rPr>
        <w:rFonts w:eastAsia="Times New Roman" w:hint="default"/>
        <w:b/>
        <w:sz w:val="22"/>
      </w:rPr>
    </w:lvl>
    <w:lvl w:ilvl="2">
      <w:start w:val="1"/>
      <w:numFmt w:val="decimal"/>
      <w:lvlText w:val="%1.%2.%3"/>
      <w:lvlJc w:val="left"/>
      <w:pPr>
        <w:ind w:left="728" w:hanging="720"/>
      </w:pPr>
      <w:rPr>
        <w:rFonts w:eastAsia="Times New Roman" w:hint="default"/>
        <w:b/>
        <w:sz w:val="22"/>
      </w:rPr>
    </w:lvl>
    <w:lvl w:ilvl="3">
      <w:start w:val="1"/>
      <w:numFmt w:val="decimal"/>
      <w:lvlText w:val="%1.%2.%3.%4"/>
      <w:lvlJc w:val="left"/>
      <w:pPr>
        <w:ind w:left="732" w:hanging="720"/>
      </w:pPr>
      <w:rPr>
        <w:rFonts w:eastAsia="Times New Roman" w:hint="default"/>
        <w:b/>
        <w:sz w:val="22"/>
      </w:rPr>
    </w:lvl>
    <w:lvl w:ilvl="4">
      <w:start w:val="1"/>
      <w:numFmt w:val="decimal"/>
      <w:lvlText w:val="%1.%2.%3.%4.%5"/>
      <w:lvlJc w:val="left"/>
      <w:pPr>
        <w:ind w:left="1096" w:hanging="1080"/>
      </w:pPr>
      <w:rPr>
        <w:rFonts w:eastAsia="Times New Roman" w:hint="default"/>
        <w:b/>
        <w:sz w:val="22"/>
      </w:rPr>
    </w:lvl>
    <w:lvl w:ilvl="5">
      <w:start w:val="1"/>
      <w:numFmt w:val="decimal"/>
      <w:lvlText w:val="%1.%2.%3.%4.%5.%6"/>
      <w:lvlJc w:val="left"/>
      <w:pPr>
        <w:ind w:left="1100" w:hanging="1080"/>
      </w:pPr>
      <w:rPr>
        <w:rFonts w:eastAsia="Times New Roman" w:hint="default"/>
        <w:b/>
        <w:sz w:val="22"/>
      </w:rPr>
    </w:lvl>
    <w:lvl w:ilvl="6">
      <w:start w:val="1"/>
      <w:numFmt w:val="decimal"/>
      <w:lvlText w:val="%1.%2.%3.%4.%5.%6.%7"/>
      <w:lvlJc w:val="left"/>
      <w:pPr>
        <w:ind w:left="1464" w:hanging="1440"/>
      </w:pPr>
      <w:rPr>
        <w:rFonts w:eastAsia="Times New Roman" w:hint="default"/>
        <w:b/>
        <w:sz w:val="22"/>
      </w:rPr>
    </w:lvl>
    <w:lvl w:ilvl="7">
      <w:start w:val="1"/>
      <w:numFmt w:val="decimal"/>
      <w:lvlText w:val="%1.%2.%3.%4.%5.%6.%7.%8"/>
      <w:lvlJc w:val="left"/>
      <w:pPr>
        <w:ind w:left="1468" w:hanging="1440"/>
      </w:pPr>
      <w:rPr>
        <w:rFonts w:eastAsia="Times New Roman" w:hint="default"/>
        <w:b/>
        <w:sz w:val="22"/>
      </w:rPr>
    </w:lvl>
    <w:lvl w:ilvl="8">
      <w:start w:val="1"/>
      <w:numFmt w:val="decimal"/>
      <w:lvlText w:val="%1.%2.%3.%4.%5.%6.%7.%8.%9"/>
      <w:lvlJc w:val="left"/>
      <w:pPr>
        <w:ind w:left="1472" w:hanging="1440"/>
      </w:pPr>
      <w:rPr>
        <w:rFonts w:eastAsia="Times New Roman" w:hint="default"/>
        <w:b/>
        <w:sz w:val="22"/>
      </w:rPr>
    </w:lvl>
  </w:abstractNum>
  <w:abstractNum w:abstractNumId="60" w15:restartNumberingAfterBreak="0">
    <w:nsid w:val="4A2AC315"/>
    <w:multiLevelType w:val="hybridMultilevel"/>
    <w:tmpl w:val="1346AFE2"/>
    <w:lvl w:ilvl="0" w:tplc="F6AA8528">
      <w:start w:val="3"/>
      <w:numFmt w:val="decimal"/>
      <w:lvlText w:val="%1."/>
      <w:lvlJc w:val="left"/>
    </w:lvl>
    <w:lvl w:ilvl="1" w:tplc="C55E1EEE">
      <w:numFmt w:val="decimal"/>
      <w:lvlText w:val=""/>
      <w:lvlJc w:val="left"/>
    </w:lvl>
    <w:lvl w:ilvl="2" w:tplc="10A27D34">
      <w:numFmt w:val="decimal"/>
      <w:lvlText w:val=""/>
      <w:lvlJc w:val="left"/>
    </w:lvl>
    <w:lvl w:ilvl="3" w:tplc="993CFCE8">
      <w:numFmt w:val="decimal"/>
      <w:lvlText w:val=""/>
      <w:lvlJc w:val="left"/>
    </w:lvl>
    <w:lvl w:ilvl="4" w:tplc="EDE276C0">
      <w:numFmt w:val="decimal"/>
      <w:lvlText w:val=""/>
      <w:lvlJc w:val="left"/>
    </w:lvl>
    <w:lvl w:ilvl="5" w:tplc="114CCE12">
      <w:numFmt w:val="decimal"/>
      <w:lvlText w:val=""/>
      <w:lvlJc w:val="left"/>
    </w:lvl>
    <w:lvl w:ilvl="6" w:tplc="FCA871F0">
      <w:numFmt w:val="decimal"/>
      <w:lvlText w:val=""/>
      <w:lvlJc w:val="left"/>
    </w:lvl>
    <w:lvl w:ilvl="7" w:tplc="97D68624">
      <w:numFmt w:val="decimal"/>
      <w:lvlText w:val=""/>
      <w:lvlJc w:val="left"/>
    </w:lvl>
    <w:lvl w:ilvl="8" w:tplc="ADC29A62">
      <w:numFmt w:val="decimal"/>
      <w:lvlText w:val=""/>
      <w:lvlJc w:val="left"/>
    </w:lvl>
  </w:abstractNum>
  <w:abstractNum w:abstractNumId="61" w15:restartNumberingAfterBreak="0">
    <w:nsid w:val="4AD084E9"/>
    <w:multiLevelType w:val="hybridMultilevel"/>
    <w:tmpl w:val="ED3CA92A"/>
    <w:lvl w:ilvl="0" w:tplc="3850BC3A">
      <w:start w:val="8"/>
      <w:numFmt w:val="decimal"/>
      <w:lvlText w:val="%1."/>
      <w:lvlJc w:val="left"/>
    </w:lvl>
    <w:lvl w:ilvl="1" w:tplc="71F2B322">
      <w:numFmt w:val="decimal"/>
      <w:lvlText w:val=""/>
      <w:lvlJc w:val="left"/>
    </w:lvl>
    <w:lvl w:ilvl="2" w:tplc="A202D546">
      <w:numFmt w:val="decimal"/>
      <w:lvlText w:val=""/>
      <w:lvlJc w:val="left"/>
    </w:lvl>
    <w:lvl w:ilvl="3" w:tplc="7E08644E">
      <w:numFmt w:val="decimal"/>
      <w:lvlText w:val=""/>
      <w:lvlJc w:val="left"/>
    </w:lvl>
    <w:lvl w:ilvl="4" w:tplc="7994BEB2">
      <w:numFmt w:val="decimal"/>
      <w:lvlText w:val=""/>
      <w:lvlJc w:val="left"/>
    </w:lvl>
    <w:lvl w:ilvl="5" w:tplc="284AE33E">
      <w:numFmt w:val="decimal"/>
      <w:lvlText w:val=""/>
      <w:lvlJc w:val="left"/>
    </w:lvl>
    <w:lvl w:ilvl="6" w:tplc="425C158A">
      <w:numFmt w:val="decimal"/>
      <w:lvlText w:val=""/>
      <w:lvlJc w:val="left"/>
    </w:lvl>
    <w:lvl w:ilvl="7" w:tplc="B428EFF0">
      <w:numFmt w:val="decimal"/>
      <w:lvlText w:val=""/>
      <w:lvlJc w:val="left"/>
    </w:lvl>
    <w:lvl w:ilvl="8" w:tplc="48DC8E3A">
      <w:numFmt w:val="decimal"/>
      <w:lvlText w:val=""/>
      <w:lvlJc w:val="left"/>
    </w:lvl>
  </w:abstractNum>
  <w:abstractNum w:abstractNumId="62" w15:restartNumberingAfterBreak="0">
    <w:nsid w:val="4C04A8AF"/>
    <w:multiLevelType w:val="hybridMultilevel"/>
    <w:tmpl w:val="711A90B8"/>
    <w:lvl w:ilvl="0" w:tplc="4AA64ABC">
      <w:start w:val="18"/>
      <w:numFmt w:val="decimal"/>
      <w:lvlText w:val="%1."/>
      <w:lvlJc w:val="left"/>
    </w:lvl>
    <w:lvl w:ilvl="1" w:tplc="72B4D584">
      <w:numFmt w:val="decimal"/>
      <w:lvlText w:val=""/>
      <w:lvlJc w:val="left"/>
    </w:lvl>
    <w:lvl w:ilvl="2" w:tplc="DEA62962">
      <w:numFmt w:val="decimal"/>
      <w:lvlText w:val=""/>
      <w:lvlJc w:val="left"/>
    </w:lvl>
    <w:lvl w:ilvl="3" w:tplc="E4147382">
      <w:numFmt w:val="decimal"/>
      <w:lvlText w:val=""/>
      <w:lvlJc w:val="left"/>
    </w:lvl>
    <w:lvl w:ilvl="4" w:tplc="C09EEF62">
      <w:numFmt w:val="decimal"/>
      <w:lvlText w:val=""/>
      <w:lvlJc w:val="left"/>
    </w:lvl>
    <w:lvl w:ilvl="5" w:tplc="4092AAAC">
      <w:numFmt w:val="decimal"/>
      <w:lvlText w:val=""/>
      <w:lvlJc w:val="left"/>
    </w:lvl>
    <w:lvl w:ilvl="6" w:tplc="1A9A0500">
      <w:numFmt w:val="decimal"/>
      <w:lvlText w:val=""/>
      <w:lvlJc w:val="left"/>
    </w:lvl>
    <w:lvl w:ilvl="7" w:tplc="3320C46C">
      <w:numFmt w:val="decimal"/>
      <w:lvlText w:val=""/>
      <w:lvlJc w:val="left"/>
    </w:lvl>
    <w:lvl w:ilvl="8" w:tplc="059C761A">
      <w:numFmt w:val="decimal"/>
      <w:lvlText w:val=""/>
      <w:lvlJc w:val="left"/>
    </w:lvl>
  </w:abstractNum>
  <w:abstractNum w:abstractNumId="63" w15:restartNumberingAfterBreak="0">
    <w:nsid w:val="50801EE1"/>
    <w:multiLevelType w:val="hybridMultilevel"/>
    <w:tmpl w:val="175EB7A2"/>
    <w:lvl w:ilvl="0" w:tplc="5A6A0CA4">
      <w:start w:val="17"/>
      <w:numFmt w:val="decimal"/>
      <w:lvlText w:val="%1."/>
      <w:lvlJc w:val="left"/>
    </w:lvl>
    <w:lvl w:ilvl="1" w:tplc="450400D0">
      <w:numFmt w:val="decimal"/>
      <w:lvlText w:val=""/>
      <w:lvlJc w:val="left"/>
    </w:lvl>
    <w:lvl w:ilvl="2" w:tplc="950ECC04">
      <w:numFmt w:val="decimal"/>
      <w:lvlText w:val=""/>
      <w:lvlJc w:val="left"/>
    </w:lvl>
    <w:lvl w:ilvl="3" w:tplc="5AC8291A">
      <w:numFmt w:val="decimal"/>
      <w:lvlText w:val=""/>
      <w:lvlJc w:val="left"/>
    </w:lvl>
    <w:lvl w:ilvl="4" w:tplc="12F80592">
      <w:numFmt w:val="decimal"/>
      <w:lvlText w:val=""/>
      <w:lvlJc w:val="left"/>
    </w:lvl>
    <w:lvl w:ilvl="5" w:tplc="EFD08F00">
      <w:numFmt w:val="decimal"/>
      <w:lvlText w:val=""/>
      <w:lvlJc w:val="left"/>
    </w:lvl>
    <w:lvl w:ilvl="6" w:tplc="94C00A76">
      <w:numFmt w:val="decimal"/>
      <w:lvlText w:val=""/>
      <w:lvlJc w:val="left"/>
    </w:lvl>
    <w:lvl w:ilvl="7" w:tplc="A91ADDBA">
      <w:numFmt w:val="decimal"/>
      <w:lvlText w:val=""/>
      <w:lvlJc w:val="left"/>
    </w:lvl>
    <w:lvl w:ilvl="8" w:tplc="C98A66DC">
      <w:numFmt w:val="decimal"/>
      <w:lvlText w:val=""/>
      <w:lvlJc w:val="left"/>
    </w:lvl>
  </w:abstractNum>
  <w:abstractNum w:abstractNumId="64" w15:restartNumberingAfterBreak="0">
    <w:nsid w:val="5092CA79"/>
    <w:multiLevelType w:val="hybridMultilevel"/>
    <w:tmpl w:val="CC16F180"/>
    <w:lvl w:ilvl="0" w:tplc="46E0596C">
      <w:start w:val="1"/>
      <w:numFmt w:val="bullet"/>
      <w:lvlText w:val="•"/>
      <w:lvlJc w:val="left"/>
    </w:lvl>
    <w:lvl w:ilvl="1" w:tplc="EF5641F6">
      <w:numFmt w:val="decimal"/>
      <w:lvlText w:val=""/>
      <w:lvlJc w:val="left"/>
    </w:lvl>
    <w:lvl w:ilvl="2" w:tplc="096E04D0">
      <w:numFmt w:val="decimal"/>
      <w:lvlText w:val=""/>
      <w:lvlJc w:val="left"/>
    </w:lvl>
    <w:lvl w:ilvl="3" w:tplc="07220944">
      <w:numFmt w:val="decimal"/>
      <w:lvlText w:val=""/>
      <w:lvlJc w:val="left"/>
    </w:lvl>
    <w:lvl w:ilvl="4" w:tplc="D4D6B096">
      <w:numFmt w:val="decimal"/>
      <w:lvlText w:val=""/>
      <w:lvlJc w:val="left"/>
    </w:lvl>
    <w:lvl w:ilvl="5" w:tplc="0EAAEC9E">
      <w:numFmt w:val="decimal"/>
      <w:lvlText w:val=""/>
      <w:lvlJc w:val="left"/>
    </w:lvl>
    <w:lvl w:ilvl="6" w:tplc="0E32E3F4">
      <w:numFmt w:val="decimal"/>
      <w:lvlText w:val=""/>
      <w:lvlJc w:val="left"/>
    </w:lvl>
    <w:lvl w:ilvl="7" w:tplc="A9B8A98C">
      <w:numFmt w:val="decimal"/>
      <w:lvlText w:val=""/>
      <w:lvlJc w:val="left"/>
    </w:lvl>
    <w:lvl w:ilvl="8" w:tplc="E0E2BD80">
      <w:numFmt w:val="decimal"/>
      <w:lvlText w:val=""/>
      <w:lvlJc w:val="left"/>
    </w:lvl>
  </w:abstractNum>
  <w:abstractNum w:abstractNumId="65" w15:restartNumberingAfterBreak="0">
    <w:nsid w:val="51D9C564"/>
    <w:multiLevelType w:val="hybridMultilevel"/>
    <w:tmpl w:val="A2425D94"/>
    <w:lvl w:ilvl="0" w:tplc="696AA030">
      <w:start w:val="13"/>
      <w:numFmt w:val="decimal"/>
      <w:lvlText w:val="%1."/>
      <w:lvlJc w:val="left"/>
    </w:lvl>
    <w:lvl w:ilvl="1" w:tplc="CF00B774">
      <w:numFmt w:val="decimal"/>
      <w:lvlText w:val=""/>
      <w:lvlJc w:val="left"/>
    </w:lvl>
    <w:lvl w:ilvl="2" w:tplc="59E86D64">
      <w:numFmt w:val="decimal"/>
      <w:lvlText w:val=""/>
      <w:lvlJc w:val="left"/>
    </w:lvl>
    <w:lvl w:ilvl="3" w:tplc="0994E59A">
      <w:numFmt w:val="decimal"/>
      <w:lvlText w:val=""/>
      <w:lvlJc w:val="left"/>
    </w:lvl>
    <w:lvl w:ilvl="4" w:tplc="D764C240">
      <w:numFmt w:val="decimal"/>
      <w:lvlText w:val=""/>
      <w:lvlJc w:val="left"/>
    </w:lvl>
    <w:lvl w:ilvl="5" w:tplc="CB563ED8">
      <w:numFmt w:val="decimal"/>
      <w:lvlText w:val=""/>
      <w:lvlJc w:val="left"/>
    </w:lvl>
    <w:lvl w:ilvl="6" w:tplc="34D2BF8E">
      <w:numFmt w:val="decimal"/>
      <w:lvlText w:val=""/>
      <w:lvlJc w:val="left"/>
    </w:lvl>
    <w:lvl w:ilvl="7" w:tplc="2D9AB86C">
      <w:numFmt w:val="decimal"/>
      <w:lvlText w:val=""/>
      <w:lvlJc w:val="left"/>
    </w:lvl>
    <w:lvl w:ilvl="8" w:tplc="9A02DAD8">
      <w:numFmt w:val="decimal"/>
      <w:lvlText w:val=""/>
      <w:lvlJc w:val="left"/>
    </w:lvl>
  </w:abstractNum>
  <w:abstractNum w:abstractNumId="66" w15:restartNumberingAfterBreak="0">
    <w:nsid w:val="53299938"/>
    <w:multiLevelType w:val="hybridMultilevel"/>
    <w:tmpl w:val="0FC083DE"/>
    <w:lvl w:ilvl="0" w:tplc="49E2B9A0">
      <w:start w:val="1"/>
      <w:numFmt w:val="bullet"/>
      <w:lvlText w:val="•"/>
      <w:lvlJc w:val="left"/>
    </w:lvl>
    <w:lvl w:ilvl="1" w:tplc="C3BEEE26">
      <w:numFmt w:val="decimal"/>
      <w:lvlText w:val=""/>
      <w:lvlJc w:val="left"/>
    </w:lvl>
    <w:lvl w:ilvl="2" w:tplc="D54C84C0">
      <w:numFmt w:val="decimal"/>
      <w:lvlText w:val=""/>
      <w:lvlJc w:val="left"/>
    </w:lvl>
    <w:lvl w:ilvl="3" w:tplc="3A7AA930">
      <w:numFmt w:val="decimal"/>
      <w:lvlText w:val=""/>
      <w:lvlJc w:val="left"/>
    </w:lvl>
    <w:lvl w:ilvl="4" w:tplc="17380AC0">
      <w:numFmt w:val="decimal"/>
      <w:lvlText w:val=""/>
      <w:lvlJc w:val="left"/>
    </w:lvl>
    <w:lvl w:ilvl="5" w:tplc="D5081D0A">
      <w:numFmt w:val="decimal"/>
      <w:lvlText w:val=""/>
      <w:lvlJc w:val="left"/>
    </w:lvl>
    <w:lvl w:ilvl="6" w:tplc="4B66F3D4">
      <w:numFmt w:val="decimal"/>
      <w:lvlText w:val=""/>
      <w:lvlJc w:val="left"/>
    </w:lvl>
    <w:lvl w:ilvl="7" w:tplc="B0BCC846">
      <w:numFmt w:val="decimal"/>
      <w:lvlText w:val=""/>
      <w:lvlJc w:val="left"/>
    </w:lvl>
    <w:lvl w:ilvl="8" w:tplc="B90C92E2">
      <w:numFmt w:val="decimal"/>
      <w:lvlText w:val=""/>
      <w:lvlJc w:val="left"/>
    </w:lvl>
  </w:abstractNum>
  <w:abstractNum w:abstractNumId="67" w15:restartNumberingAfterBreak="0">
    <w:nsid w:val="540A471C"/>
    <w:multiLevelType w:val="hybridMultilevel"/>
    <w:tmpl w:val="A9AEE66E"/>
    <w:lvl w:ilvl="0" w:tplc="B0C62890">
      <w:start w:val="11"/>
      <w:numFmt w:val="decimal"/>
      <w:lvlText w:val="%1."/>
      <w:lvlJc w:val="left"/>
    </w:lvl>
    <w:lvl w:ilvl="1" w:tplc="8A94BD80">
      <w:numFmt w:val="decimal"/>
      <w:lvlText w:val=""/>
      <w:lvlJc w:val="left"/>
    </w:lvl>
    <w:lvl w:ilvl="2" w:tplc="71CAC594">
      <w:numFmt w:val="decimal"/>
      <w:lvlText w:val=""/>
      <w:lvlJc w:val="left"/>
    </w:lvl>
    <w:lvl w:ilvl="3" w:tplc="3DB6DA36">
      <w:numFmt w:val="decimal"/>
      <w:lvlText w:val=""/>
      <w:lvlJc w:val="left"/>
    </w:lvl>
    <w:lvl w:ilvl="4" w:tplc="C21A0444">
      <w:numFmt w:val="decimal"/>
      <w:lvlText w:val=""/>
      <w:lvlJc w:val="left"/>
    </w:lvl>
    <w:lvl w:ilvl="5" w:tplc="11A895C0">
      <w:numFmt w:val="decimal"/>
      <w:lvlText w:val=""/>
      <w:lvlJc w:val="left"/>
    </w:lvl>
    <w:lvl w:ilvl="6" w:tplc="882093D4">
      <w:numFmt w:val="decimal"/>
      <w:lvlText w:val=""/>
      <w:lvlJc w:val="left"/>
    </w:lvl>
    <w:lvl w:ilvl="7" w:tplc="BB74C7A2">
      <w:numFmt w:val="decimal"/>
      <w:lvlText w:val=""/>
      <w:lvlJc w:val="left"/>
    </w:lvl>
    <w:lvl w:ilvl="8" w:tplc="20C8E88C">
      <w:numFmt w:val="decimal"/>
      <w:lvlText w:val=""/>
      <w:lvlJc w:val="left"/>
    </w:lvl>
  </w:abstractNum>
  <w:abstractNum w:abstractNumId="68" w15:restartNumberingAfterBreak="0">
    <w:nsid w:val="555C55B5"/>
    <w:multiLevelType w:val="hybridMultilevel"/>
    <w:tmpl w:val="447A83CE"/>
    <w:lvl w:ilvl="0" w:tplc="FDC86A7E">
      <w:start w:val="1"/>
      <w:numFmt w:val="bullet"/>
      <w:lvlText w:val="•"/>
      <w:lvlJc w:val="left"/>
    </w:lvl>
    <w:lvl w:ilvl="1" w:tplc="DB0E596C">
      <w:numFmt w:val="decimal"/>
      <w:lvlText w:val=""/>
      <w:lvlJc w:val="left"/>
    </w:lvl>
    <w:lvl w:ilvl="2" w:tplc="0F9E8DAC">
      <w:numFmt w:val="decimal"/>
      <w:lvlText w:val=""/>
      <w:lvlJc w:val="left"/>
    </w:lvl>
    <w:lvl w:ilvl="3" w:tplc="A1826E16">
      <w:numFmt w:val="decimal"/>
      <w:lvlText w:val=""/>
      <w:lvlJc w:val="left"/>
    </w:lvl>
    <w:lvl w:ilvl="4" w:tplc="C70CB618">
      <w:numFmt w:val="decimal"/>
      <w:lvlText w:val=""/>
      <w:lvlJc w:val="left"/>
    </w:lvl>
    <w:lvl w:ilvl="5" w:tplc="2E0E530E">
      <w:numFmt w:val="decimal"/>
      <w:lvlText w:val=""/>
      <w:lvlJc w:val="left"/>
    </w:lvl>
    <w:lvl w:ilvl="6" w:tplc="C6C06ABE">
      <w:numFmt w:val="decimal"/>
      <w:lvlText w:val=""/>
      <w:lvlJc w:val="left"/>
    </w:lvl>
    <w:lvl w:ilvl="7" w:tplc="90FEC534">
      <w:numFmt w:val="decimal"/>
      <w:lvlText w:val=""/>
      <w:lvlJc w:val="left"/>
    </w:lvl>
    <w:lvl w:ilvl="8" w:tplc="0E565B6E">
      <w:numFmt w:val="decimal"/>
      <w:lvlText w:val=""/>
      <w:lvlJc w:val="left"/>
    </w:lvl>
  </w:abstractNum>
  <w:abstractNum w:abstractNumId="69" w15:restartNumberingAfterBreak="0">
    <w:nsid w:val="579BE4F1"/>
    <w:multiLevelType w:val="hybridMultilevel"/>
    <w:tmpl w:val="9600138C"/>
    <w:lvl w:ilvl="0" w:tplc="2E4ED600">
      <w:start w:val="1"/>
      <w:numFmt w:val="bullet"/>
      <w:lvlText w:val="и"/>
      <w:lvlJc w:val="left"/>
    </w:lvl>
    <w:lvl w:ilvl="1" w:tplc="51CA4822">
      <w:numFmt w:val="decimal"/>
      <w:lvlText w:val=""/>
      <w:lvlJc w:val="left"/>
    </w:lvl>
    <w:lvl w:ilvl="2" w:tplc="8F6E0060">
      <w:numFmt w:val="decimal"/>
      <w:lvlText w:val=""/>
      <w:lvlJc w:val="left"/>
    </w:lvl>
    <w:lvl w:ilvl="3" w:tplc="CCE29102">
      <w:numFmt w:val="decimal"/>
      <w:lvlText w:val=""/>
      <w:lvlJc w:val="left"/>
    </w:lvl>
    <w:lvl w:ilvl="4" w:tplc="6CFEA796">
      <w:numFmt w:val="decimal"/>
      <w:lvlText w:val=""/>
      <w:lvlJc w:val="left"/>
    </w:lvl>
    <w:lvl w:ilvl="5" w:tplc="D50E33BC">
      <w:numFmt w:val="decimal"/>
      <w:lvlText w:val=""/>
      <w:lvlJc w:val="left"/>
    </w:lvl>
    <w:lvl w:ilvl="6" w:tplc="3488D0EE">
      <w:numFmt w:val="decimal"/>
      <w:lvlText w:val=""/>
      <w:lvlJc w:val="left"/>
    </w:lvl>
    <w:lvl w:ilvl="7" w:tplc="B7140FC8">
      <w:numFmt w:val="decimal"/>
      <w:lvlText w:val=""/>
      <w:lvlJc w:val="left"/>
    </w:lvl>
    <w:lvl w:ilvl="8" w:tplc="C8B4302A">
      <w:numFmt w:val="decimal"/>
      <w:lvlText w:val=""/>
      <w:lvlJc w:val="left"/>
    </w:lvl>
  </w:abstractNum>
  <w:abstractNum w:abstractNumId="70" w15:restartNumberingAfterBreak="0">
    <w:nsid w:val="57FC4FBB"/>
    <w:multiLevelType w:val="hybridMultilevel"/>
    <w:tmpl w:val="9BBE3A60"/>
    <w:lvl w:ilvl="0" w:tplc="E8A6D91C">
      <w:start w:val="5"/>
      <w:numFmt w:val="decimal"/>
      <w:lvlText w:val="%1."/>
      <w:lvlJc w:val="left"/>
    </w:lvl>
    <w:lvl w:ilvl="1" w:tplc="C1429030">
      <w:numFmt w:val="decimal"/>
      <w:lvlText w:val=""/>
      <w:lvlJc w:val="left"/>
    </w:lvl>
    <w:lvl w:ilvl="2" w:tplc="0F466E62">
      <w:numFmt w:val="decimal"/>
      <w:lvlText w:val=""/>
      <w:lvlJc w:val="left"/>
    </w:lvl>
    <w:lvl w:ilvl="3" w:tplc="10F4A502">
      <w:numFmt w:val="decimal"/>
      <w:lvlText w:val=""/>
      <w:lvlJc w:val="left"/>
    </w:lvl>
    <w:lvl w:ilvl="4" w:tplc="D63C5062">
      <w:numFmt w:val="decimal"/>
      <w:lvlText w:val=""/>
      <w:lvlJc w:val="left"/>
    </w:lvl>
    <w:lvl w:ilvl="5" w:tplc="4086D6EC">
      <w:numFmt w:val="decimal"/>
      <w:lvlText w:val=""/>
      <w:lvlJc w:val="left"/>
    </w:lvl>
    <w:lvl w:ilvl="6" w:tplc="DB5E4254">
      <w:numFmt w:val="decimal"/>
      <w:lvlText w:val=""/>
      <w:lvlJc w:val="left"/>
    </w:lvl>
    <w:lvl w:ilvl="7" w:tplc="E3361FD4">
      <w:numFmt w:val="decimal"/>
      <w:lvlText w:val=""/>
      <w:lvlJc w:val="left"/>
    </w:lvl>
    <w:lvl w:ilvl="8" w:tplc="84BA3722">
      <w:numFmt w:val="decimal"/>
      <w:lvlText w:val=""/>
      <w:lvlJc w:val="left"/>
    </w:lvl>
  </w:abstractNum>
  <w:abstractNum w:abstractNumId="71" w15:restartNumberingAfterBreak="0">
    <w:nsid w:val="59ADEA3D"/>
    <w:multiLevelType w:val="hybridMultilevel"/>
    <w:tmpl w:val="FADC6580"/>
    <w:lvl w:ilvl="0" w:tplc="661467CC">
      <w:start w:val="1"/>
      <w:numFmt w:val="bullet"/>
      <w:lvlText w:val="•"/>
      <w:lvlJc w:val="left"/>
    </w:lvl>
    <w:lvl w:ilvl="1" w:tplc="71C63CD8">
      <w:numFmt w:val="decimal"/>
      <w:lvlText w:val=""/>
      <w:lvlJc w:val="left"/>
    </w:lvl>
    <w:lvl w:ilvl="2" w:tplc="7ACC65BC">
      <w:numFmt w:val="decimal"/>
      <w:lvlText w:val=""/>
      <w:lvlJc w:val="left"/>
    </w:lvl>
    <w:lvl w:ilvl="3" w:tplc="4CC0D174">
      <w:numFmt w:val="decimal"/>
      <w:lvlText w:val=""/>
      <w:lvlJc w:val="left"/>
    </w:lvl>
    <w:lvl w:ilvl="4" w:tplc="FB06C416">
      <w:numFmt w:val="decimal"/>
      <w:lvlText w:val=""/>
      <w:lvlJc w:val="left"/>
    </w:lvl>
    <w:lvl w:ilvl="5" w:tplc="190C39BE">
      <w:numFmt w:val="decimal"/>
      <w:lvlText w:val=""/>
      <w:lvlJc w:val="left"/>
    </w:lvl>
    <w:lvl w:ilvl="6" w:tplc="81A885A4">
      <w:numFmt w:val="decimal"/>
      <w:lvlText w:val=""/>
      <w:lvlJc w:val="left"/>
    </w:lvl>
    <w:lvl w:ilvl="7" w:tplc="43DE1556">
      <w:numFmt w:val="decimal"/>
      <w:lvlText w:val=""/>
      <w:lvlJc w:val="left"/>
    </w:lvl>
    <w:lvl w:ilvl="8" w:tplc="C57A549C">
      <w:numFmt w:val="decimal"/>
      <w:lvlText w:val=""/>
      <w:lvlJc w:val="left"/>
    </w:lvl>
  </w:abstractNum>
  <w:abstractNum w:abstractNumId="72" w15:restartNumberingAfterBreak="0">
    <w:nsid w:val="5DB70AE5"/>
    <w:multiLevelType w:val="hybridMultilevel"/>
    <w:tmpl w:val="04D47D5C"/>
    <w:lvl w:ilvl="0" w:tplc="B016EFCA">
      <w:start w:val="1"/>
      <w:numFmt w:val="upperLetter"/>
      <w:lvlText w:val="%1."/>
      <w:lvlJc w:val="left"/>
    </w:lvl>
    <w:lvl w:ilvl="1" w:tplc="9BD0F0B0">
      <w:numFmt w:val="decimal"/>
      <w:lvlText w:val=""/>
      <w:lvlJc w:val="left"/>
    </w:lvl>
    <w:lvl w:ilvl="2" w:tplc="312CCE92">
      <w:numFmt w:val="decimal"/>
      <w:lvlText w:val=""/>
      <w:lvlJc w:val="left"/>
    </w:lvl>
    <w:lvl w:ilvl="3" w:tplc="60B46BDC">
      <w:numFmt w:val="decimal"/>
      <w:lvlText w:val=""/>
      <w:lvlJc w:val="left"/>
    </w:lvl>
    <w:lvl w:ilvl="4" w:tplc="4594CCEE">
      <w:numFmt w:val="decimal"/>
      <w:lvlText w:val=""/>
      <w:lvlJc w:val="left"/>
    </w:lvl>
    <w:lvl w:ilvl="5" w:tplc="4B542BF8">
      <w:numFmt w:val="decimal"/>
      <w:lvlText w:val=""/>
      <w:lvlJc w:val="left"/>
    </w:lvl>
    <w:lvl w:ilvl="6" w:tplc="4DD8ED3A">
      <w:numFmt w:val="decimal"/>
      <w:lvlText w:val=""/>
      <w:lvlJc w:val="left"/>
    </w:lvl>
    <w:lvl w:ilvl="7" w:tplc="5F62AC8A">
      <w:numFmt w:val="decimal"/>
      <w:lvlText w:val=""/>
      <w:lvlJc w:val="left"/>
    </w:lvl>
    <w:lvl w:ilvl="8" w:tplc="D3E0CA14">
      <w:numFmt w:val="decimal"/>
      <w:lvlText w:val=""/>
      <w:lvlJc w:val="left"/>
    </w:lvl>
  </w:abstractNum>
  <w:abstractNum w:abstractNumId="73" w15:restartNumberingAfterBreak="0">
    <w:nsid w:val="5DC79EA8"/>
    <w:multiLevelType w:val="hybridMultilevel"/>
    <w:tmpl w:val="E018AD4A"/>
    <w:lvl w:ilvl="0" w:tplc="70468C2C">
      <w:start w:val="9"/>
      <w:numFmt w:val="decimal"/>
      <w:lvlText w:val="%1."/>
      <w:lvlJc w:val="left"/>
    </w:lvl>
    <w:lvl w:ilvl="1" w:tplc="E07C6F26">
      <w:numFmt w:val="decimal"/>
      <w:lvlText w:val=""/>
      <w:lvlJc w:val="left"/>
    </w:lvl>
    <w:lvl w:ilvl="2" w:tplc="99167B48">
      <w:numFmt w:val="decimal"/>
      <w:lvlText w:val=""/>
      <w:lvlJc w:val="left"/>
    </w:lvl>
    <w:lvl w:ilvl="3" w:tplc="D480C76C">
      <w:numFmt w:val="decimal"/>
      <w:lvlText w:val=""/>
      <w:lvlJc w:val="left"/>
    </w:lvl>
    <w:lvl w:ilvl="4" w:tplc="1C84357E">
      <w:numFmt w:val="decimal"/>
      <w:lvlText w:val=""/>
      <w:lvlJc w:val="left"/>
    </w:lvl>
    <w:lvl w:ilvl="5" w:tplc="A5762ECA">
      <w:numFmt w:val="decimal"/>
      <w:lvlText w:val=""/>
      <w:lvlJc w:val="left"/>
    </w:lvl>
    <w:lvl w:ilvl="6" w:tplc="7908AD9A">
      <w:numFmt w:val="decimal"/>
      <w:lvlText w:val=""/>
      <w:lvlJc w:val="left"/>
    </w:lvl>
    <w:lvl w:ilvl="7" w:tplc="7BD29ACC">
      <w:numFmt w:val="decimal"/>
      <w:lvlText w:val=""/>
      <w:lvlJc w:val="left"/>
    </w:lvl>
    <w:lvl w:ilvl="8" w:tplc="2D06C846">
      <w:numFmt w:val="decimal"/>
      <w:lvlText w:val=""/>
      <w:lvlJc w:val="left"/>
    </w:lvl>
  </w:abstractNum>
  <w:abstractNum w:abstractNumId="74" w15:restartNumberingAfterBreak="0">
    <w:nsid w:val="5F3534A4"/>
    <w:multiLevelType w:val="hybridMultilevel"/>
    <w:tmpl w:val="33A4828C"/>
    <w:lvl w:ilvl="0" w:tplc="9C54C358">
      <w:start w:val="1"/>
      <w:numFmt w:val="decimal"/>
      <w:lvlText w:val="%1."/>
      <w:lvlJc w:val="left"/>
    </w:lvl>
    <w:lvl w:ilvl="1" w:tplc="AF8E6850">
      <w:start w:val="1"/>
      <w:numFmt w:val="decimal"/>
      <w:lvlText w:val="%2"/>
      <w:lvlJc w:val="left"/>
    </w:lvl>
    <w:lvl w:ilvl="2" w:tplc="371A3CFC">
      <w:numFmt w:val="decimal"/>
      <w:lvlText w:val=""/>
      <w:lvlJc w:val="left"/>
    </w:lvl>
    <w:lvl w:ilvl="3" w:tplc="EED880A4">
      <w:numFmt w:val="decimal"/>
      <w:lvlText w:val=""/>
      <w:lvlJc w:val="left"/>
    </w:lvl>
    <w:lvl w:ilvl="4" w:tplc="A28C62F0">
      <w:numFmt w:val="decimal"/>
      <w:lvlText w:val=""/>
      <w:lvlJc w:val="left"/>
    </w:lvl>
    <w:lvl w:ilvl="5" w:tplc="E8D0FA3E">
      <w:numFmt w:val="decimal"/>
      <w:lvlText w:val=""/>
      <w:lvlJc w:val="left"/>
    </w:lvl>
    <w:lvl w:ilvl="6" w:tplc="B6AEA652">
      <w:numFmt w:val="decimal"/>
      <w:lvlText w:val=""/>
      <w:lvlJc w:val="left"/>
    </w:lvl>
    <w:lvl w:ilvl="7" w:tplc="10EA6034">
      <w:numFmt w:val="decimal"/>
      <w:lvlText w:val=""/>
      <w:lvlJc w:val="left"/>
    </w:lvl>
    <w:lvl w:ilvl="8" w:tplc="432A114C">
      <w:numFmt w:val="decimal"/>
      <w:lvlText w:val=""/>
      <w:lvlJc w:val="left"/>
    </w:lvl>
  </w:abstractNum>
  <w:abstractNum w:abstractNumId="75" w15:restartNumberingAfterBreak="0">
    <w:nsid w:val="5F5E7FD0"/>
    <w:multiLevelType w:val="hybridMultilevel"/>
    <w:tmpl w:val="ECF27F3E"/>
    <w:lvl w:ilvl="0" w:tplc="D2743338">
      <w:start w:val="1"/>
      <w:numFmt w:val="bullet"/>
      <w:lvlText w:val="•"/>
      <w:lvlJc w:val="left"/>
    </w:lvl>
    <w:lvl w:ilvl="1" w:tplc="686E9C8C">
      <w:numFmt w:val="decimal"/>
      <w:lvlText w:val=""/>
      <w:lvlJc w:val="left"/>
    </w:lvl>
    <w:lvl w:ilvl="2" w:tplc="255A4F38">
      <w:numFmt w:val="decimal"/>
      <w:lvlText w:val=""/>
      <w:lvlJc w:val="left"/>
    </w:lvl>
    <w:lvl w:ilvl="3" w:tplc="8BD86072">
      <w:numFmt w:val="decimal"/>
      <w:lvlText w:val=""/>
      <w:lvlJc w:val="left"/>
    </w:lvl>
    <w:lvl w:ilvl="4" w:tplc="93C203E2">
      <w:numFmt w:val="decimal"/>
      <w:lvlText w:val=""/>
      <w:lvlJc w:val="left"/>
    </w:lvl>
    <w:lvl w:ilvl="5" w:tplc="526440C4">
      <w:numFmt w:val="decimal"/>
      <w:lvlText w:val=""/>
      <w:lvlJc w:val="left"/>
    </w:lvl>
    <w:lvl w:ilvl="6" w:tplc="20B8AA2A">
      <w:numFmt w:val="decimal"/>
      <w:lvlText w:val=""/>
      <w:lvlJc w:val="left"/>
    </w:lvl>
    <w:lvl w:ilvl="7" w:tplc="8F24F1D6">
      <w:numFmt w:val="decimal"/>
      <w:lvlText w:val=""/>
      <w:lvlJc w:val="left"/>
    </w:lvl>
    <w:lvl w:ilvl="8" w:tplc="621C2018">
      <w:numFmt w:val="decimal"/>
      <w:lvlText w:val=""/>
      <w:lvlJc w:val="left"/>
    </w:lvl>
  </w:abstractNum>
  <w:abstractNum w:abstractNumId="76" w15:restartNumberingAfterBreak="0">
    <w:nsid w:val="5FB8011C"/>
    <w:multiLevelType w:val="hybridMultilevel"/>
    <w:tmpl w:val="654C7C00"/>
    <w:lvl w:ilvl="0" w:tplc="9E303F9A">
      <w:start w:val="1"/>
      <w:numFmt w:val="decimal"/>
      <w:lvlText w:val="%1."/>
      <w:lvlJc w:val="left"/>
    </w:lvl>
    <w:lvl w:ilvl="1" w:tplc="5C3CEE1E">
      <w:numFmt w:val="decimal"/>
      <w:lvlText w:val=""/>
      <w:lvlJc w:val="left"/>
    </w:lvl>
    <w:lvl w:ilvl="2" w:tplc="9B800D20">
      <w:numFmt w:val="decimal"/>
      <w:lvlText w:val=""/>
      <w:lvlJc w:val="left"/>
    </w:lvl>
    <w:lvl w:ilvl="3" w:tplc="EBEC7EE6">
      <w:numFmt w:val="decimal"/>
      <w:lvlText w:val=""/>
      <w:lvlJc w:val="left"/>
    </w:lvl>
    <w:lvl w:ilvl="4" w:tplc="BFF25050">
      <w:numFmt w:val="decimal"/>
      <w:lvlText w:val=""/>
      <w:lvlJc w:val="left"/>
    </w:lvl>
    <w:lvl w:ilvl="5" w:tplc="63C28D7E">
      <w:numFmt w:val="decimal"/>
      <w:lvlText w:val=""/>
      <w:lvlJc w:val="left"/>
    </w:lvl>
    <w:lvl w:ilvl="6" w:tplc="C48807B6">
      <w:numFmt w:val="decimal"/>
      <w:lvlText w:val=""/>
      <w:lvlJc w:val="left"/>
    </w:lvl>
    <w:lvl w:ilvl="7" w:tplc="4A421F5A">
      <w:numFmt w:val="decimal"/>
      <w:lvlText w:val=""/>
      <w:lvlJc w:val="left"/>
    </w:lvl>
    <w:lvl w:ilvl="8" w:tplc="469E7BC2">
      <w:numFmt w:val="decimal"/>
      <w:lvlText w:val=""/>
      <w:lvlJc w:val="left"/>
    </w:lvl>
  </w:abstractNum>
  <w:abstractNum w:abstractNumId="77" w15:restartNumberingAfterBreak="0">
    <w:nsid w:val="5FB8370B"/>
    <w:multiLevelType w:val="hybridMultilevel"/>
    <w:tmpl w:val="DEF60C4A"/>
    <w:lvl w:ilvl="0" w:tplc="D4020306">
      <w:start w:val="15"/>
      <w:numFmt w:val="decimal"/>
      <w:lvlText w:val="%1."/>
      <w:lvlJc w:val="left"/>
    </w:lvl>
    <w:lvl w:ilvl="1" w:tplc="5A9EDECA">
      <w:numFmt w:val="decimal"/>
      <w:lvlText w:val=""/>
      <w:lvlJc w:val="left"/>
    </w:lvl>
    <w:lvl w:ilvl="2" w:tplc="7428C108">
      <w:numFmt w:val="decimal"/>
      <w:lvlText w:val=""/>
      <w:lvlJc w:val="left"/>
    </w:lvl>
    <w:lvl w:ilvl="3" w:tplc="ED2C38EA">
      <w:numFmt w:val="decimal"/>
      <w:lvlText w:val=""/>
      <w:lvlJc w:val="left"/>
    </w:lvl>
    <w:lvl w:ilvl="4" w:tplc="E288FFDE">
      <w:numFmt w:val="decimal"/>
      <w:lvlText w:val=""/>
      <w:lvlJc w:val="left"/>
    </w:lvl>
    <w:lvl w:ilvl="5" w:tplc="6B44A696">
      <w:numFmt w:val="decimal"/>
      <w:lvlText w:val=""/>
      <w:lvlJc w:val="left"/>
    </w:lvl>
    <w:lvl w:ilvl="6" w:tplc="53C88138">
      <w:numFmt w:val="decimal"/>
      <w:lvlText w:val=""/>
      <w:lvlJc w:val="left"/>
    </w:lvl>
    <w:lvl w:ilvl="7" w:tplc="9E5A7AA8">
      <w:numFmt w:val="decimal"/>
      <w:lvlText w:val=""/>
      <w:lvlJc w:val="left"/>
    </w:lvl>
    <w:lvl w:ilvl="8" w:tplc="F4C83B5E">
      <w:numFmt w:val="decimal"/>
      <w:lvlText w:val=""/>
      <w:lvlJc w:val="left"/>
    </w:lvl>
  </w:abstractNum>
  <w:abstractNum w:abstractNumId="78" w15:restartNumberingAfterBreak="0">
    <w:nsid w:val="5FF87E05"/>
    <w:multiLevelType w:val="hybridMultilevel"/>
    <w:tmpl w:val="5D364B2E"/>
    <w:lvl w:ilvl="0" w:tplc="B60A453E">
      <w:start w:val="1"/>
      <w:numFmt w:val="bullet"/>
      <w:lvlText w:val="В"/>
      <w:lvlJc w:val="left"/>
    </w:lvl>
    <w:lvl w:ilvl="1" w:tplc="A9628B54">
      <w:numFmt w:val="decimal"/>
      <w:lvlText w:val=""/>
      <w:lvlJc w:val="left"/>
    </w:lvl>
    <w:lvl w:ilvl="2" w:tplc="87A0A13A">
      <w:numFmt w:val="decimal"/>
      <w:lvlText w:val=""/>
      <w:lvlJc w:val="left"/>
    </w:lvl>
    <w:lvl w:ilvl="3" w:tplc="B680EF38">
      <w:numFmt w:val="decimal"/>
      <w:lvlText w:val=""/>
      <w:lvlJc w:val="left"/>
    </w:lvl>
    <w:lvl w:ilvl="4" w:tplc="E0F499EE">
      <w:numFmt w:val="decimal"/>
      <w:lvlText w:val=""/>
      <w:lvlJc w:val="left"/>
    </w:lvl>
    <w:lvl w:ilvl="5" w:tplc="B36CEAA6">
      <w:numFmt w:val="decimal"/>
      <w:lvlText w:val=""/>
      <w:lvlJc w:val="left"/>
    </w:lvl>
    <w:lvl w:ilvl="6" w:tplc="7F3CA618">
      <w:numFmt w:val="decimal"/>
      <w:lvlText w:val=""/>
      <w:lvlJc w:val="left"/>
    </w:lvl>
    <w:lvl w:ilvl="7" w:tplc="6BEEF2DA">
      <w:numFmt w:val="decimal"/>
      <w:lvlText w:val=""/>
      <w:lvlJc w:val="left"/>
    </w:lvl>
    <w:lvl w:ilvl="8" w:tplc="5D785418">
      <w:numFmt w:val="decimal"/>
      <w:lvlText w:val=""/>
      <w:lvlJc w:val="left"/>
    </w:lvl>
  </w:abstractNum>
  <w:abstractNum w:abstractNumId="79" w15:restartNumberingAfterBreak="0">
    <w:nsid w:val="60B6DF70"/>
    <w:multiLevelType w:val="hybridMultilevel"/>
    <w:tmpl w:val="99B40526"/>
    <w:lvl w:ilvl="0" w:tplc="E93AFA86">
      <w:start w:val="2"/>
      <w:numFmt w:val="decimal"/>
      <w:lvlText w:val="%1."/>
      <w:lvlJc w:val="left"/>
    </w:lvl>
    <w:lvl w:ilvl="1" w:tplc="A11068F0">
      <w:numFmt w:val="decimal"/>
      <w:lvlText w:val=""/>
      <w:lvlJc w:val="left"/>
    </w:lvl>
    <w:lvl w:ilvl="2" w:tplc="1C703364">
      <w:numFmt w:val="decimal"/>
      <w:lvlText w:val=""/>
      <w:lvlJc w:val="left"/>
    </w:lvl>
    <w:lvl w:ilvl="3" w:tplc="F93C10FA">
      <w:numFmt w:val="decimal"/>
      <w:lvlText w:val=""/>
      <w:lvlJc w:val="left"/>
    </w:lvl>
    <w:lvl w:ilvl="4" w:tplc="8BB63A30">
      <w:numFmt w:val="decimal"/>
      <w:lvlText w:val=""/>
      <w:lvlJc w:val="left"/>
    </w:lvl>
    <w:lvl w:ilvl="5" w:tplc="AA6A4368">
      <w:numFmt w:val="decimal"/>
      <w:lvlText w:val=""/>
      <w:lvlJc w:val="left"/>
    </w:lvl>
    <w:lvl w:ilvl="6" w:tplc="6A20B45C">
      <w:numFmt w:val="decimal"/>
      <w:lvlText w:val=""/>
      <w:lvlJc w:val="left"/>
    </w:lvl>
    <w:lvl w:ilvl="7" w:tplc="D0422E1A">
      <w:numFmt w:val="decimal"/>
      <w:lvlText w:val=""/>
      <w:lvlJc w:val="left"/>
    </w:lvl>
    <w:lvl w:ilvl="8" w:tplc="E3F6E8BA">
      <w:numFmt w:val="decimal"/>
      <w:lvlText w:val=""/>
      <w:lvlJc w:val="left"/>
    </w:lvl>
  </w:abstractNum>
  <w:abstractNum w:abstractNumId="80" w15:restartNumberingAfterBreak="0">
    <w:nsid w:val="60EF0119"/>
    <w:multiLevelType w:val="hybridMultilevel"/>
    <w:tmpl w:val="F6BA05DE"/>
    <w:lvl w:ilvl="0" w:tplc="7F9ACE8C">
      <w:start w:val="9"/>
      <w:numFmt w:val="decimal"/>
      <w:lvlText w:val="%1."/>
      <w:lvlJc w:val="left"/>
    </w:lvl>
    <w:lvl w:ilvl="1" w:tplc="792869DC">
      <w:numFmt w:val="decimal"/>
      <w:lvlText w:val=""/>
      <w:lvlJc w:val="left"/>
    </w:lvl>
    <w:lvl w:ilvl="2" w:tplc="ACBC397A">
      <w:numFmt w:val="decimal"/>
      <w:lvlText w:val=""/>
      <w:lvlJc w:val="left"/>
    </w:lvl>
    <w:lvl w:ilvl="3" w:tplc="604815FC">
      <w:numFmt w:val="decimal"/>
      <w:lvlText w:val=""/>
      <w:lvlJc w:val="left"/>
    </w:lvl>
    <w:lvl w:ilvl="4" w:tplc="A36615C2">
      <w:numFmt w:val="decimal"/>
      <w:lvlText w:val=""/>
      <w:lvlJc w:val="left"/>
    </w:lvl>
    <w:lvl w:ilvl="5" w:tplc="0DD2B764">
      <w:numFmt w:val="decimal"/>
      <w:lvlText w:val=""/>
      <w:lvlJc w:val="left"/>
    </w:lvl>
    <w:lvl w:ilvl="6" w:tplc="EA7C1D7E">
      <w:numFmt w:val="decimal"/>
      <w:lvlText w:val=""/>
      <w:lvlJc w:val="left"/>
    </w:lvl>
    <w:lvl w:ilvl="7" w:tplc="DC7CFB24">
      <w:numFmt w:val="decimal"/>
      <w:lvlText w:val=""/>
      <w:lvlJc w:val="left"/>
    </w:lvl>
    <w:lvl w:ilvl="8" w:tplc="160E6F3A">
      <w:numFmt w:val="decimal"/>
      <w:lvlText w:val=""/>
      <w:lvlJc w:val="left"/>
    </w:lvl>
  </w:abstractNum>
  <w:abstractNum w:abstractNumId="81" w15:restartNumberingAfterBreak="0">
    <w:nsid w:val="613EFDC5"/>
    <w:multiLevelType w:val="hybridMultilevel"/>
    <w:tmpl w:val="51886962"/>
    <w:lvl w:ilvl="0" w:tplc="5C6AE270">
      <w:start w:val="14"/>
      <w:numFmt w:val="decimal"/>
      <w:lvlText w:val="%1."/>
      <w:lvlJc w:val="left"/>
    </w:lvl>
    <w:lvl w:ilvl="1" w:tplc="876A7D66">
      <w:numFmt w:val="decimal"/>
      <w:lvlText w:val=""/>
      <w:lvlJc w:val="left"/>
    </w:lvl>
    <w:lvl w:ilvl="2" w:tplc="51963A84">
      <w:numFmt w:val="decimal"/>
      <w:lvlText w:val=""/>
      <w:lvlJc w:val="left"/>
    </w:lvl>
    <w:lvl w:ilvl="3" w:tplc="25929ADE">
      <w:numFmt w:val="decimal"/>
      <w:lvlText w:val=""/>
      <w:lvlJc w:val="left"/>
    </w:lvl>
    <w:lvl w:ilvl="4" w:tplc="C6ECC4DA">
      <w:numFmt w:val="decimal"/>
      <w:lvlText w:val=""/>
      <w:lvlJc w:val="left"/>
    </w:lvl>
    <w:lvl w:ilvl="5" w:tplc="52144500">
      <w:numFmt w:val="decimal"/>
      <w:lvlText w:val=""/>
      <w:lvlJc w:val="left"/>
    </w:lvl>
    <w:lvl w:ilvl="6" w:tplc="7B1AFC28">
      <w:numFmt w:val="decimal"/>
      <w:lvlText w:val=""/>
      <w:lvlJc w:val="left"/>
    </w:lvl>
    <w:lvl w:ilvl="7" w:tplc="52284CCC">
      <w:numFmt w:val="decimal"/>
      <w:lvlText w:val=""/>
      <w:lvlJc w:val="left"/>
    </w:lvl>
    <w:lvl w:ilvl="8" w:tplc="B9B87928">
      <w:numFmt w:val="decimal"/>
      <w:lvlText w:val=""/>
      <w:lvlJc w:val="left"/>
    </w:lvl>
  </w:abstractNum>
  <w:abstractNum w:abstractNumId="82" w15:restartNumberingAfterBreak="0">
    <w:nsid w:val="61574095"/>
    <w:multiLevelType w:val="hybridMultilevel"/>
    <w:tmpl w:val="70C2637C"/>
    <w:lvl w:ilvl="0" w:tplc="F3EAF58C">
      <w:start w:val="1"/>
      <w:numFmt w:val="bullet"/>
      <w:lvlText w:val="**"/>
      <w:lvlJc w:val="left"/>
    </w:lvl>
    <w:lvl w:ilvl="1" w:tplc="8DB041E0">
      <w:numFmt w:val="decimal"/>
      <w:lvlText w:val=""/>
      <w:lvlJc w:val="left"/>
    </w:lvl>
    <w:lvl w:ilvl="2" w:tplc="BA4EB408">
      <w:numFmt w:val="decimal"/>
      <w:lvlText w:val=""/>
      <w:lvlJc w:val="left"/>
    </w:lvl>
    <w:lvl w:ilvl="3" w:tplc="48B84C0E">
      <w:numFmt w:val="decimal"/>
      <w:lvlText w:val=""/>
      <w:lvlJc w:val="left"/>
    </w:lvl>
    <w:lvl w:ilvl="4" w:tplc="0264155C">
      <w:numFmt w:val="decimal"/>
      <w:lvlText w:val=""/>
      <w:lvlJc w:val="left"/>
    </w:lvl>
    <w:lvl w:ilvl="5" w:tplc="A90A4F0A">
      <w:numFmt w:val="decimal"/>
      <w:lvlText w:val=""/>
      <w:lvlJc w:val="left"/>
    </w:lvl>
    <w:lvl w:ilvl="6" w:tplc="90B864B0">
      <w:numFmt w:val="decimal"/>
      <w:lvlText w:val=""/>
      <w:lvlJc w:val="left"/>
    </w:lvl>
    <w:lvl w:ilvl="7" w:tplc="2E50005C">
      <w:numFmt w:val="decimal"/>
      <w:lvlText w:val=""/>
      <w:lvlJc w:val="left"/>
    </w:lvl>
    <w:lvl w:ilvl="8" w:tplc="4BB26848">
      <w:numFmt w:val="decimal"/>
      <w:lvlText w:val=""/>
      <w:lvlJc w:val="left"/>
    </w:lvl>
  </w:abstractNum>
  <w:abstractNum w:abstractNumId="83" w15:restartNumberingAfterBreak="0">
    <w:nsid w:val="649BB77C"/>
    <w:multiLevelType w:val="hybridMultilevel"/>
    <w:tmpl w:val="2AF8CCCE"/>
    <w:lvl w:ilvl="0" w:tplc="8EFCFC7A">
      <w:start w:val="2"/>
      <w:numFmt w:val="decimal"/>
      <w:lvlText w:val="%1."/>
      <w:lvlJc w:val="left"/>
    </w:lvl>
    <w:lvl w:ilvl="1" w:tplc="914A30C6">
      <w:numFmt w:val="decimal"/>
      <w:lvlText w:val=""/>
      <w:lvlJc w:val="left"/>
    </w:lvl>
    <w:lvl w:ilvl="2" w:tplc="70943BCC">
      <w:numFmt w:val="decimal"/>
      <w:lvlText w:val=""/>
      <w:lvlJc w:val="left"/>
    </w:lvl>
    <w:lvl w:ilvl="3" w:tplc="6CC0659A">
      <w:numFmt w:val="decimal"/>
      <w:lvlText w:val=""/>
      <w:lvlJc w:val="left"/>
    </w:lvl>
    <w:lvl w:ilvl="4" w:tplc="31BA0584">
      <w:numFmt w:val="decimal"/>
      <w:lvlText w:val=""/>
      <w:lvlJc w:val="left"/>
    </w:lvl>
    <w:lvl w:ilvl="5" w:tplc="05BC689C">
      <w:numFmt w:val="decimal"/>
      <w:lvlText w:val=""/>
      <w:lvlJc w:val="left"/>
    </w:lvl>
    <w:lvl w:ilvl="6" w:tplc="AF4A373C">
      <w:numFmt w:val="decimal"/>
      <w:lvlText w:val=""/>
      <w:lvlJc w:val="left"/>
    </w:lvl>
    <w:lvl w:ilvl="7" w:tplc="5DE48AF8">
      <w:numFmt w:val="decimal"/>
      <w:lvlText w:val=""/>
      <w:lvlJc w:val="left"/>
    </w:lvl>
    <w:lvl w:ilvl="8" w:tplc="E74E27C8">
      <w:numFmt w:val="decimal"/>
      <w:lvlText w:val=""/>
      <w:lvlJc w:val="left"/>
    </w:lvl>
  </w:abstractNum>
  <w:abstractNum w:abstractNumId="84" w15:restartNumberingAfterBreak="0">
    <w:nsid w:val="6590700B"/>
    <w:multiLevelType w:val="hybridMultilevel"/>
    <w:tmpl w:val="8F426442"/>
    <w:lvl w:ilvl="0" w:tplc="D37847F2">
      <w:start w:val="1"/>
      <w:numFmt w:val="bullet"/>
      <w:lvlText w:val="•"/>
      <w:lvlJc w:val="left"/>
    </w:lvl>
    <w:lvl w:ilvl="1" w:tplc="A648C170">
      <w:numFmt w:val="decimal"/>
      <w:lvlText w:val=""/>
      <w:lvlJc w:val="left"/>
    </w:lvl>
    <w:lvl w:ilvl="2" w:tplc="7C1248DE">
      <w:numFmt w:val="decimal"/>
      <w:lvlText w:val=""/>
      <w:lvlJc w:val="left"/>
    </w:lvl>
    <w:lvl w:ilvl="3" w:tplc="FD066EE2">
      <w:numFmt w:val="decimal"/>
      <w:lvlText w:val=""/>
      <w:lvlJc w:val="left"/>
    </w:lvl>
    <w:lvl w:ilvl="4" w:tplc="42B20800">
      <w:numFmt w:val="decimal"/>
      <w:lvlText w:val=""/>
      <w:lvlJc w:val="left"/>
    </w:lvl>
    <w:lvl w:ilvl="5" w:tplc="685E59FE">
      <w:numFmt w:val="decimal"/>
      <w:lvlText w:val=""/>
      <w:lvlJc w:val="left"/>
    </w:lvl>
    <w:lvl w:ilvl="6" w:tplc="C0620164">
      <w:numFmt w:val="decimal"/>
      <w:lvlText w:val=""/>
      <w:lvlJc w:val="left"/>
    </w:lvl>
    <w:lvl w:ilvl="7" w:tplc="903AA58C">
      <w:numFmt w:val="decimal"/>
      <w:lvlText w:val=""/>
      <w:lvlJc w:val="left"/>
    </w:lvl>
    <w:lvl w:ilvl="8" w:tplc="87DCA2C6">
      <w:numFmt w:val="decimal"/>
      <w:lvlText w:val=""/>
      <w:lvlJc w:val="left"/>
    </w:lvl>
  </w:abstractNum>
  <w:abstractNum w:abstractNumId="85" w15:restartNumberingAfterBreak="0">
    <w:nsid w:val="661E3F1E"/>
    <w:multiLevelType w:val="hybridMultilevel"/>
    <w:tmpl w:val="1818B4B8"/>
    <w:lvl w:ilvl="0" w:tplc="887C8FAC">
      <w:start w:val="7"/>
      <w:numFmt w:val="decimal"/>
      <w:lvlText w:val="%1."/>
      <w:lvlJc w:val="left"/>
    </w:lvl>
    <w:lvl w:ilvl="1" w:tplc="3FB436C8">
      <w:numFmt w:val="decimal"/>
      <w:lvlText w:val=""/>
      <w:lvlJc w:val="left"/>
    </w:lvl>
    <w:lvl w:ilvl="2" w:tplc="F062AA62">
      <w:numFmt w:val="decimal"/>
      <w:lvlText w:val=""/>
      <w:lvlJc w:val="left"/>
    </w:lvl>
    <w:lvl w:ilvl="3" w:tplc="0608A650">
      <w:numFmt w:val="decimal"/>
      <w:lvlText w:val=""/>
      <w:lvlJc w:val="left"/>
    </w:lvl>
    <w:lvl w:ilvl="4" w:tplc="FBFC888C">
      <w:numFmt w:val="decimal"/>
      <w:lvlText w:val=""/>
      <w:lvlJc w:val="left"/>
    </w:lvl>
    <w:lvl w:ilvl="5" w:tplc="DFC405D6">
      <w:numFmt w:val="decimal"/>
      <w:lvlText w:val=""/>
      <w:lvlJc w:val="left"/>
    </w:lvl>
    <w:lvl w:ilvl="6" w:tplc="61FA1AF0">
      <w:numFmt w:val="decimal"/>
      <w:lvlText w:val=""/>
      <w:lvlJc w:val="left"/>
    </w:lvl>
    <w:lvl w:ilvl="7" w:tplc="C330BB3C">
      <w:numFmt w:val="decimal"/>
      <w:lvlText w:val=""/>
      <w:lvlJc w:val="left"/>
    </w:lvl>
    <w:lvl w:ilvl="8" w:tplc="8194AA18">
      <w:numFmt w:val="decimal"/>
      <w:lvlText w:val=""/>
      <w:lvlJc w:val="left"/>
    </w:lvl>
  </w:abstractNum>
  <w:abstractNum w:abstractNumId="86" w15:restartNumberingAfterBreak="0">
    <w:nsid w:val="68EB2F63"/>
    <w:multiLevelType w:val="hybridMultilevel"/>
    <w:tmpl w:val="59127778"/>
    <w:lvl w:ilvl="0" w:tplc="B7C2187E">
      <w:start w:val="5"/>
      <w:numFmt w:val="decimal"/>
      <w:lvlText w:val="%1."/>
      <w:lvlJc w:val="left"/>
    </w:lvl>
    <w:lvl w:ilvl="1" w:tplc="19E01E12">
      <w:numFmt w:val="decimal"/>
      <w:lvlText w:val=""/>
      <w:lvlJc w:val="left"/>
    </w:lvl>
    <w:lvl w:ilvl="2" w:tplc="12824542">
      <w:numFmt w:val="decimal"/>
      <w:lvlText w:val=""/>
      <w:lvlJc w:val="left"/>
    </w:lvl>
    <w:lvl w:ilvl="3" w:tplc="67EC38AE">
      <w:numFmt w:val="decimal"/>
      <w:lvlText w:val=""/>
      <w:lvlJc w:val="left"/>
    </w:lvl>
    <w:lvl w:ilvl="4" w:tplc="F86267F0">
      <w:numFmt w:val="decimal"/>
      <w:lvlText w:val=""/>
      <w:lvlJc w:val="left"/>
    </w:lvl>
    <w:lvl w:ilvl="5" w:tplc="C8A28056">
      <w:numFmt w:val="decimal"/>
      <w:lvlText w:val=""/>
      <w:lvlJc w:val="left"/>
    </w:lvl>
    <w:lvl w:ilvl="6" w:tplc="00C4A430">
      <w:numFmt w:val="decimal"/>
      <w:lvlText w:val=""/>
      <w:lvlJc w:val="left"/>
    </w:lvl>
    <w:lvl w:ilvl="7" w:tplc="729ADD58">
      <w:numFmt w:val="decimal"/>
      <w:lvlText w:val=""/>
      <w:lvlJc w:val="left"/>
    </w:lvl>
    <w:lvl w:ilvl="8" w:tplc="147296E2">
      <w:numFmt w:val="decimal"/>
      <w:lvlText w:val=""/>
      <w:lvlJc w:val="left"/>
    </w:lvl>
  </w:abstractNum>
  <w:abstractNum w:abstractNumId="87" w15:restartNumberingAfterBreak="0">
    <w:nsid w:val="68EBC550"/>
    <w:multiLevelType w:val="hybridMultilevel"/>
    <w:tmpl w:val="5478F572"/>
    <w:lvl w:ilvl="0" w:tplc="B3E00B28">
      <w:start w:val="5"/>
      <w:numFmt w:val="decimal"/>
      <w:lvlText w:val="%1."/>
      <w:lvlJc w:val="left"/>
    </w:lvl>
    <w:lvl w:ilvl="1" w:tplc="39C6DD88">
      <w:numFmt w:val="decimal"/>
      <w:lvlText w:val=""/>
      <w:lvlJc w:val="left"/>
    </w:lvl>
    <w:lvl w:ilvl="2" w:tplc="41E69A74">
      <w:numFmt w:val="decimal"/>
      <w:lvlText w:val=""/>
      <w:lvlJc w:val="left"/>
    </w:lvl>
    <w:lvl w:ilvl="3" w:tplc="E5326B90">
      <w:numFmt w:val="decimal"/>
      <w:lvlText w:val=""/>
      <w:lvlJc w:val="left"/>
    </w:lvl>
    <w:lvl w:ilvl="4" w:tplc="DD84D38E">
      <w:numFmt w:val="decimal"/>
      <w:lvlText w:val=""/>
      <w:lvlJc w:val="left"/>
    </w:lvl>
    <w:lvl w:ilvl="5" w:tplc="9AC86FE2">
      <w:numFmt w:val="decimal"/>
      <w:lvlText w:val=""/>
      <w:lvlJc w:val="left"/>
    </w:lvl>
    <w:lvl w:ilvl="6" w:tplc="C250EB1E">
      <w:numFmt w:val="decimal"/>
      <w:lvlText w:val=""/>
      <w:lvlJc w:val="left"/>
    </w:lvl>
    <w:lvl w:ilvl="7" w:tplc="A6A8015E">
      <w:numFmt w:val="decimal"/>
      <w:lvlText w:val=""/>
      <w:lvlJc w:val="left"/>
    </w:lvl>
    <w:lvl w:ilvl="8" w:tplc="C9C89FDA">
      <w:numFmt w:val="decimal"/>
      <w:lvlText w:val=""/>
      <w:lvlJc w:val="left"/>
    </w:lvl>
  </w:abstractNum>
  <w:abstractNum w:abstractNumId="88" w15:restartNumberingAfterBreak="0">
    <w:nsid w:val="6A3DD3E8"/>
    <w:multiLevelType w:val="hybridMultilevel"/>
    <w:tmpl w:val="6AEE945E"/>
    <w:lvl w:ilvl="0" w:tplc="71A08FDC">
      <w:start w:val="3"/>
      <w:numFmt w:val="decimal"/>
      <w:lvlText w:val="%1."/>
      <w:lvlJc w:val="left"/>
    </w:lvl>
    <w:lvl w:ilvl="1" w:tplc="69C6407A">
      <w:numFmt w:val="decimal"/>
      <w:lvlText w:val=""/>
      <w:lvlJc w:val="left"/>
    </w:lvl>
    <w:lvl w:ilvl="2" w:tplc="EC9CD596">
      <w:numFmt w:val="decimal"/>
      <w:lvlText w:val=""/>
      <w:lvlJc w:val="left"/>
    </w:lvl>
    <w:lvl w:ilvl="3" w:tplc="64E4F238">
      <w:numFmt w:val="decimal"/>
      <w:lvlText w:val=""/>
      <w:lvlJc w:val="left"/>
    </w:lvl>
    <w:lvl w:ilvl="4" w:tplc="04BC1348">
      <w:numFmt w:val="decimal"/>
      <w:lvlText w:val=""/>
      <w:lvlJc w:val="left"/>
    </w:lvl>
    <w:lvl w:ilvl="5" w:tplc="249CD50E">
      <w:numFmt w:val="decimal"/>
      <w:lvlText w:val=""/>
      <w:lvlJc w:val="left"/>
    </w:lvl>
    <w:lvl w:ilvl="6" w:tplc="0748B7F2">
      <w:numFmt w:val="decimal"/>
      <w:lvlText w:val=""/>
      <w:lvlJc w:val="left"/>
    </w:lvl>
    <w:lvl w:ilvl="7" w:tplc="73865A90">
      <w:numFmt w:val="decimal"/>
      <w:lvlText w:val=""/>
      <w:lvlJc w:val="left"/>
    </w:lvl>
    <w:lvl w:ilvl="8" w:tplc="C40463D0">
      <w:numFmt w:val="decimal"/>
      <w:lvlText w:val=""/>
      <w:lvlJc w:val="left"/>
    </w:lvl>
  </w:abstractNum>
  <w:abstractNum w:abstractNumId="89" w15:restartNumberingAfterBreak="0">
    <w:nsid w:val="6A5F7029"/>
    <w:multiLevelType w:val="hybridMultilevel"/>
    <w:tmpl w:val="2E143A1A"/>
    <w:lvl w:ilvl="0" w:tplc="64E2A498">
      <w:start w:val="5"/>
      <w:numFmt w:val="decimal"/>
      <w:lvlText w:val="%1."/>
      <w:lvlJc w:val="left"/>
    </w:lvl>
    <w:lvl w:ilvl="1" w:tplc="C38684B6">
      <w:numFmt w:val="decimal"/>
      <w:lvlText w:val=""/>
      <w:lvlJc w:val="left"/>
    </w:lvl>
    <w:lvl w:ilvl="2" w:tplc="E48C6258">
      <w:numFmt w:val="decimal"/>
      <w:lvlText w:val=""/>
      <w:lvlJc w:val="left"/>
    </w:lvl>
    <w:lvl w:ilvl="3" w:tplc="2B8E6E3A">
      <w:numFmt w:val="decimal"/>
      <w:lvlText w:val=""/>
      <w:lvlJc w:val="left"/>
    </w:lvl>
    <w:lvl w:ilvl="4" w:tplc="0E2ACAF4">
      <w:numFmt w:val="decimal"/>
      <w:lvlText w:val=""/>
      <w:lvlJc w:val="left"/>
    </w:lvl>
    <w:lvl w:ilvl="5" w:tplc="8786ACAA">
      <w:numFmt w:val="decimal"/>
      <w:lvlText w:val=""/>
      <w:lvlJc w:val="left"/>
    </w:lvl>
    <w:lvl w:ilvl="6" w:tplc="82CAEE20">
      <w:numFmt w:val="decimal"/>
      <w:lvlText w:val=""/>
      <w:lvlJc w:val="left"/>
    </w:lvl>
    <w:lvl w:ilvl="7" w:tplc="D2EA1518">
      <w:numFmt w:val="decimal"/>
      <w:lvlText w:val=""/>
      <w:lvlJc w:val="left"/>
    </w:lvl>
    <w:lvl w:ilvl="8" w:tplc="9C108D2A">
      <w:numFmt w:val="decimal"/>
      <w:lvlText w:val=""/>
      <w:lvlJc w:val="left"/>
    </w:lvl>
  </w:abstractNum>
  <w:abstractNum w:abstractNumId="90" w15:restartNumberingAfterBreak="0">
    <w:nsid w:val="6AA78F7F"/>
    <w:multiLevelType w:val="hybridMultilevel"/>
    <w:tmpl w:val="4394D736"/>
    <w:lvl w:ilvl="0" w:tplc="B4E080E8">
      <w:start w:val="2"/>
      <w:numFmt w:val="decimal"/>
      <w:lvlText w:val="%1."/>
      <w:lvlJc w:val="left"/>
    </w:lvl>
    <w:lvl w:ilvl="1" w:tplc="C26ADE10">
      <w:numFmt w:val="decimal"/>
      <w:lvlText w:val=""/>
      <w:lvlJc w:val="left"/>
    </w:lvl>
    <w:lvl w:ilvl="2" w:tplc="BDB20B8A">
      <w:numFmt w:val="decimal"/>
      <w:lvlText w:val=""/>
      <w:lvlJc w:val="left"/>
    </w:lvl>
    <w:lvl w:ilvl="3" w:tplc="F222B50E">
      <w:numFmt w:val="decimal"/>
      <w:lvlText w:val=""/>
      <w:lvlJc w:val="left"/>
    </w:lvl>
    <w:lvl w:ilvl="4" w:tplc="59F8F2E0">
      <w:numFmt w:val="decimal"/>
      <w:lvlText w:val=""/>
      <w:lvlJc w:val="left"/>
    </w:lvl>
    <w:lvl w:ilvl="5" w:tplc="0BA899D6">
      <w:numFmt w:val="decimal"/>
      <w:lvlText w:val=""/>
      <w:lvlJc w:val="left"/>
    </w:lvl>
    <w:lvl w:ilvl="6" w:tplc="389AD7E6">
      <w:numFmt w:val="decimal"/>
      <w:lvlText w:val=""/>
      <w:lvlJc w:val="left"/>
    </w:lvl>
    <w:lvl w:ilvl="7" w:tplc="4BF2E8DC">
      <w:numFmt w:val="decimal"/>
      <w:lvlText w:val=""/>
      <w:lvlJc w:val="left"/>
    </w:lvl>
    <w:lvl w:ilvl="8" w:tplc="C75C86F6">
      <w:numFmt w:val="decimal"/>
      <w:lvlText w:val=""/>
      <w:lvlJc w:val="left"/>
    </w:lvl>
  </w:abstractNum>
  <w:abstractNum w:abstractNumId="91" w15:restartNumberingAfterBreak="0">
    <w:nsid w:val="6F6DD9AC"/>
    <w:multiLevelType w:val="hybridMultilevel"/>
    <w:tmpl w:val="3ABC8D8A"/>
    <w:lvl w:ilvl="0" w:tplc="577470A2">
      <w:start w:val="13"/>
      <w:numFmt w:val="decimal"/>
      <w:lvlText w:val="%1."/>
      <w:lvlJc w:val="left"/>
    </w:lvl>
    <w:lvl w:ilvl="1" w:tplc="52863332">
      <w:numFmt w:val="decimal"/>
      <w:lvlText w:val=""/>
      <w:lvlJc w:val="left"/>
    </w:lvl>
    <w:lvl w:ilvl="2" w:tplc="74323AA4">
      <w:numFmt w:val="decimal"/>
      <w:lvlText w:val=""/>
      <w:lvlJc w:val="left"/>
    </w:lvl>
    <w:lvl w:ilvl="3" w:tplc="2454F372">
      <w:numFmt w:val="decimal"/>
      <w:lvlText w:val=""/>
      <w:lvlJc w:val="left"/>
    </w:lvl>
    <w:lvl w:ilvl="4" w:tplc="1B5CFF4A">
      <w:numFmt w:val="decimal"/>
      <w:lvlText w:val=""/>
      <w:lvlJc w:val="left"/>
    </w:lvl>
    <w:lvl w:ilvl="5" w:tplc="581235B0">
      <w:numFmt w:val="decimal"/>
      <w:lvlText w:val=""/>
      <w:lvlJc w:val="left"/>
    </w:lvl>
    <w:lvl w:ilvl="6" w:tplc="F4ECBE82">
      <w:numFmt w:val="decimal"/>
      <w:lvlText w:val=""/>
      <w:lvlJc w:val="left"/>
    </w:lvl>
    <w:lvl w:ilvl="7" w:tplc="193C6BAE">
      <w:numFmt w:val="decimal"/>
      <w:lvlText w:val=""/>
      <w:lvlJc w:val="left"/>
    </w:lvl>
    <w:lvl w:ilvl="8" w:tplc="6DE6835C">
      <w:numFmt w:val="decimal"/>
      <w:lvlText w:val=""/>
      <w:lvlJc w:val="left"/>
    </w:lvl>
  </w:abstractNum>
  <w:abstractNum w:abstractNumId="92" w15:restartNumberingAfterBreak="0">
    <w:nsid w:val="6FC75AF8"/>
    <w:multiLevelType w:val="hybridMultilevel"/>
    <w:tmpl w:val="029EDCEE"/>
    <w:lvl w:ilvl="0" w:tplc="558E927A">
      <w:start w:val="4"/>
      <w:numFmt w:val="decimal"/>
      <w:lvlText w:val="%1."/>
      <w:lvlJc w:val="left"/>
    </w:lvl>
    <w:lvl w:ilvl="1" w:tplc="EB607F4A">
      <w:numFmt w:val="decimal"/>
      <w:lvlText w:val=""/>
      <w:lvlJc w:val="left"/>
    </w:lvl>
    <w:lvl w:ilvl="2" w:tplc="A88A2D98">
      <w:numFmt w:val="decimal"/>
      <w:lvlText w:val=""/>
      <w:lvlJc w:val="left"/>
    </w:lvl>
    <w:lvl w:ilvl="3" w:tplc="9C503E06">
      <w:numFmt w:val="decimal"/>
      <w:lvlText w:val=""/>
      <w:lvlJc w:val="left"/>
    </w:lvl>
    <w:lvl w:ilvl="4" w:tplc="B8485B44">
      <w:numFmt w:val="decimal"/>
      <w:lvlText w:val=""/>
      <w:lvlJc w:val="left"/>
    </w:lvl>
    <w:lvl w:ilvl="5" w:tplc="C382D6E8">
      <w:numFmt w:val="decimal"/>
      <w:lvlText w:val=""/>
      <w:lvlJc w:val="left"/>
    </w:lvl>
    <w:lvl w:ilvl="6" w:tplc="32CC3908">
      <w:numFmt w:val="decimal"/>
      <w:lvlText w:val=""/>
      <w:lvlJc w:val="left"/>
    </w:lvl>
    <w:lvl w:ilvl="7" w:tplc="4FD2B55E">
      <w:numFmt w:val="decimal"/>
      <w:lvlText w:val=""/>
      <w:lvlJc w:val="left"/>
    </w:lvl>
    <w:lvl w:ilvl="8" w:tplc="65ACCC46">
      <w:numFmt w:val="decimal"/>
      <w:lvlText w:val=""/>
      <w:lvlJc w:val="left"/>
    </w:lvl>
  </w:abstractNum>
  <w:abstractNum w:abstractNumId="93" w15:restartNumberingAfterBreak="0">
    <w:nsid w:val="7055A5F5"/>
    <w:multiLevelType w:val="hybridMultilevel"/>
    <w:tmpl w:val="5502AAB4"/>
    <w:lvl w:ilvl="0" w:tplc="567651EA">
      <w:start w:val="14"/>
      <w:numFmt w:val="decimal"/>
      <w:lvlText w:val="%1."/>
      <w:lvlJc w:val="left"/>
    </w:lvl>
    <w:lvl w:ilvl="1" w:tplc="FA8C8AEE">
      <w:numFmt w:val="decimal"/>
      <w:lvlText w:val=""/>
      <w:lvlJc w:val="left"/>
    </w:lvl>
    <w:lvl w:ilvl="2" w:tplc="442E14F8">
      <w:numFmt w:val="decimal"/>
      <w:lvlText w:val=""/>
      <w:lvlJc w:val="left"/>
    </w:lvl>
    <w:lvl w:ilvl="3" w:tplc="E93A1230">
      <w:numFmt w:val="decimal"/>
      <w:lvlText w:val=""/>
      <w:lvlJc w:val="left"/>
    </w:lvl>
    <w:lvl w:ilvl="4" w:tplc="3AAEB124">
      <w:numFmt w:val="decimal"/>
      <w:lvlText w:val=""/>
      <w:lvlJc w:val="left"/>
    </w:lvl>
    <w:lvl w:ilvl="5" w:tplc="2E4A4632">
      <w:numFmt w:val="decimal"/>
      <w:lvlText w:val=""/>
      <w:lvlJc w:val="left"/>
    </w:lvl>
    <w:lvl w:ilvl="6" w:tplc="5D40DD2C">
      <w:numFmt w:val="decimal"/>
      <w:lvlText w:val=""/>
      <w:lvlJc w:val="left"/>
    </w:lvl>
    <w:lvl w:ilvl="7" w:tplc="775CA7CE">
      <w:numFmt w:val="decimal"/>
      <w:lvlText w:val=""/>
      <w:lvlJc w:val="left"/>
    </w:lvl>
    <w:lvl w:ilvl="8" w:tplc="09EE4A10">
      <w:numFmt w:val="decimal"/>
      <w:lvlText w:val=""/>
      <w:lvlJc w:val="left"/>
    </w:lvl>
  </w:abstractNum>
  <w:abstractNum w:abstractNumId="94" w15:restartNumberingAfterBreak="0">
    <w:nsid w:val="71C91298"/>
    <w:multiLevelType w:val="hybridMultilevel"/>
    <w:tmpl w:val="7B365A7E"/>
    <w:lvl w:ilvl="0" w:tplc="FBE4024E">
      <w:start w:val="4"/>
      <w:numFmt w:val="decimal"/>
      <w:lvlText w:val="%1."/>
      <w:lvlJc w:val="left"/>
    </w:lvl>
    <w:lvl w:ilvl="1" w:tplc="C45455B2">
      <w:numFmt w:val="decimal"/>
      <w:lvlText w:val=""/>
      <w:lvlJc w:val="left"/>
    </w:lvl>
    <w:lvl w:ilvl="2" w:tplc="E850E45E">
      <w:numFmt w:val="decimal"/>
      <w:lvlText w:val=""/>
      <w:lvlJc w:val="left"/>
    </w:lvl>
    <w:lvl w:ilvl="3" w:tplc="9FFC1B86">
      <w:numFmt w:val="decimal"/>
      <w:lvlText w:val=""/>
      <w:lvlJc w:val="left"/>
    </w:lvl>
    <w:lvl w:ilvl="4" w:tplc="4FE69328">
      <w:numFmt w:val="decimal"/>
      <w:lvlText w:val=""/>
      <w:lvlJc w:val="left"/>
    </w:lvl>
    <w:lvl w:ilvl="5" w:tplc="DF4E7034">
      <w:numFmt w:val="decimal"/>
      <w:lvlText w:val=""/>
      <w:lvlJc w:val="left"/>
    </w:lvl>
    <w:lvl w:ilvl="6" w:tplc="080C0FB6">
      <w:numFmt w:val="decimal"/>
      <w:lvlText w:val=""/>
      <w:lvlJc w:val="left"/>
    </w:lvl>
    <w:lvl w:ilvl="7" w:tplc="29728760">
      <w:numFmt w:val="decimal"/>
      <w:lvlText w:val=""/>
      <w:lvlJc w:val="left"/>
    </w:lvl>
    <w:lvl w:ilvl="8" w:tplc="08EA706A">
      <w:numFmt w:val="decimal"/>
      <w:lvlText w:val=""/>
      <w:lvlJc w:val="left"/>
    </w:lvl>
  </w:abstractNum>
  <w:abstractNum w:abstractNumId="95" w15:restartNumberingAfterBreak="0">
    <w:nsid w:val="71EA1109"/>
    <w:multiLevelType w:val="hybridMultilevel"/>
    <w:tmpl w:val="5282B088"/>
    <w:lvl w:ilvl="0" w:tplc="FCD2961E">
      <w:start w:val="7"/>
      <w:numFmt w:val="decimal"/>
      <w:lvlText w:val="%1."/>
      <w:lvlJc w:val="left"/>
    </w:lvl>
    <w:lvl w:ilvl="1" w:tplc="766804DA">
      <w:numFmt w:val="decimal"/>
      <w:lvlText w:val=""/>
      <w:lvlJc w:val="left"/>
    </w:lvl>
    <w:lvl w:ilvl="2" w:tplc="63040EA6">
      <w:numFmt w:val="decimal"/>
      <w:lvlText w:val=""/>
      <w:lvlJc w:val="left"/>
    </w:lvl>
    <w:lvl w:ilvl="3" w:tplc="4A9465A4">
      <w:numFmt w:val="decimal"/>
      <w:lvlText w:val=""/>
      <w:lvlJc w:val="left"/>
    </w:lvl>
    <w:lvl w:ilvl="4" w:tplc="B29CB270">
      <w:numFmt w:val="decimal"/>
      <w:lvlText w:val=""/>
      <w:lvlJc w:val="left"/>
    </w:lvl>
    <w:lvl w:ilvl="5" w:tplc="F7D4426C">
      <w:numFmt w:val="decimal"/>
      <w:lvlText w:val=""/>
      <w:lvlJc w:val="left"/>
    </w:lvl>
    <w:lvl w:ilvl="6" w:tplc="9408A236">
      <w:numFmt w:val="decimal"/>
      <w:lvlText w:val=""/>
      <w:lvlJc w:val="left"/>
    </w:lvl>
    <w:lvl w:ilvl="7" w:tplc="6BD42C80">
      <w:numFmt w:val="decimal"/>
      <w:lvlText w:val=""/>
      <w:lvlJc w:val="left"/>
    </w:lvl>
    <w:lvl w:ilvl="8" w:tplc="AFCCC1AC">
      <w:numFmt w:val="decimal"/>
      <w:lvlText w:val=""/>
      <w:lvlJc w:val="left"/>
    </w:lvl>
  </w:abstractNum>
  <w:abstractNum w:abstractNumId="96" w15:restartNumberingAfterBreak="0">
    <w:nsid w:val="73A1821B"/>
    <w:multiLevelType w:val="hybridMultilevel"/>
    <w:tmpl w:val="07E8B2D2"/>
    <w:lvl w:ilvl="0" w:tplc="BAF26C72">
      <w:start w:val="1"/>
      <w:numFmt w:val="decimal"/>
      <w:lvlText w:val="%1."/>
      <w:lvlJc w:val="left"/>
    </w:lvl>
    <w:lvl w:ilvl="1" w:tplc="CB9CABC0">
      <w:start w:val="1"/>
      <w:numFmt w:val="decimal"/>
      <w:lvlText w:val="%2"/>
      <w:lvlJc w:val="left"/>
    </w:lvl>
    <w:lvl w:ilvl="2" w:tplc="901C103C">
      <w:numFmt w:val="decimal"/>
      <w:lvlText w:val=""/>
      <w:lvlJc w:val="left"/>
    </w:lvl>
    <w:lvl w:ilvl="3" w:tplc="2DBE16B8">
      <w:numFmt w:val="decimal"/>
      <w:lvlText w:val=""/>
      <w:lvlJc w:val="left"/>
    </w:lvl>
    <w:lvl w:ilvl="4" w:tplc="1204A766">
      <w:numFmt w:val="decimal"/>
      <w:lvlText w:val=""/>
      <w:lvlJc w:val="left"/>
    </w:lvl>
    <w:lvl w:ilvl="5" w:tplc="A88ECEB8">
      <w:numFmt w:val="decimal"/>
      <w:lvlText w:val=""/>
      <w:lvlJc w:val="left"/>
    </w:lvl>
    <w:lvl w:ilvl="6" w:tplc="22A460C0">
      <w:numFmt w:val="decimal"/>
      <w:lvlText w:val=""/>
      <w:lvlJc w:val="left"/>
    </w:lvl>
    <w:lvl w:ilvl="7" w:tplc="030E6FD2">
      <w:numFmt w:val="decimal"/>
      <w:lvlText w:val=""/>
      <w:lvlJc w:val="left"/>
    </w:lvl>
    <w:lvl w:ilvl="8" w:tplc="25F47BDE">
      <w:numFmt w:val="decimal"/>
      <w:lvlText w:val=""/>
      <w:lvlJc w:val="left"/>
    </w:lvl>
  </w:abstractNum>
  <w:abstractNum w:abstractNumId="97" w15:restartNumberingAfterBreak="0">
    <w:nsid w:val="741226BB"/>
    <w:multiLevelType w:val="hybridMultilevel"/>
    <w:tmpl w:val="FB2E97DA"/>
    <w:lvl w:ilvl="0" w:tplc="ED04391A">
      <w:start w:val="1"/>
      <w:numFmt w:val="bullet"/>
      <w:lvlText w:val="*"/>
      <w:lvlJc w:val="left"/>
    </w:lvl>
    <w:lvl w:ilvl="1" w:tplc="F67212EE">
      <w:numFmt w:val="decimal"/>
      <w:lvlText w:val=""/>
      <w:lvlJc w:val="left"/>
    </w:lvl>
    <w:lvl w:ilvl="2" w:tplc="B288A284">
      <w:numFmt w:val="decimal"/>
      <w:lvlText w:val=""/>
      <w:lvlJc w:val="left"/>
    </w:lvl>
    <w:lvl w:ilvl="3" w:tplc="4FDC22EA">
      <w:numFmt w:val="decimal"/>
      <w:lvlText w:val=""/>
      <w:lvlJc w:val="left"/>
    </w:lvl>
    <w:lvl w:ilvl="4" w:tplc="DA0E00B6">
      <w:numFmt w:val="decimal"/>
      <w:lvlText w:val=""/>
      <w:lvlJc w:val="left"/>
    </w:lvl>
    <w:lvl w:ilvl="5" w:tplc="9FD43266">
      <w:numFmt w:val="decimal"/>
      <w:lvlText w:val=""/>
      <w:lvlJc w:val="left"/>
    </w:lvl>
    <w:lvl w:ilvl="6" w:tplc="EEFE09C2">
      <w:numFmt w:val="decimal"/>
      <w:lvlText w:val=""/>
      <w:lvlJc w:val="left"/>
    </w:lvl>
    <w:lvl w:ilvl="7" w:tplc="D672723A">
      <w:numFmt w:val="decimal"/>
      <w:lvlText w:val=""/>
      <w:lvlJc w:val="left"/>
    </w:lvl>
    <w:lvl w:ilvl="8" w:tplc="BC7EA1EE">
      <w:numFmt w:val="decimal"/>
      <w:lvlText w:val=""/>
      <w:lvlJc w:val="left"/>
    </w:lvl>
  </w:abstractNum>
  <w:abstractNum w:abstractNumId="98" w15:restartNumberingAfterBreak="0">
    <w:nsid w:val="74DE0EE3"/>
    <w:multiLevelType w:val="hybridMultilevel"/>
    <w:tmpl w:val="68202054"/>
    <w:lvl w:ilvl="0" w:tplc="9718F678">
      <w:start w:val="4"/>
      <w:numFmt w:val="decimal"/>
      <w:lvlText w:val="%1."/>
      <w:lvlJc w:val="left"/>
    </w:lvl>
    <w:lvl w:ilvl="1" w:tplc="F1A85CFE">
      <w:numFmt w:val="decimal"/>
      <w:lvlText w:val=""/>
      <w:lvlJc w:val="left"/>
    </w:lvl>
    <w:lvl w:ilvl="2" w:tplc="14DA68BC">
      <w:numFmt w:val="decimal"/>
      <w:lvlText w:val=""/>
      <w:lvlJc w:val="left"/>
    </w:lvl>
    <w:lvl w:ilvl="3" w:tplc="7158B44C">
      <w:numFmt w:val="decimal"/>
      <w:lvlText w:val=""/>
      <w:lvlJc w:val="left"/>
    </w:lvl>
    <w:lvl w:ilvl="4" w:tplc="548E3756">
      <w:numFmt w:val="decimal"/>
      <w:lvlText w:val=""/>
      <w:lvlJc w:val="left"/>
    </w:lvl>
    <w:lvl w:ilvl="5" w:tplc="4D44B028">
      <w:numFmt w:val="decimal"/>
      <w:lvlText w:val=""/>
      <w:lvlJc w:val="left"/>
    </w:lvl>
    <w:lvl w:ilvl="6" w:tplc="94201B7C">
      <w:numFmt w:val="decimal"/>
      <w:lvlText w:val=""/>
      <w:lvlJc w:val="left"/>
    </w:lvl>
    <w:lvl w:ilvl="7" w:tplc="E7344C2E">
      <w:numFmt w:val="decimal"/>
      <w:lvlText w:val=""/>
      <w:lvlJc w:val="left"/>
    </w:lvl>
    <w:lvl w:ilvl="8" w:tplc="ED1019A6">
      <w:numFmt w:val="decimal"/>
      <w:lvlText w:val=""/>
      <w:lvlJc w:val="left"/>
    </w:lvl>
  </w:abstractNum>
  <w:abstractNum w:abstractNumId="99" w15:restartNumberingAfterBreak="0">
    <w:nsid w:val="76272110"/>
    <w:multiLevelType w:val="hybridMultilevel"/>
    <w:tmpl w:val="DD9A00B4"/>
    <w:lvl w:ilvl="0" w:tplc="5DF4D2AA">
      <w:start w:val="17"/>
      <w:numFmt w:val="decimal"/>
      <w:lvlText w:val="%1."/>
      <w:lvlJc w:val="left"/>
    </w:lvl>
    <w:lvl w:ilvl="1" w:tplc="4F421992">
      <w:numFmt w:val="decimal"/>
      <w:lvlText w:val=""/>
      <w:lvlJc w:val="left"/>
    </w:lvl>
    <w:lvl w:ilvl="2" w:tplc="422E5006">
      <w:numFmt w:val="decimal"/>
      <w:lvlText w:val=""/>
      <w:lvlJc w:val="left"/>
    </w:lvl>
    <w:lvl w:ilvl="3" w:tplc="8C063302">
      <w:numFmt w:val="decimal"/>
      <w:lvlText w:val=""/>
      <w:lvlJc w:val="left"/>
    </w:lvl>
    <w:lvl w:ilvl="4" w:tplc="542C9F76">
      <w:numFmt w:val="decimal"/>
      <w:lvlText w:val=""/>
      <w:lvlJc w:val="left"/>
    </w:lvl>
    <w:lvl w:ilvl="5" w:tplc="E566046A">
      <w:numFmt w:val="decimal"/>
      <w:lvlText w:val=""/>
      <w:lvlJc w:val="left"/>
    </w:lvl>
    <w:lvl w:ilvl="6" w:tplc="B060C82A">
      <w:numFmt w:val="decimal"/>
      <w:lvlText w:val=""/>
      <w:lvlJc w:val="left"/>
    </w:lvl>
    <w:lvl w:ilvl="7" w:tplc="A2F04042">
      <w:numFmt w:val="decimal"/>
      <w:lvlText w:val=""/>
      <w:lvlJc w:val="left"/>
    </w:lvl>
    <w:lvl w:ilvl="8" w:tplc="94EEE450">
      <w:numFmt w:val="decimal"/>
      <w:lvlText w:val=""/>
      <w:lvlJc w:val="left"/>
    </w:lvl>
  </w:abstractNum>
  <w:abstractNum w:abstractNumId="100" w15:restartNumberingAfterBreak="0">
    <w:nsid w:val="7672BD23"/>
    <w:multiLevelType w:val="hybridMultilevel"/>
    <w:tmpl w:val="EB0271F0"/>
    <w:lvl w:ilvl="0" w:tplc="A412B802">
      <w:start w:val="3"/>
      <w:numFmt w:val="decimal"/>
      <w:lvlText w:val="%1."/>
      <w:lvlJc w:val="left"/>
    </w:lvl>
    <w:lvl w:ilvl="1" w:tplc="AB6E3792">
      <w:numFmt w:val="decimal"/>
      <w:lvlText w:val=""/>
      <w:lvlJc w:val="left"/>
    </w:lvl>
    <w:lvl w:ilvl="2" w:tplc="48DA40BA">
      <w:numFmt w:val="decimal"/>
      <w:lvlText w:val=""/>
      <w:lvlJc w:val="left"/>
    </w:lvl>
    <w:lvl w:ilvl="3" w:tplc="79C85C6E">
      <w:numFmt w:val="decimal"/>
      <w:lvlText w:val=""/>
      <w:lvlJc w:val="left"/>
    </w:lvl>
    <w:lvl w:ilvl="4" w:tplc="5A7CA428">
      <w:numFmt w:val="decimal"/>
      <w:lvlText w:val=""/>
      <w:lvlJc w:val="left"/>
    </w:lvl>
    <w:lvl w:ilvl="5" w:tplc="46409C94">
      <w:numFmt w:val="decimal"/>
      <w:lvlText w:val=""/>
      <w:lvlJc w:val="left"/>
    </w:lvl>
    <w:lvl w:ilvl="6" w:tplc="4180305E">
      <w:numFmt w:val="decimal"/>
      <w:lvlText w:val=""/>
      <w:lvlJc w:val="left"/>
    </w:lvl>
    <w:lvl w:ilvl="7" w:tplc="E766ED46">
      <w:numFmt w:val="decimal"/>
      <w:lvlText w:val=""/>
      <w:lvlJc w:val="left"/>
    </w:lvl>
    <w:lvl w:ilvl="8" w:tplc="1892DA86">
      <w:numFmt w:val="decimal"/>
      <w:lvlText w:val=""/>
      <w:lvlJc w:val="left"/>
    </w:lvl>
  </w:abstractNum>
  <w:abstractNum w:abstractNumId="101" w15:restartNumberingAfterBreak="0">
    <w:nsid w:val="77AE35EB"/>
    <w:multiLevelType w:val="hybridMultilevel"/>
    <w:tmpl w:val="D5FCB4A4"/>
    <w:lvl w:ilvl="0" w:tplc="8B248544">
      <w:start w:val="1"/>
      <w:numFmt w:val="bullet"/>
      <w:lvlText w:val="В"/>
      <w:lvlJc w:val="left"/>
    </w:lvl>
    <w:lvl w:ilvl="1" w:tplc="E7820B54">
      <w:numFmt w:val="decimal"/>
      <w:lvlText w:val=""/>
      <w:lvlJc w:val="left"/>
    </w:lvl>
    <w:lvl w:ilvl="2" w:tplc="ED3E22F0">
      <w:numFmt w:val="decimal"/>
      <w:lvlText w:val=""/>
      <w:lvlJc w:val="left"/>
    </w:lvl>
    <w:lvl w:ilvl="3" w:tplc="C7BAE2B6">
      <w:numFmt w:val="decimal"/>
      <w:lvlText w:val=""/>
      <w:lvlJc w:val="left"/>
    </w:lvl>
    <w:lvl w:ilvl="4" w:tplc="F098A15E">
      <w:numFmt w:val="decimal"/>
      <w:lvlText w:val=""/>
      <w:lvlJc w:val="left"/>
    </w:lvl>
    <w:lvl w:ilvl="5" w:tplc="1144D1D6">
      <w:numFmt w:val="decimal"/>
      <w:lvlText w:val=""/>
      <w:lvlJc w:val="left"/>
    </w:lvl>
    <w:lvl w:ilvl="6" w:tplc="942A8D86">
      <w:numFmt w:val="decimal"/>
      <w:lvlText w:val=""/>
      <w:lvlJc w:val="left"/>
    </w:lvl>
    <w:lvl w:ilvl="7" w:tplc="D9BEE6BA">
      <w:numFmt w:val="decimal"/>
      <w:lvlText w:val=""/>
      <w:lvlJc w:val="left"/>
    </w:lvl>
    <w:lvl w:ilvl="8" w:tplc="F1C82A84">
      <w:numFmt w:val="decimal"/>
      <w:lvlText w:val=""/>
      <w:lvlJc w:val="left"/>
    </w:lvl>
  </w:abstractNum>
  <w:abstractNum w:abstractNumId="102" w15:restartNumberingAfterBreak="0">
    <w:nsid w:val="799D0247"/>
    <w:multiLevelType w:val="hybridMultilevel"/>
    <w:tmpl w:val="EF10E38C"/>
    <w:lvl w:ilvl="0" w:tplc="FDE000C0">
      <w:start w:val="2"/>
      <w:numFmt w:val="decimal"/>
      <w:lvlText w:val="%1."/>
      <w:lvlJc w:val="left"/>
    </w:lvl>
    <w:lvl w:ilvl="1" w:tplc="11DC6F70">
      <w:numFmt w:val="decimal"/>
      <w:lvlText w:val=""/>
      <w:lvlJc w:val="left"/>
    </w:lvl>
    <w:lvl w:ilvl="2" w:tplc="B394D000">
      <w:numFmt w:val="decimal"/>
      <w:lvlText w:val=""/>
      <w:lvlJc w:val="left"/>
    </w:lvl>
    <w:lvl w:ilvl="3" w:tplc="4820675E">
      <w:numFmt w:val="decimal"/>
      <w:lvlText w:val=""/>
      <w:lvlJc w:val="left"/>
    </w:lvl>
    <w:lvl w:ilvl="4" w:tplc="EFB8F170">
      <w:numFmt w:val="decimal"/>
      <w:lvlText w:val=""/>
      <w:lvlJc w:val="left"/>
    </w:lvl>
    <w:lvl w:ilvl="5" w:tplc="E77E7E4A">
      <w:numFmt w:val="decimal"/>
      <w:lvlText w:val=""/>
      <w:lvlJc w:val="left"/>
    </w:lvl>
    <w:lvl w:ilvl="6" w:tplc="414ED1EC">
      <w:numFmt w:val="decimal"/>
      <w:lvlText w:val=""/>
      <w:lvlJc w:val="left"/>
    </w:lvl>
    <w:lvl w:ilvl="7" w:tplc="C77EA032">
      <w:numFmt w:val="decimal"/>
      <w:lvlText w:val=""/>
      <w:lvlJc w:val="left"/>
    </w:lvl>
    <w:lvl w:ilvl="8" w:tplc="4D9CB010">
      <w:numFmt w:val="decimal"/>
      <w:lvlText w:val=""/>
      <w:lvlJc w:val="left"/>
    </w:lvl>
  </w:abstractNum>
  <w:abstractNum w:abstractNumId="103" w15:restartNumberingAfterBreak="0">
    <w:nsid w:val="7BD3EE7B"/>
    <w:multiLevelType w:val="hybridMultilevel"/>
    <w:tmpl w:val="C30E9DE6"/>
    <w:lvl w:ilvl="0" w:tplc="F65E1D94">
      <w:start w:val="12"/>
      <w:numFmt w:val="decimal"/>
      <w:lvlText w:val="%1."/>
      <w:lvlJc w:val="left"/>
    </w:lvl>
    <w:lvl w:ilvl="1" w:tplc="320AFF80">
      <w:numFmt w:val="decimal"/>
      <w:lvlText w:val=""/>
      <w:lvlJc w:val="left"/>
    </w:lvl>
    <w:lvl w:ilvl="2" w:tplc="9C18C790">
      <w:numFmt w:val="decimal"/>
      <w:lvlText w:val=""/>
      <w:lvlJc w:val="left"/>
    </w:lvl>
    <w:lvl w:ilvl="3" w:tplc="93829118">
      <w:numFmt w:val="decimal"/>
      <w:lvlText w:val=""/>
      <w:lvlJc w:val="left"/>
    </w:lvl>
    <w:lvl w:ilvl="4" w:tplc="D864FE6A">
      <w:numFmt w:val="decimal"/>
      <w:lvlText w:val=""/>
      <w:lvlJc w:val="left"/>
    </w:lvl>
    <w:lvl w:ilvl="5" w:tplc="ADA0605E">
      <w:numFmt w:val="decimal"/>
      <w:lvlText w:val=""/>
      <w:lvlJc w:val="left"/>
    </w:lvl>
    <w:lvl w:ilvl="6" w:tplc="8740039E">
      <w:numFmt w:val="decimal"/>
      <w:lvlText w:val=""/>
      <w:lvlJc w:val="left"/>
    </w:lvl>
    <w:lvl w:ilvl="7" w:tplc="2A264EA4">
      <w:numFmt w:val="decimal"/>
      <w:lvlText w:val=""/>
      <w:lvlJc w:val="left"/>
    </w:lvl>
    <w:lvl w:ilvl="8" w:tplc="71761706">
      <w:numFmt w:val="decimal"/>
      <w:lvlText w:val=""/>
      <w:lvlJc w:val="left"/>
    </w:lvl>
  </w:abstractNum>
  <w:abstractNum w:abstractNumId="104" w15:restartNumberingAfterBreak="0">
    <w:nsid w:val="7D5E18F8"/>
    <w:multiLevelType w:val="hybridMultilevel"/>
    <w:tmpl w:val="E9CE1F6E"/>
    <w:lvl w:ilvl="0" w:tplc="40A41D76">
      <w:start w:val="1"/>
      <w:numFmt w:val="bullet"/>
      <w:lvlText w:val="•"/>
      <w:lvlJc w:val="left"/>
    </w:lvl>
    <w:lvl w:ilvl="1" w:tplc="78A4B082">
      <w:numFmt w:val="decimal"/>
      <w:lvlText w:val=""/>
      <w:lvlJc w:val="left"/>
    </w:lvl>
    <w:lvl w:ilvl="2" w:tplc="F802E72A">
      <w:numFmt w:val="decimal"/>
      <w:lvlText w:val=""/>
      <w:lvlJc w:val="left"/>
    </w:lvl>
    <w:lvl w:ilvl="3" w:tplc="F0E2A86C">
      <w:numFmt w:val="decimal"/>
      <w:lvlText w:val=""/>
      <w:lvlJc w:val="left"/>
    </w:lvl>
    <w:lvl w:ilvl="4" w:tplc="AAB6978E">
      <w:numFmt w:val="decimal"/>
      <w:lvlText w:val=""/>
      <w:lvlJc w:val="left"/>
    </w:lvl>
    <w:lvl w:ilvl="5" w:tplc="8D28AB16">
      <w:numFmt w:val="decimal"/>
      <w:lvlText w:val=""/>
      <w:lvlJc w:val="left"/>
    </w:lvl>
    <w:lvl w:ilvl="6" w:tplc="D6786B0C">
      <w:numFmt w:val="decimal"/>
      <w:lvlText w:val=""/>
      <w:lvlJc w:val="left"/>
    </w:lvl>
    <w:lvl w:ilvl="7" w:tplc="21BEFCD8">
      <w:numFmt w:val="decimal"/>
      <w:lvlText w:val=""/>
      <w:lvlJc w:val="left"/>
    </w:lvl>
    <w:lvl w:ilvl="8" w:tplc="AB3A839A">
      <w:numFmt w:val="decimal"/>
      <w:lvlText w:val=""/>
      <w:lvlJc w:val="left"/>
    </w:lvl>
  </w:abstractNum>
  <w:abstractNum w:abstractNumId="105" w15:restartNumberingAfterBreak="0">
    <w:nsid w:val="7DE67713"/>
    <w:multiLevelType w:val="hybridMultilevel"/>
    <w:tmpl w:val="90B2A548"/>
    <w:lvl w:ilvl="0" w:tplc="6BBA3560">
      <w:start w:val="2"/>
      <w:numFmt w:val="decimal"/>
      <w:lvlText w:val="%1."/>
      <w:lvlJc w:val="left"/>
    </w:lvl>
    <w:lvl w:ilvl="1" w:tplc="36662DB2">
      <w:numFmt w:val="decimal"/>
      <w:lvlText w:val=""/>
      <w:lvlJc w:val="left"/>
    </w:lvl>
    <w:lvl w:ilvl="2" w:tplc="4C5A6FFC">
      <w:numFmt w:val="decimal"/>
      <w:lvlText w:val=""/>
      <w:lvlJc w:val="left"/>
    </w:lvl>
    <w:lvl w:ilvl="3" w:tplc="8C2E45DE">
      <w:numFmt w:val="decimal"/>
      <w:lvlText w:val=""/>
      <w:lvlJc w:val="left"/>
    </w:lvl>
    <w:lvl w:ilvl="4" w:tplc="DB92FA30">
      <w:numFmt w:val="decimal"/>
      <w:lvlText w:val=""/>
      <w:lvlJc w:val="left"/>
    </w:lvl>
    <w:lvl w:ilvl="5" w:tplc="84900E64">
      <w:numFmt w:val="decimal"/>
      <w:lvlText w:val=""/>
      <w:lvlJc w:val="left"/>
    </w:lvl>
    <w:lvl w:ilvl="6" w:tplc="7500E4D4">
      <w:numFmt w:val="decimal"/>
      <w:lvlText w:val=""/>
      <w:lvlJc w:val="left"/>
    </w:lvl>
    <w:lvl w:ilvl="7" w:tplc="3AF8A6D2">
      <w:numFmt w:val="decimal"/>
      <w:lvlText w:val=""/>
      <w:lvlJc w:val="left"/>
    </w:lvl>
    <w:lvl w:ilvl="8" w:tplc="6AC0E38E">
      <w:numFmt w:val="decimal"/>
      <w:lvlText w:val=""/>
      <w:lvlJc w:val="left"/>
    </w:lvl>
  </w:abstractNum>
  <w:abstractNum w:abstractNumId="106" w15:restartNumberingAfterBreak="0">
    <w:nsid w:val="7E0C57B1"/>
    <w:multiLevelType w:val="hybridMultilevel"/>
    <w:tmpl w:val="FDBCDBCA"/>
    <w:lvl w:ilvl="0" w:tplc="94B42600">
      <w:start w:val="1"/>
      <w:numFmt w:val="bullet"/>
      <w:lvlText w:val="***"/>
      <w:lvlJc w:val="left"/>
    </w:lvl>
    <w:lvl w:ilvl="1" w:tplc="37540CB8">
      <w:numFmt w:val="decimal"/>
      <w:lvlText w:val=""/>
      <w:lvlJc w:val="left"/>
    </w:lvl>
    <w:lvl w:ilvl="2" w:tplc="3E6C070A">
      <w:numFmt w:val="decimal"/>
      <w:lvlText w:val=""/>
      <w:lvlJc w:val="left"/>
    </w:lvl>
    <w:lvl w:ilvl="3" w:tplc="854E92CC">
      <w:numFmt w:val="decimal"/>
      <w:lvlText w:val=""/>
      <w:lvlJc w:val="left"/>
    </w:lvl>
    <w:lvl w:ilvl="4" w:tplc="01E8A424">
      <w:numFmt w:val="decimal"/>
      <w:lvlText w:val=""/>
      <w:lvlJc w:val="left"/>
    </w:lvl>
    <w:lvl w:ilvl="5" w:tplc="A6D49728">
      <w:numFmt w:val="decimal"/>
      <w:lvlText w:val=""/>
      <w:lvlJc w:val="left"/>
    </w:lvl>
    <w:lvl w:ilvl="6" w:tplc="555AC9AA">
      <w:numFmt w:val="decimal"/>
      <w:lvlText w:val=""/>
      <w:lvlJc w:val="left"/>
    </w:lvl>
    <w:lvl w:ilvl="7" w:tplc="1DDE47DE">
      <w:numFmt w:val="decimal"/>
      <w:lvlText w:val=""/>
      <w:lvlJc w:val="left"/>
    </w:lvl>
    <w:lvl w:ilvl="8" w:tplc="6A6064AE">
      <w:numFmt w:val="decimal"/>
      <w:lvlText w:val=""/>
      <w:lvlJc w:val="left"/>
    </w:lvl>
  </w:abstractNum>
  <w:abstractNum w:abstractNumId="107" w15:restartNumberingAfterBreak="0">
    <w:nsid w:val="7F01579B"/>
    <w:multiLevelType w:val="hybridMultilevel"/>
    <w:tmpl w:val="38129BAC"/>
    <w:lvl w:ilvl="0" w:tplc="984288FA">
      <w:start w:val="12"/>
      <w:numFmt w:val="decimal"/>
      <w:lvlText w:val="%1."/>
      <w:lvlJc w:val="left"/>
    </w:lvl>
    <w:lvl w:ilvl="1" w:tplc="4B600D34">
      <w:numFmt w:val="decimal"/>
      <w:lvlText w:val=""/>
      <w:lvlJc w:val="left"/>
    </w:lvl>
    <w:lvl w:ilvl="2" w:tplc="CB7C07D4">
      <w:numFmt w:val="decimal"/>
      <w:lvlText w:val=""/>
      <w:lvlJc w:val="left"/>
    </w:lvl>
    <w:lvl w:ilvl="3" w:tplc="88940CC0">
      <w:numFmt w:val="decimal"/>
      <w:lvlText w:val=""/>
      <w:lvlJc w:val="left"/>
    </w:lvl>
    <w:lvl w:ilvl="4" w:tplc="A1DCDF54">
      <w:numFmt w:val="decimal"/>
      <w:lvlText w:val=""/>
      <w:lvlJc w:val="left"/>
    </w:lvl>
    <w:lvl w:ilvl="5" w:tplc="35D80766">
      <w:numFmt w:val="decimal"/>
      <w:lvlText w:val=""/>
      <w:lvlJc w:val="left"/>
    </w:lvl>
    <w:lvl w:ilvl="6" w:tplc="4ADC709E">
      <w:numFmt w:val="decimal"/>
      <w:lvlText w:val=""/>
      <w:lvlJc w:val="left"/>
    </w:lvl>
    <w:lvl w:ilvl="7" w:tplc="D65E62AA">
      <w:numFmt w:val="decimal"/>
      <w:lvlText w:val=""/>
      <w:lvlJc w:val="left"/>
    </w:lvl>
    <w:lvl w:ilvl="8" w:tplc="7FF0B498">
      <w:numFmt w:val="decimal"/>
      <w:lvlText w:val=""/>
      <w:lvlJc w:val="left"/>
    </w:lvl>
  </w:abstractNum>
  <w:abstractNum w:abstractNumId="108" w15:restartNumberingAfterBreak="0">
    <w:nsid w:val="7FB7E0AA"/>
    <w:multiLevelType w:val="hybridMultilevel"/>
    <w:tmpl w:val="F0FEE304"/>
    <w:lvl w:ilvl="0" w:tplc="C5E2F65C">
      <w:start w:val="10"/>
      <w:numFmt w:val="decimal"/>
      <w:lvlText w:val="%1."/>
      <w:lvlJc w:val="left"/>
    </w:lvl>
    <w:lvl w:ilvl="1" w:tplc="AB72C826">
      <w:numFmt w:val="decimal"/>
      <w:lvlText w:val=""/>
      <w:lvlJc w:val="left"/>
    </w:lvl>
    <w:lvl w:ilvl="2" w:tplc="E0D26D6C">
      <w:numFmt w:val="decimal"/>
      <w:lvlText w:val=""/>
      <w:lvlJc w:val="left"/>
    </w:lvl>
    <w:lvl w:ilvl="3" w:tplc="2220AC5A">
      <w:numFmt w:val="decimal"/>
      <w:lvlText w:val=""/>
      <w:lvlJc w:val="left"/>
    </w:lvl>
    <w:lvl w:ilvl="4" w:tplc="6972DBAA">
      <w:numFmt w:val="decimal"/>
      <w:lvlText w:val=""/>
      <w:lvlJc w:val="left"/>
    </w:lvl>
    <w:lvl w:ilvl="5" w:tplc="BDDE6556">
      <w:numFmt w:val="decimal"/>
      <w:lvlText w:val=""/>
      <w:lvlJc w:val="left"/>
    </w:lvl>
    <w:lvl w:ilvl="6" w:tplc="0E00548E">
      <w:numFmt w:val="decimal"/>
      <w:lvlText w:val=""/>
      <w:lvlJc w:val="left"/>
    </w:lvl>
    <w:lvl w:ilvl="7" w:tplc="35B829D0">
      <w:numFmt w:val="decimal"/>
      <w:lvlText w:val=""/>
      <w:lvlJc w:val="left"/>
    </w:lvl>
    <w:lvl w:ilvl="8" w:tplc="8B1AE65E">
      <w:numFmt w:val="decimal"/>
      <w:lvlText w:val=""/>
      <w:lvlJc w:val="left"/>
    </w:lvl>
  </w:abstractNum>
  <w:abstractNum w:abstractNumId="109" w15:restartNumberingAfterBreak="0">
    <w:nsid w:val="7FFFCA11"/>
    <w:multiLevelType w:val="hybridMultilevel"/>
    <w:tmpl w:val="C4404278"/>
    <w:lvl w:ilvl="0" w:tplc="7CD2FCE4">
      <w:start w:val="5"/>
      <w:numFmt w:val="decimal"/>
      <w:lvlText w:val="%1."/>
      <w:lvlJc w:val="left"/>
    </w:lvl>
    <w:lvl w:ilvl="1" w:tplc="4D52B422">
      <w:numFmt w:val="decimal"/>
      <w:lvlText w:val=""/>
      <w:lvlJc w:val="left"/>
    </w:lvl>
    <w:lvl w:ilvl="2" w:tplc="2B522C0A">
      <w:numFmt w:val="decimal"/>
      <w:lvlText w:val=""/>
      <w:lvlJc w:val="left"/>
    </w:lvl>
    <w:lvl w:ilvl="3" w:tplc="DD58FE36">
      <w:numFmt w:val="decimal"/>
      <w:lvlText w:val=""/>
      <w:lvlJc w:val="left"/>
    </w:lvl>
    <w:lvl w:ilvl="4" w:tplc="EFE6DD3E">
      <w:numFmt w:val="decimal"/>
      <w:lvlText w:val=""/>
      <w:lvlJc w:val="left"/>
    </w:lvl>
    <w:lvl w:ilvl="5" w:tplc="173C9652">
      <w:numFmt w:val="decimal"/>
      <w:lvlText w:val=""/>
      <w:lvlJc w:val="left"/>
    </w:lvl>
    <w:lvl w:ilvl="6" w:tplc="439ABBD2">
      <w:numFmt w:val="decimal"/>
      <w:lvlText w:val=""/>
      <w:lvlJc w:val="left"/>
    </w:lvl>
    <w:lvl w:ilvl="7" w:tplc="168C60EE">
      <w:numFmt w:val="decimal"/>
      <w:lvlText w:val=""/>
      <w:lvlJc w:val="left"/>
    </w:lvl>
    <w:lvl w:ilvl="8" w:tplc="17209262">
      <w:numFmt w:val="decimal"/>
      <w:lvlText w:val=""/>
      <w:lvlJc w:val="left"/>
    </w:lvl>
  </w:abstractNum>
  <w:num w:numId="1">
    <w:abstractNumId w:val="36"/>
  </w:num>
  <w:num w:numId="2">
    <w:abstractNumId w:val="83"/>
  </w:num>
  <w:num w:numId="3">
    <w:abstractNumId w:val="39"/>
  </w:num>
  <w:num w:numId="4">
    <w:abstractNumId w:val="47"/>
  </w:num>
  <w:num w:numId="5">
    <w:abstractNumId w:val="28"/>
  </w:num>
  <w:num w:numId="6">
    <w:abstractNumId w:val="25"/>
  </w:num>
  <w:num w:numId="7">
    <w:abstractNumId w:val="35"/>
  </w:num>
  <w:num w:numId="8">
    <w:abstractNumId w:val="56"/>
  </w:num>
  <w:num w:numId="9">
    <w:abstractNumId w:val="46"/>
  </w:num>
  <w:num w:numId="10">
    <w:abstractNumId w:val="22"/>
  </w:num>
  <w:num w:numId="11">
    <w:abstractNumId w:val="97"/>
  </w:num>
  <w:num w:numId="12">
    <w:abstractNumId w:val="12"/>
  </w:num>
  <w:num w:numId="13">
    <w:abstractNumId w:val="15"/>
  </w:num>
  <w:num w:numId="14">
    <w:abstractNumId w:val="50"/>
  </w:num>
  <w:num w:numId="15">
    <w:abstractNumId w:val="82"/>
  </w:num>
  <w:num w:numId="16">
    <w:abstractNumId w:val="106"/>
  </w:num>
  <w:num w:numId="17">
    <w:abstractNumId w:val="101"/>
  </w:num>
  <w:num w:numId="18">
    <w:abstractNumId w:val="69"/>
  </w:num>
  <w:num w:numId="19">
    <w:abstractNumId w:val="44"/>
  </w:num>
  <w:num w:numId="20">
    <w:abstractNumId w:val="78"/>
  </w:num>
  <w:num w:numId="21">
    <w:abstractNumId w:val="43"/>
  </w:num>
  <w:num w:numId="22">
    <w:abstractNumId w:val="37"/>
  </w:num>
  <w:num w:numId="23">
    <w:abstractNumId w:val="31"/>
  </w:num>
  <w:num w:numId="24">
    <w:abstractNumId w:val="61"/>
  </w:num>
  <w:num w:numId="25">
    <w:abstractNumId w:val="33"/>
  </w:num>
  <w:num w:numId="26">
    <w:abstractNumId w:val="17"/>
  </w:num>
  <w:num w:numId="27">
    <w:abstractNumId w:val="72"/>
  </w:num>
  <w:num w:numId="28">
    <w:abstractNumId w:val="14"/>
  </w:num>
  <w:num w:numId="29">
    <w:abstractNumId w:val="84"/>
  </w:num>
  <w:num w:numId="30">
    <w:abstractNumId w:val="21"/>
  </w:num>
  <w:num w:numId="31">
    <w:abstractNumId w:val="75"/>
  </w:num>
  <w:num w:numId="32">
    <w:abstractNumId w:val="7"/>
  </w:num>
  <w:num w:numId="33">
    <w:abstractNumId w:val="102"/>
  </w:num>
  <w:num w:numId="34">
    <w:abstractNumId w:val="3"/>
  </w:num>
  <w:num w:numId="35">
    <w:abstractNumId w:val="53"/>
  </w:num>
  <w:num w:numId="36">
    <w:abstractNumId w:val="23"/>
  </w:num>
  <w:num w:numId="37">
    <w:abstractNumId w:val="32"/>
  </w:num>
  <w:num w:numId="38">
    <w:abstractNumId w:val="85"/>
  </w:num>
  <w:num w:numId="39">
    <w:abstractNumId w:val="73"/>
  </w:num>
  <w:num w:numId="40">
    <w:abstractNumId w:val="67"/>
  </w:num>
  <w:num w:numId="41">
    <w:abstractNumId w:val="103"/>
  </w:num>
  <w:num w:numId="42">
    <w:abstractNumId w:val="65"/>
  </w:num>
  <w:num w:numId="43">
    <w:abstractNumId w:val="81"/>
  </w:num>
  <w:num w:numId="44">
    <w:abstractNumId w:val="10"/>
  </w:num>
  <w:num w:numId="45">
    <w:abstractNumId w:val="16"/>
  </w:num>
  <w:num w:numId="46">
    <w:abstractNumId w:val="52"/>
  </w:num>
  <w:num w:numId="47">
    <w:abstractNumId w:val="9"/>
  </w:num>
  <w:num w:numId="48">
    <w:abstractNumId w:val="5"/>
  </w:num>
  <w:num w:numId="49">
    <w:abstractNumId w:val="27"/>
  </w:num>
  <w:num w:numId="50">
    <w:abstractNumId w:val="49"/>
  </w:num>
  <w:num w:numId="51">
    <w:abstractNumId w:val="86"/>
  </w:num>
  <w:num w:numId="52">
    <w:abstractNumId w:val="57"/>
  </w:num>
  <w:num w:numId="53">
    <w:abstractNumId w:val="79"/>
  </w:num>
  <w:num w:numId="54">
    <w:abstractNumId w:val="2"/>
  </w:num>
  <w:num w:numId="55">
    <w:abstractNumId w:val="18"/>
  </w:num>
  <w:num w:numId="56">
    <w:abstractNumId w:val="109"/>
  </w:num>
  <w:num w:numId="57">
    <w:abstractNumId w:val="26"/>
  </w:num>
  <w:num w:numId="58">
    <w:abstractNumId w:val="95"/>
  </w:num>
  <w:num w:numId="59">
    <w:abstractNumId w:val="13"/>
  </w:num>
  <w:num w:numId="60">
    <w:abstractNumId w:val="108"/>
  </w:num>
  <w:num w:numId="61">
    <w:abstractNumId w:val="4"/>
  </w:num>
  <w:num w:numId="62">
    <w:abstractNumId w:val="91"/>
  </w:num>
  <w:num w:numId="63">
    <w:abstractNumId w:val="6"/>
  </w:num>
  <w:num w:numId="64">
    <w:abstractNumId w:val="0"/>
  </w:num>
  <w:num w:numId="65">
    <w:abstractNumId w:val="99"/>
  </w:num>
  <w:num w:numId="66">
    <w:abstractNumId w:val="62"/>
  </w:num>
  <w:num w:numId="67">
    <w:abstractNumId w:val="24"/>
  </w:num>
  <w:num w:numId="68">
    <w:abstractNumId w:val="19"/>
  </w:num>
  <w:num w:numId="69">
    <w:abstractNumId w:val="45"/>
  </w:num>
  <w:num w:numId="70">
    <w:abstractNumId w:val="98"/>
  </w:num>
  <w:num w:numId="71">
    <w:abstractNumId w:val="87"/>
  </w:num>
  <w:num w:numId="72">
    <w:abstractNumId w:val="42"/>
  </w:num>
  <w:num w:numId="73">
    <w:abstractNumId w:val="55"/>
  </w:num>
  <w:num w:numId="74">
    <w:abstractNumId w:val="60"/>
  </w:num>
  <w:num w:numId="75">
    <w:abstractNumId w:val="48"/>
  </w:num>
  <w:num w:numId="76">
    <w:abstractNumId w:val="70"/>
  </w:num>
  <w:num w:numId="77">
    <w:abstractNumId w:val="11"/>
  </w:num>
  <w:num w:numId="78">
    <w:abstractNumId w:val="54"/>
  </w:num>
  <w:num w:numId="79">
    <w:abstractNumId w:val="80"/>
  </w:num>
  <w:num w:numId="80">
    <w:abstractNumId w:val="38"/>
  </w:num>
  <w:num w:numId="81">
    <w:abstractNumId w:val="107"/>
  </w:num>
  <w:num w:numId="82">
    <w:abstractNumId w:val="58"/>
  </w:num>
  <w:num w:numId="83">
    <w:abstractNumId w:val="93"/>
  </w:num>
  <w:num w:numId="84">
    <w:abstractNumId w:val="77"/>
  </w:num>
  <w:num w:numId="85">
    <w:abstractNumId w:val="63"/>
  </w:num>
  <w:num w:numId="86">
    <w:abstractNumId w:val="1"/>
  </w:num>
  <w:num w:numId="87">
    <w:abstractNumId w:val="76"/>
  </w:num>
  <w:num w:numId="88">
    <w:abstractNumId w:val="90"/>
  </w:num>
  <w:num w:numId="89">
    <w:abstractNumId w:val="100"/>
  </w:num>
  <w:num w:numId="90">
    <w:abstractNumId w:val="92"/>
  </w:num>
  <w:num w:numId="91">
    <w:abstractNumId w:val="89"/>
  </w:num>
  <w:num w:numId="92">
    <w:abstractNumId w:val="104"/>
  </w:num>
  <w:num w:numId="93">
    <w:abstractNumId w:val="74"/>
  </w:num>
  <w:num w:numId="94">
    <w:abstractNumId w:val="96"/>
  </w:num>
  <w:num w:numId="95">
    <w:abstractNumId w:val="105"/>
  </w:num>
  <w:num w:numId="96">
    <w:abstractNumId w:val="68"/>
  </w:num>
  <w:num w:numId="97">
    <w:abstractNumId w:val="51"/>
  </w:num>
  <w:num w:numId="98">
    <w:abstractNumId w:val="20"/>
  </w:num>
  <w:num w:numId="99">
    <w:abstractNumId w:val="88"/>
  </w:num>
  <w:num w:numId="100">
    <w:abstractNumId w:val="94"/>
  </w:num>
  <w:num w:numId="101">
    <w:abstractNumId w:val="8"/>
  </w:num>
  <w:num w:numId="102">
    <w:abstractNumId w:val="66"/>
  </w:num>
  <w:num w:numId="103">
    <w:abstractNumId w:val="34"/>
  </w:num>
  <w:num w:numId="104">
    <w:abstractNumId w:val="64"/>
  </w:num>
  <w:num w:numId="105">
    <w:abstractNumId w:val="29"/>
  </w:num>
  <w:num w:numId="106">
    <w:abstractNumId w:val="71"/>
  </w:num>
  <w:num w:numId="107">
    <w:abstractNumId w:val="40"/>
  </w:num>
  <w:num w:numId="108">
    <w:abstractNumId w:val="41"/>
  </w:num>
  <w:num w:numId="109">
    <w:abstractNumId w:val="30"/>
  </w:num>
  <w:num w:numId="110">
    <w:abstractNumId w:val="5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61"/>
    <w:rsid w:val="00007066"/>
    <w:rsid w:val="000336B1"/>
    <w:rsid w:val="00060ABE"/>
    <w:rsid w:val="00095651"/>
    <w:rsid w:val="000C545C"/>
    <w:rsid w:val="000D52CB"/>
    <w:rsid w:val="00142EB1"/>
    <w:rsid w:val="00173AEA"/>
    <w:rsid w:val="001E6C43"/>
    <w:rsid w:val="0020575B"/>
    <w:rsid w:val="002239D4"/>
    <w:rsid w:val="00255C3B"/>
    <w:rsid w:val="00276926"/>
    <w:rsid w:val="002F5DAE"/>
    <w:rsid w:val="002F78F4"/>
    <w:rsid w:val="00301D1A"/>
    <w:rsid w:val="003039DE"/>
    <w:rsid w:val="00340D47"/>
    <w:rsid w:val="0038500A"/>
    <w:rsid w:val="004406A3"/>
    <w:rsid w:val="004A14D0"/>
    <w:rsid w:val="004C1E81"/>
    <w:rsid w:val="00533955"/>
    <w:rsid w:val="00566CAC"/>
    <w:rsid w:val="0057047F"/>
    <w:rsid w:val="0057496E"/>
    <w:rsid w:val="005C39D6"/>
    <w:rsid w:val="00600A6F"/>
    <w:rsid w:val="006150C8"/>
    <w:rsid w:val="006319A5"/>
    <w:rsid w:val="006A6CA4"/>
    <w:rsid w:val="006E6F39"/>
    <w:rsid w:val="006F57DC"/>
    <w:rsid w:val="0070086C"/>
    <w:rsid w:val="00742290"/>
    <w:rsid w:val="0075195B"/>
    <w:rsid w:val="00812217"/>
    <w:rsid w:val="00817C56"/>
    <w:rsid w:val="00836303"/>
    <w:rsid w:val="00877D9A"/>
    <w:rsid w:val="00890900"/>
    <w:rsid w:val="008D5A89"/>
    <w:rsid w:val="0097350A"/>
    <w:rsid w:val="00992061"/>
    <w:rsid w:val="00A05772"/>
    <w:rsid w:val="00A712CC"/>
    <w:rsid w:val="00AE56ED"/>
    <w:rsid w:val="00AF0AA0"/>
    <w:rsid w:val="00B37830"/>
    <w:rsid w:val="00B57F4B"/>
    <w:rsid w:val="00BB0FDD"/>
    <w:rsid w:val="00C3362F"/>
    <w:rsid w:val="00C62915"/>
    <w:rsid w:val="00CB4984"/>
    <w:rsid w:val="00D11D35"/>
    <w:rsid w:val="00D1402E"/>
    <w:rsid w:val="00D532E2"/>
    <w:rsid w:val="00DB73CD"/>
    <w:rsid w:val="00DF57C5"/>
    <w:rsid w:val="00FC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C364"/>
  <w15:docId w15:val="{EA2D0FA9-FC66-4C60-B173-D36C435C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217"/>
    <w:rPr>
      <w:color w:val="0563C1" w:themeColor="hyperlink"/>
      <w:u w:val="single"/>
    </w:rPr>
  </w:style>
  <w:style w:type="character" w:styleId="CommentReference">
    <w:name w:val="annotation reference"/>
    <w:basedOn w:val="DefaultParagraphFont"/>
    <w:uiPriority w:val="99"/>
    <w:semiHidden/>
    <w:unhideWhenUsed/>
    <w:rsid w:val="00CB4984"/>
    <w:rPr>
      <w:sz w:val="16"/>
      <w:szCs w:val="16"/>
    </w:rPr>
  </w:style>
  <w:style w:type="paragraph" w:styleId="CommentText">
    <w:name w:val="annotation text"/>
    <w:basedOn w:val="Normal"/>
    <w:link w:val="CommentTextChar"/>
    <w:uiPriority w:val="99"/>
    <w:semiHidden/>
    <w:unhideWhenUsed/>
    <w:rsid w:val="00CB4984"/>
    <w:rPr>
      <w:sz w:val="20"/>
      <w:szCs w:val="20"/>
    </w:rPr>
  </w:style>
  <w:style w:type="character" w:customStyle="1" w:styleId="CommentTextChar">
    <w:name w:val="Comment Text Char"/>
    <w:basedOn w:val="DefaultParagraphFont"/>
    <w:link w:val="CommentText"/>
    <w:uiPriority w:val="99"/>
    <w:semiHidden/>
    <w:rsid w:val="00CB4984"/>
    <w:rPr>
      <w:sz w:val="20"/>
      <w:szCs w:val="20"/>
    </w:rPr>
  </w:style>
  <w:style w:type="paragraph" w:styleId="CommentSubject">
    <w:name w:val="annotation subject"/>
    <w:basedOn w:val="CommentText"/>
    <w:next w:val="CommentText"/>
    <w:link w:val="CommentSubjectChar"/>
    <w:uiPriority w:val="99"/>
    <w:semiHidden/>
    <w:unhideWhenUsed/>
    <w:rsid w:val="00CB4984"/>
    <w:rPr>
      <w:b/>
      <w:bCs/>
    </w:rPr>
  </w:style>
  <w:style w:type="character" w:customStyle="1" w:styleId="CommentSubjectChar">
    <w:name w:val="Comment Subject Char"/>
    <w:basedOn w:val="CommentTextChar"/>
    <w:link w:val="CommentSubject"/>
    <w:uiPriority w:val="99"/>
    <w:semiHidden/>
    <w:rsid w:val="00CB4984"/>
    <w:rPr>
      <w:b/>
      <w:bCs/>
      <w:sz w:val="20"/>
      <w:szCs w:val="20"/>
    </w:rPr>
  </w:style>
  <w:style w:type="paragraph" w:styleId="BalloonText">
    <w:name w:val="Balloon Text"/>
    <w:basedOn w:val="Normal"/>
    <w:link w:val="BalloonTextChar"/>
    <w:uiPriority w:val="99"/>
    <w:semiHidden/>
    <w:unhideWhenUsed/>
    <w:rsid w:val="00CB4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984"/>
    <w:rPr>
      <w:rFonts w:ascii="Segoe UI" w:hAnsi="Segoe UI" w:cs="Segoe UI"/>
      <w:sz w:val="18"/>
      <w:szCs w:val="18"/>
    </w:rPr>
  </w:style>
  <w:style w:type="paragraph" w:styleId="ListParagraph">
    <w:name w:val="List Paragraph"/>
    <w:basedOn w:val="Normal"/>
    <w:uiPriority w:val="34"/>
    <w:qFormat/>
    <w:rsid w:val="00CB4984"/>
    <w:pPr>
      <w:ind w:left="720"/>
      <w:contextualSpacing/>
    </w:pPr>
  </w:style>
  <w:style w:type="paragraph" w:styleId="Header">
    <w:name w:val="header"/>
    <w:basedOn w:val="Normal"/>
    <w:link w:val="HeaderChar"/>
    <w:uiPriority w:val="99"/>
    <w:unhideWhenUsed/>
    <w:rsid w:val="00742290"/>
    <w:pPr>
      <w:tabs>
        <w:tab w:val="center" w:pos="4536"/>
        <w:tab w:val="right" w:pos="9072"/>
      </w:tabs>
    </w:pPr>
  </w:style>
  <w:style w:type="character" w:customStyle="1" w:styleId="HeaderChar">
    <w:name w:val="Header Char"/>
    <w:basedOn w:val="DefaultParagraphFont"/>
    <w:link w:val="Header"/>
    <w:uiPriority w:val="99"/>
    <w:rsid w:val="00742290"/>
  </w:style>
  <w:style w:type="paragraph" w:styleId="Footer">
    <w:name w:val="footer"/>
    <w:basedOn w:val="Normal"/>
    <w:link w:val="FooterChar"/>
    <w:uiPriority w:val="99"/>
    <w:unhideWhenUsed/>
    <w:rsid w:val="00742290"/>
    <w:pPr>
      <w:tabs>
        <w:tab w:val="center" w:pos="4536"/>
        <w:tab w:val="right" w:pos="9072"/>
      </w:tabs>
    </w:pPr>
  </w:style>
  <w:style w:type="character" w:customStyle="1" w:styleId="FooterChar">
    <w:name w:val="Footer Char"/>
    <w:basedOn w:val="DefaultParagraphFont"/>
    <w:link w:val="Footer"/>
    <w:uiPriority w:val="99"/>
    <w:rsid w:val="00742290"/>
  </w:style>
  <w:style w:type="paragraph" w:styleId="Caption">
    <w:name w:val="caption"/>
    <w:basedOn w:val="Normal"/>
    <w:next w:val="Normal"/>
    <w:qFormat/>
    <w:rsid w:val="0038500A"/>
    <w:pPr>
      <w:tabs>
        <w:tab w:val="left" w:pos="1134"/>
      </w:tabs>
      <w:spacing w:line="260" w:lineRule="exact"/>
      <w:ind w:left="1077" w:hanging="1134"/>
      <w:jc w:val="both"/>
    </w:pPr>
    <w:rPr>
      <w:rFonts w:eastAsia="Times New Roman"/>
      <w:bCs/>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alkaloid.si" TargetMode="External"/><Relationship Id="rId3" Type="http://schemas.openxmlformats.org/officeDocument/2006/relationships/settings" Target="settings.xml"/><Relationship Id="rId7" Type="http://schemas.openxmlformats.org/officeDocument/2006/relationships/hyperlink" Target="http://www.bda.bg"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9552</Words>
  <Characters>54451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Petja Pencheva</cp:lastModifiedBy>
  <cp:revision>3</cp:revision>
  <dcterms:created xsi:type="dcterms:W3CDTF">2022-11-17T09:38:00Z</dcterms:created>
  <dcterms:modified xsi:type="dcterms:W3CDTF">2023-04-10T10:08:00Z</dcterms:modified>
</cp:coreProperties>
</file>