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39F5" w14:textId="77777777" w:rsidR="001D29E6" w:rsidRPr="00991CED" w:rsidRDefault="001D29E6" w:rsidP="009F4BA4">
      <w:pPr>
        <w:widowControl w:val="0"/>
        <w:spacing w:line="240" w:lineRule="auto"/>
        <w:rPr>
          <w:bCs/>
          <w:iCs/>
          <w:noProof/>
          <w:szCs w:val="22"/>
        </w:rPr>
      </w:pPr>
    </w:p>
    <w:p w14:paraId="66366469" w14:textId="77777777" w:rsidR="001D29E6" w:rsidRPr="00991CED" w:rsidRDefault="001D29E6" w:rsidP="009F4BA4">
      <w:pPr>
        <w:widowControl w:val="0"/>
        <w:spacing w:line="240" w:lineRule="auto"/>
        <w:jc w:val="center"/>
        <w:rPr>
          <w:bCs/>
          <w:iCs/>
          <w:noProof/>
          <w:szCs w:val="22"/>
        </w:rPr>
      </w:pPr>
      <w:r>
        <w:rPr>
          <w:b/>
          <w:szCs w:val="22"/>
        </w:rPr>
        <w:t>КРАТКА ХАРАКТЕРИСТИКА НА ПРОДУКТА</w:t>
      </w:r>
    </w:p>
    <w:p w14:paraId="4FB70C73" w14:textId="77777777" w:rsidR="00324A74" w:rsidRPr="00991CED" w:rsidRDefault="00324A74" w:rsidP="009F4BA4">
      <w:pPr>
        <w:widowControl w:val="0"/>
        <w:spacing w:line="240" w:lineRule="auto"/>
        <w:rPr>
          <w:szCs w:val="22"/>
        </w:rPr>
      </w:pPr>
    </w:p>
    <w:p w14:paraId="3C657EBB" w14:textId="77777777" w:rsidR="00C45C2C" w:rsidRPr="00991CED" w:rsidRDefault="00C45C2C" w:rsidP="009F4BA4">
      <w:pPr>
        <w:widowControl w:val="0"/>
        <w:spacing w:line="240" w:lineRule="auto"/>
        <w:rPr>
          <w:szCs w:val="22"/>
        </w:rPr>
      </w:pPr>
    </w:p>
    <w:p w14:paraId="1CBB9571" w14:textId="77777777" w:rsidR="001D29E6" w:rsidRPr="00991CED" w:rsidRDefault="001D29E6" w:rsidP="009F4BA4">
      <w:pPr>
        <w:widowControl w:val="0"/>
        <w:spacing w:line="240" w:lineRule="auto"/>
        <w:rPr>
          <w:szCs w:val="22"/>
        </w:rPr>
      </w:pPr>
      <w:r>
        <w:rPr>
          <w:b/>
          <w:bCs/>
          <w:iCs/>
          <w:szCs w:val="22"/>
        </w:rPr>
        <w:t>1</w:t>
      </w:r>
      <w:r>
        <w:t>.</w:t>
      </w:r>
      <w:r>
        <w:tab/>
      </w:r>
      <w:r>
        <w:rPr>
          <w:b/>
          <w:szCs w:val="22"/>
        </w:rPr>
        <w:t>ИМЕ НА ЛЕКАРСТВЕНИЯ ПРОДУКТ</w:t>
      </w:r>
    </w:p>
    <w:p w14:paraId="6360CACB" w14:textId="77777777" w:rsidR="001D29E6" w:rsidRPr="00991CED" w:rsidRDefault="001D29E6" w:rsidP="009F4BA4">
      <w:pPr>
        <w:spacing w:line="240" w:lineRule="auto"/>
        <w:rPr>
          <w:iCs/>
          <w:szCs w:val="22"/>
        </w:rPr>
      </w:pPr>
    </w:p>
    <w:p w14:paraId="1350B72C" w14:textId="2FD32A0E" w:rsidR="006C62AC" w:rsidRDefault="001D29E6" w:rsidP="009F4BA4">
      <w:pPr>
        <w:spacing w:line="240" w:lineRule="auto"/>
      </w:pPr>
      <w:r>
        <w:t>Фoвeлид 250 mg филмирани таблетки</w:t>
      </w:r>
    </w:p>
    <w:p w14:paraId="53013AEB" w14:textId="5F33504A" w:rsidR="005C02C4" w:rsidRPr="00991CED" w:rsidRDefault="005C02C4" w:rsidP="009F4BA4">
      <w:pPr>
        <w:spacing w:line="240" w:lineRule="auto"/>
        <w:rPr>
          <w:noProof/>
          <w:szCs w:val="22"/>
        </w:rPr>
      </w:pPr>
      <w:r w:rsidRPr="005C02C4">
        <w:rPr>
          <w:noProof/>
          <w:szCs w:val="22"/>
        </w:rPr>
        <w:t>Fovelid 250 mg film-coated tablets</w:t>
      </w:r>
    </w:p>
    <w:p w14:paraId="1A8FDC44" w14:textId="347FBCBC" w:rsidR="001D29E6" w:rsidRDefault="006C62AC" w:rsidP="009F4BA4">
      <w:pPr>
        <w:spacing w:line="240" w:lineRule="auto"/>
      </w:pPr>
      <w:r>
        <w:t>Фoвeлид 500 mg филмирани таблетки</w:t>
      </w:r>
    </w:p>
    <w:p w14:paraId="60D71ACD" w14:textId="658A803D" w:rsidR="005C02C4" w:rsidRPr="00991CED" w:rsidRDefault="005C02C4" w:rsidP="005C02C4">
      <w:pPr>
        <w:spacing w:line="240" w:lineRule="auto"/>
        <w:rPr>
          <w:noProof/>
          <w:szCs w:val="22"/>
        </w:rPr>
      </w:pPr>
      <w:r>
        <w:rPr>
          <w:noProof/>
          <w:szCs w:val="22"/>
        </w:rPr>
        <w:t xml:space="preserve">Fovelid </w:t>
      </w:r>
      <w:r w:rsidRPr="005C02C4">
        <w:rPr>
          <w:noProof/>
          <w:szCs w:val="22"/>
        </w:rPr>
        <w:t>5</w:t>
      </w:r>
      <w:r>
        <w:rPr>
          <w:noProof/>
          <w:szCs w:val="22"/>
        </w:rPr>
        <w:t>0</w:t>
      </w:r>
      <w:r w:rsidRPr="005C02C4">
        <w:rPr>
          <w:noProof/>
          <w:szCs w:val="22"/>
        </w:rPr>
        <w:t>0 mg film-coated tablets</w:t>
      </w:r>
    </w:p>
    <w:p w14:paraId="23783584" w14:textId="77777777" w:rsidR="005C02C4" w:rsidRPr="00991CED" w:rsidRDefault="005C02C4" w:rsidP="009F4BA4">
      <w:pPr>
        <w:spacing w:line="240" w:lineRule="auto"/>
        <w:rPr>
          <w:i/>
          <w:iCs/>
          <w:szCs w:val="22"/>
        </w:rPr>
      </w:pPr>
    </w:p>
    <w:p w14:paraId="1C01E8E8" w14:textId="77777777" w:rsidR="001D29E6" w:rsidRPr="00991CED" w:rsidRDefault="001D29E6" w:rsidP="009F4BA4">
      <w:pPr>
        <w:spacing w:line="240" w:lineRule="auto"/>
        <w:rPr>
          <w:szCs w:val="22"/>
        </w:rPr>
      </w:pPr>
    </w:p>
    <w:p w14:paraId="1050DBB5" w14:textId="77777777" w:rsidR="001D29E6" w:rsidRPr="00991CED" w:rsidRDefault="001D29E6" w:rsidP="009F4BA4">
      <w:pPr>
        <w:widowControl w:val="0"/>
        <w:spacing w:line="240" w:lineRule="auto"/>
        <w:rPr>
          <w:szCs w:val="22"/>
        </w:rPr>
      </w:pPr>
      <w:r>
        <w:rPr>
          <w:b/>
          <w:szCs w:val="22"/>
        </w:rPr>
        <w:t>2.</w:t>
      </w:r>
      <w:r>
        <w:rPr>
          <w:b/>
          <w:szCs w:val="22"/>
        </w:rPr>
        <w:tab/>
        <w:t>КАЧЕСТВЕН И КОЛИЧЕСТВЕН СЪСТАВ</w:t>
      </w:r>
    </w:p>
    <w:p w14:paraId="090976EA" w14:textId="77777777" w:rsidR="001D29E6" w:rsidRPr="00991CED" w:rsidRDefault="001D29E6" w:rsidP="009F4BA4">
      <w:pPr>
        <w:spacing w:line="240" w:lineRule="auto"/>
        <w:rPr>
          <w:szCs w:val="22"/>
        </w:rPr>
      </w:pPr>
    </w:p>
    <w:p w14:paraId="4B239F69" w14:textId="77777777" w:rsidR="00FB2DE1" w:rsidRPr="00991CED" w:rsidRDefault="00FB2DE1" w:rsidP="00EF4C71">
      <w:pPr>
        <w:jc w:val="both"/>
        <w:rPr>
          <w:szCs w:val="22"/>
        </w:rPr>
      </w:pPr>
      <w:r>
        <w:t>Фoвeлид 250 mg филмирани таблетки</w:t>
      </w:r>
    </w:p>
    <w:p w14:paraId="30A76606" w14:textId="77777777" w:rsidR="00EF4C71" w:rsidRPr="00991CED" w:rsidRDefault="00EF4C71" w:rsidP="00EF4C71">
      <w:pPr>
        <w:jc w:val="both"/>
        <w:rPr>
          <w:szCs w:val="22"/>
        </w:rPr>
      </w:pPr>
      <w:r>
        <w:t>Всяка филмирана таблетка съдържа 250 mg левофлоксацин (като левофлоксацин хемихидрат).</w:t>
      </w:r>
    </w:p>
    <w:p w14:paraId="2101B6B8" w14:textId="77777777" w:rsidR="00FB2DE1" w:rsidRPr="00991CED" w:rsidRDefault="00FB2DE1" w:rsidP="00EF4C71">
      <w:pPr>
        <w:rPr>
          <w:szCs w:val="22"/>
        </w:rPr>
      </w:pPr>
    </w:p>
    <w:p w14:paraId="59CB6FB5" w14:textId="77777777" w:rsidR="00FB2DE1" w:rsidRPr="00991CED" w:rsidRDefault="00FB2DE1" w:rsidP="00FB2DE1">
      <w:pPr>
        <w:jc w:val="both"/>
        <w:rPr>
          <w:szCs w:val="22"/>
        </w:rPr>
      </w:pPr>
      <w:r>
        <w:t>Фoвeлид 500 mg филмирани таблетки</w:t>
      </w:r>
    </w:p>
    <w:p w14:paraId="6C895BCD" w14:textId="77777777" w:rsidR="00FB2DE1" w:rsidRPr="00991CED" w:rsidRDefault="00EF4C71" w:rsidP="00FB2DE1">
      <w:pPr>
        <w:jc w:val="both"/>
        <w:rPr>
          <w:szCs w:val="22"/>
        </w:rPr>
      </w:pPr>
      <w:r>
        <w:t>Всяка филмирана таблетка съдържа 500 mg левофлоксацин (като левофлоксацин хемихидрат).</w:t>
      </w:r>
    </w:p>
    <w:p w14:paraId="6C93BAA3" w14:textId="77777777" w:rsidR="00EF4C71" w:rsidRPr="00991CED" w:rsidRDefault="00EF4C71" w:rsidP="00EF4C71">
      <w:pPr>
        <w:jc w:val="both"/>
        <w:rPr>
          <w:szCs w:val="22"/>
        </w:rPr>
      </w:pPr>
    </w:p>
    <w:p w14:paraId="7A6BE018" w14:textId="77777777" w:rsidR="00EF4C71" w:rsidRPr="00991CED" w:rsidRDefault="00EF4C71" w:rsidP="00EF4C71">
      <w:pPr>
        <w:jc w:val="both"/>
        <w:rPr>
          <w:szCs w:val="22"/>
        </w:rPr>
      </w:pPr>
      <w:r>
        <w:rPr>
          <w:szCs w:val="22"/>
          <w:u w:val="single"/>
        </w:rPr>
        <w:t>Помощни вещества с известно действие</w:t>
      </w:r>
    </w:p>
    <w:p w14:paraId="1780F3AE" w14:textId="77777777" w:rsidR="00FB2DE1" w:rsidRPr="00991CED" w:rsidRDefault="00FB2DE1" w:rsidP="00FB2DE1">
      <w:pPr>
        <w:jc w:val="both"/>
        <w:rPr>
          <w:szCs w:val="22"/>
        </w:rPr>
      </w:pPr>
      <w:r>
        <w:t>Фoвeлид 250 mg филмирани таблетки</w:t>
      </w:r>
    </w:p>
    <w:p w14:paraId="49111089" w14:textId="77777777" w:rsidR="00EF4C71" w:rsidRPr="00991CED" w:rsidRDefault="00EF4C71" w:rsidP="00EF4C71">
      <w:pPr>
        <w:jc w:val="both"/>
        <w:rPr>
          <w:color w:val="000000"/>
          <w:szCs w:val="22"/>
        </w:rPr>
      </w:pPr>
      <w:r>
        <w:t xml:space="preserve">Всяка филмирана таблетка съдържа 0,02 mg </w:t>
      </w:r>
      <w:r>
        <w:rPr>
          <w:color w:val="000000"/>
          <w:szCs w:val="22"/>
        </w:rPr>
        <w:t>сънсет жълто алуминиев лак (E110).</w:t>
      </w:r>
    </w:p>
    <w:p w14:paraId="2EB425B2" w14:textId="77777777" w:rsidR="00FB2DE1" w:rsidRPr="00991CED" w:rsidRDefault="00FB2DE1" w:rsidP="00EF4C71">
      <w:pPr>
        <w:jc w:val="both"/>
        <w:rPr>
          <w:szCs w:val="22"/>
        </w:rPr>
      </w:pPr>
    </w:p>
    <w:p w14:paraId="5016F3E8" w14:textId="77777777" w:rsidR="00FB2DE1" w:rsidRPr="00991CED" w:rsidRDefault="00FB2DE1" w:rsidP="00FB2DE1">
      <w:pPr>
        <w:jc w:val="both"/>
        <w:rPr>
          <w:szCs w:val="22"/>
        </w:rPr>
      </w:pPr>
      <w:r>
        <w:t>Фoвeлид 500 mg филмирани таблетки</w:t>
      </w:r>
    </w:p>
    <w:p w14:paraId="1B97E7BF" w14:textId="77777777" w:rsidR="00EF4C71" w:rsidRPr="00991CED" w:rsidRDefault="00EF4C71" w:rsidP="00EF4C71">
      <w:pPr>
        <w:jc w:val="both"/>
        <w:rPr>
          <w:szCs w:val="22"/>
        </w:rPr>
      </w:pPr>
      <w:r>
        <w:t xml:space="preserve">Всяка филмирана таблетка съдържа 0,038 mg </w:t>
      </w:r>
      <w:r>
        <w:rPr>
          <w:color w:val="000000"/>
          <w:szCs w:val="22"/>
        </w:rPr>
        <w:t>сънсет жълто алуминиев лак (E110).</w:t>
      </w:r>
    </w:p>
    <w:p w14:paraId="2DA24369" w14:textId="77777777" w:rsidR="00EF4C71" w:rsidRPr="00991CED" w:rsidRDefault="00EF4C71" w:rsidP="009F4BA4">
      <w:pPr>
        <w:spacing w:line="240" w:lineRule="auto"/>
        <w:rPr>
          <w:szCs w:val="22"/>
          <w:u w:val="single"/>
          <w:lang w:val="en-US"/>
        </w:rPr>
      </w:pPr>
    </w:p>
    <w:p w14:paraId="4500CF63" w14:textId="77777777" w:rsidR="001D29E6" w:rsidRPr="00991CED" w:rsidRDefault="001D29E6" w:rsidP="009F4BA4">
      <w:pPr>
        <w:spacing w:line="240" w:lineRule="auto"/>
        <w:rPr>
          <w:szCs w:val="22"/>
        </w:rPr>
      </w:pPr>
      <w:r>
        <w:t>За пълния списък на помощните вещества вижте точка 6.1.</w:t>
      </w:r>
    </w:p>
    <w:p w14:paraId="4B20E44D" w14:textId="77777777" w:rsidR="001D29E6" w:rsidRPr="00991CED" w:rsidRDefault="001D29E6" w:rsidP="009F4BA4">
      <w:pPr>
        <w:spacing w:line="240" w:lineRule="auto"/>
        <w:rPr>
          <w:szCs w:val="22"/>
        </w:rPr>
      </w:pPr>
    </w:p>
    <w:p w14:paraId="47E347EC" w14:textId="77777777" w:rsidR="001D29E6" w:rsidRPr="00991CED" w:rsidRDefault="001D29E6" w:rsidP="009F4BA4">
      <w:pPr>
        <w:spacing w:line="240" w:lineRule="auto"/>
        <w:ind w:left="567" w:hanging="567"/>
        <w:rPr>
          <w:b/>
          <w:caps/>
          <w:szCs w:val="22"/>
        </w:rPr>
      </w:pPr>
      <w:r>
        <w:rPr>
          <w:b/>
          <w:szCs w:val="22"/>
        </w:rPr>
        <w:t>3.</w:t>
      </w:r>
      <w:r>
        <w:rPr>
          <w:b/>
          <w:szCs w:val="22"/>
        </w:rPr>
        <w:tab/>
        <w:t xml:space="preserve">ЛЕКАРСТВЕНА </w:t>
      </w:r>
      <w:r>
        <w:rPr>
          <w:b/>
          <w:caps/>
          <w:szCs w:val="22"/>
        </w:rPr>
        <w:t>форма</w:t>
      </w:r>
    </w:p>
    <w:p w14:paraId="754AFC6D" w14:textId="77777777" w:rsidR="001D29E6" w:rsidRPr="00991CED" w:rsidRDefault="001D29E6" w:rsidP="009F4BA4">
      <w:pPr>
        <w:spacing w:line="240" w:lineRule="auto"/>
        <w:rPr>
          <w:szCs w:val="22"/>
        </w:rPr>
      </w:pPr>
    </w:p>
    <w:p w14:paraId="58C2DDAD" w14:textId="77777777" w:rsidR="004C05DF" w:rsidRPr="00991CED" w:rsidRDefault="004C05DF" w:rsidP="009F4BA4">
      <w:pPr>
        <w:spacing w:line="240" w:lineRule="auto"/>
        <w:rPr>
          <w:szCs w:val="22"/>
        </w:rPr>
      </w:pPr>
      <w:r>
        <w:t>Филмирана таблетка.</w:t>
      </w:r>
    </w:p>
    <w:p w14:paraId="46BF2E42" w14:textId="77777777" w:rsidR="004C05DF" w:rsidRPr="00991CED" w:rsidRDefault="004C05DF" w:rsidP="009F4BA4">
      <w:pPr>
        <w:spacing w:line="240" w:lineRule="auto"/>
        <w:rPr>
          <w:szCs w:val="22"/>
        </w:rPr>
      </w:pPr>
    </w:p>
    <w:p w14:paraId="2F5E6FD9" w14:textId="77777777" w:rsidR="008445C4" w:rsidRPr="00991CED" w:rsidRDefault="008578DA" w:rsidP="008445C4">
      <w:pPr>
        <w:jc w:val="both"/>
        <w:rPr>
          <w:szCs w:val="22"/>
        </w:rPr>
      </w:pPr>
      <w:r>
        <w:t>Фoвeлид 250 mg филмирани таблетки са розови, продълговати, двойноизпъкнали таблетки с делителна черта, с размери 13,7 x 6,7 mm и дебелина 3,8 mm.</w:t>
      </w:r>
    </w:p>
    <w:p w14:paraId="54F59173" w14:textId="77777777" w:rsidR="008445C4" w:rsidRPr="00991CED" w:rsidRDefault="008445C4" w:rsidP="008445C4">
      <w:pPr>
        <w:jc w:val="both"/>
        <w:rPr>
          <w:szCs w:val="22"/>
        </w:rPr>
      </w:pPr>
      <w:r>
        <w:t>Таблетката може да бъде разделена на равни дози.</w:t>
      </w:r>
    </w:p>
    <w:p w14:paraId="6BD9DCC4" w14:textId="77777777" w:rsidR="008578DA" w:rsidRPr="00991CED" w:rsidRDefault="008578DA" w:rsidP="008445C4">
      <w:pPr>
        <w:jc w:val="both"/>
        <w:rPr>
          <w:szCs w:val="22"/>
        </w:rPr>
      </w:pPr>
    </w:p>
    <w:p w14:paraId="1FF72BF0" w14:textId="77777777" w:rsidR="008578DA" w:rsidRPr="00991CED" w:rsidRDefault="008578DA" w:rsidP="008578DA">
      <w:pPr>
        <w:jc w:val="both"/>
        <w:rPr>
          <w:szCs w:val="22"/>
        </w:rPr>
      </w:pPr>
      <w:r>
        <w:t>Фoвeлид 500 mg филмирани таблетки са оранжеви, продълговати, двойноизпъкнали таблетки с делителна черта, с размери 19,3 x 7,8 mm и дебелина 5,0 mm.</w:t>
      </w:r>
    </w:p>
    <w:p w14:paraId="685D5CD8" w14:textId="77777777" w:rsidR="008578DA" w:rsidRPr="00991CED" w:rsidRDefault="008578DA" w:rsidP="008578DA">
      <w:pPr>
        <w:jc w:val="both"/>
        <w:rPr>
          <w:szCs w:val="22"/>
        </w:rPr>
      </w:pPr>
      <w:r>
        <w:t>Таблетката може да бъде разделена на равни дози.</w:t>
      </w:r>
    </w:p>
    <w:p w14:paraId="60BFAF52" w14:textId="77777777" w:rsidR="001D29E6" w:rsidRPr="00991CED" w:rsidRDefault="001D29E6" w:rsidP="009F4BA4">
      <w:pPr>
        <w:spacing w:line="240" w:lineRule="auto"/>
        <w:rPr>
          <w:szCs w:val="22"/>
        </w:rPr>
      </w:pPr>
    </w:p>
    <w:p w14:paraId="34B5C95C" w14:textId="77777777" w:rsidR="001D29E6" w:rsidRPr="00991CED" w:rsidRDefault="001D29E6" w:rsidP="009F4BA4">
      <w:pPr>
        <w:spacing w:line="240" w:lineRule="auto"/>
        <w:ind w:left="567" w:hanging="567"/>
        <w:rPr>
          <w:caps/>
          <w:szCs w:val="22"/>
        </w:rPr>
      </w:pPr>
      <w:r>
        <w:rPr>
          <w:b/>
          <w:caps/>
          <w:szCs w:val="22"/>
        </w:rPr>
        <w:t>4.</w:t>
      </w:r>
      <w:r>
        <w:rPr>
          <w:b/>
          <w:caps/>
          <w:szCs w:val="22"/>
        </w:rPr>
        <w:tab/>
        <w:t>Клинични данни</w:t>
      </w:r>
    </w:p>
    <w:p w14:paraId="3CFAAFD4" w14:textId="77777777" w:rsidR="001D29E6" w:rsidRPr="00991CED" w:rsidRDefault="001D29E6" w:rsidP="009F4BA4">
      <w:pPr>
        <w:spacing w:line="240" w:lineRule="auto"/>
        <w:rPr>
          <w:szCs w:val="22"/>
        </w:rPr>
      </w:pPr>
    </w:p>
    <w:p w14:paraId="783836F2" w14:textId="77777777" w:rsidR="001D29E6" w:rsidRPr="00991CED" w:rsidRDefault="001D29E6" w:rsidP="009F4BA4">
      <w:pPr>
        <w:spacing w:line="240" w:lineRule="auto"/>
        <w:ind w:left="567" w:hanging="567"/>
        <w:rPr>
          <w:szCs w:val="22"/>
        </w:rPr>
      </w:pPr>
      <w:r>
        <w:rPr>
          <w:b/>
          <w:szCs w:val="22"/>
        </w:rPr>
        <w:t>4.1</w:t>
      </w:r>
      <w:r>
        <w:rPr>
          <w:b/>
          <w:szCs w:val="22"/>
        </w:rPr>
        <w:tab/>
        <w:t>Терапевтични показания</w:t>
      </w:r>
    </w:p>
    <w:p w14:paraId="1FA0E770" w14:textId="77777777" w:rsidR="001D29E6" w:rsidRPr="00991CED" w:rsidRDefault="001D29E6" w:rsidP="009F4BA4">
      <w:pPr>
        <w:spacing w:line="240" w:lineRule="auto"/>
        <w:rPr>
          <w:szCs w:val="22"/>
        </w:rPr>
      </w:pPr>
    </w:p>
    <w:p w14:paraId="7ADB8189" w14:textId="77777777" w:rsidR="00F01C34" w:rsidRPr="00991CED" w:rsidRDefault="00F01C34" w:rsidP="00F01C34">
      <w:pPr>
        <w:spacing w:line="240" w:lineRule="auto"/>
        <w:rPr>
          <w:szCs w:val="22"/>
        </w:rPr>
      </w:pPr>
      <w:r>
        <w:t>Фoвeлид е показан при възрастни за лечение на следните инфекции (вж. точки 4.4 и 5.1):</w:t>
      </w:r>
    </w:p>
    <w:p w14:paraId="52055A68" w14:textId="77777777" w:rsidR="00F01C34" w:rsidRPr="00991CED" w:rsidRDefault="00F01C34" w:rsidP="00F01C34">
      <w:pPr>
        <w:spacing w:line="240" w:lineRule="auto"/>
        <w:rPr>
          <w:szCs w:val="22"/>
        </w:rPr>
      </w:pPr>
    </w:p>
    <w:p w14:paraId="326A2884" w14:textId="623B3C43" w:rsidR="00D96977" w:rsidRPr="00991CED" w:rsidRDefault="00593034" w:rsidP="00AB3E21">
      <w:pPr>
        <w:numPr>
          <w:ilvl w:val="0"/>
          <w:numId w:val="43"/>
        </w:numPr>
        <w:tabs>
          <w:tab w:val="clear" w:pos="567"/>
          <w:tab w:val="left" w:pos="284"/>
        </w:tabs>
        <w:spacing w:line="240" w:lineRule="auto"/>
        <w:rPr>
          <w:szCs w:val="22"/>
        </w:rPr>
      </w:pPr>
      <w:r>
        <w:t>О</w:t>
      </w:r>
      <w:r w:rsidR="00397C81">
        <w:t>стър пиелонефрит и усложнени инфекции на пикочните пътища (вж. точка 4.4)</w:t>
      </w:r>
    </w:p>
    <w:p w14:paraId="2DA11689" w14:textId="77777777" w:rsidR="00E06377" w:rsidRPr="00991CED" w:rsidRDefault="00D96977" w:rsidP="00AB3E21">
      <w:pPr>
        <w:numPr>
          <w:ilvl w:val="0"/>
          <w:numId w:val="43"/>
        </w:numPr>
        <w:tabs>
          <w:tab w:val="clear" w:pos="567"/>
          <w:tab w:val="left" w:pos="284"/>
        </w:tabs>
        <w:spacing w:line="240" w:lineRule="auto"/>
        <w:rPr>
          <w:szCs w:val="22"/>
        </w:rPr>
      </w:pPr>
      <w:r>
        <w:t>Хроничен бактериален простатит</w:t>
      </w:r>
    </w:p>
    <w:p w14:paraId="17EA63A8" w14:textId="1583B37B" w:rsidR="00E06377" w:rsidRPr="00991CED" w:rsidRDefault="00593034" w:rsidP="00AB3E21">
      <w:pPr>
        <w:numPr>
          <w:ilvl w:val="0"/>
          <w:numId w:val="43"/>
        </w:numPr>
        <w:tabs>
          <w:tab w:val="clear" w:pos="567"/>
          <w:tab w:val="left" w:pos="284"/>
        </w:tabs>
        <w:spacing w:line="240" w:lineRule="auto"/>
        <w:rPr>
          <w:szCs w:val="22"/>
        </w:rPr>
      </w:pPr>
      <w:r>
        <w:t>И</w:t>
      </w:r>
      <w:r w:rsidR="00E06377">
        <w:t>нхалаторен антракс: профилактика след експозиция и лечение (вж. точка 4.4)</w:t>
      </w:r>
    </w:p>
    <w:p w14:paraId="15FDEE5D" w14:textId="77777777" w:rsidR="00F01C34" w:rsidRPr="00991CED" w:rsidRDefault="00F01C34" w:rsidP="00F01C34">
      <w:pPr>
        <w:spacing w:line="240" w:lineRule="auto"/>
        <w:rPr>
          <w:szCs w:val="22"/>
        </w:rPr>
      </w:pPr>
    </w:p>
    <w:p w14:paraId="49AE2074" w14:textId="54E6B2A9" w:rsidR="00F01C34" w:rsidRPr="00991CED" w:rsidRDefault="00906B69" w:rsidP="00F01C34">
      <w:pPr>
        <w:spacing w:line="240" w:lineRule="auto"/>
        <w:rPr>
          <w:szCs w:val="22"/>
        </w:rPr>
      </w:pPr>
      <w:r>
        <w:lastRenderedPageBreak/>
        <w:t>Фoвeлид трябва да се използва при споменатите по-долу инфекции</w:t>
      </w:r>
      <w:r w:rsidR="00593034">
        <w:t>,</w:t>
      </w:r>
      <w:r>
        <w:t xml:space="preserve"> само когато употребата на други антибактериални средства, които обикновено се препоръчват за лечение на тези инфекции, се счита за неподходяща.</w:t>
      </w:r>
    </w:p>
    <w:p w14:paraId="381FE499" w14:textId="77777777" w:rsidR="00AB3E21" w:rsidRPr="00991CED" w:rsidRDefault="00AB3E21" w:rsidP="00AB3E21">
      <w:pPr>
        <w:numPr>
          <w:ilvl w:val="0"/>
          <w:numId w:val="44"/>
        </w:numPr>
        <w:tabs>
          <w:tab w:val="clear" w:pos="567"/>
          <w:tab w:val="left" w:pos="284"/>
        </w:tabs>
        <w:spacing w:line="240" w:lineRule="auto"/>
        <w:rPr>
          <w:szCs w:val="22"/>
        </w:rPr>
      </w:pPr>
      <w:r>
        <w:t>Остър бактериален синузит</w:t>
      </w:r>
    </w:p>
    <w:p w14:paraId="3A918EFC" w14:textId="77777777" w:rsidR="00AB3E21" w:rsidRPr="00991CED" w:rsidRDefault="00AB3E21" w:rsidP="00AB3E21">
      <w:pPr>
        <w:numPr>
          <w:ilvl w:val="0"/>
          <w:numId w:val="44"/>
        </w:numPr>
        <w:spacing w:line="240" w:lineRule="auto"/>
        <w:rPr>
          <w:szCs w:val="22"/>
        </w:rPr>
      </w:pPr>
      <w:r>
        <w:t xml:space="preserve">Остри екзацербации на хронична обструктивна белодробна болест, включително бронхит </w:t>
      </w:r>
    </w:p>
    <w:p w14:paraId="7D27255F" w14:textId="77777777" w:rsidR="00AB3E21" w:rsidRPr="00991CED" w:rsidRDefault="00AB3E21" w:rsidP="00AB3E21">
      <w:pPr>
        <w:numPr>
          <w:ilvl w:val="0"/>
          <w:numId w:val="44"/>
        </w:numPr>
        <w:spacing w:line="240" w:lineRule="auto"/>
        <w:rPr>
          <w:szCs w:val="22"/>
        </w:rPr>
      </w:pPr>
      <w:r>
        <w:t>Пневмония, придобита в обществото</w:t>
      </w:r>
    </w:p>
    <w:p w14:paraId="61D1A6D2" w14:textId="77777777" w:rsidR="00AB3E21" w:rsidRPr="00991CED" w:rsidRDefault="00AB3E21" w:rsidP="00AB3E21">
      <w:pPr>
        <w:numPr>
          <w:ilvl w:val="0"/>
          <w:numId w:val="44"/>
        </w:numPr>
        <w:spacing w:line="240" w:lineRule="auto"/>
        <w:rPr>
          <w:szCs w:val="22"/>
        </w:rPr>
      </w:pPr>
      <w:r>
        <w:t>Усложнени инфекции на кожата и меките тъкани.</w:t>
      </w:r>
    </w:p>
    <w:p w14:paraId="42F9A320" w14:textId="77777777" w:rsidR="00AB3E21" w:rsidRPr="00991CED" w:rsidRDefault="00AB3E21" w:rsidP="00AB3E21">
      <w:pPr>
        <w:numPr>
          <w:ilvl w:val="0"/>
          <w:numId w:val="44"/>
        </w:numPr>
        <w:spacing w:line="240" w:lineRule="auto"/>
        <w:rPr>
          <w:szCs w:val="22"/>
        </w:rPr>
      </w:pPr>
      <w:r>
        <w:t>Неусложнен цистит (вж. точка 4.4).</w:t>
      </w:r>
    </w:p>
    <w:p w14:paraId="7DF3DE7C" w14:textId="77777777" w:rsidR="00F01C34" w:rsidRPr="00991CED" w:rsidRDefault="00F01C34" w:rsidP="00F01C34">
      <w:pPr>
        <w:spacing w:line="240" w:lineRule="auto"/>
        <w:rPr>
          <w:szCs w:val="22"/>
        </w:rPr>
      </w:pPr>
    </w:p>
    <w:p w14:paraId="0FAB2F6A" w14:textId="77777777" w:rsidR="00F01C34" w:rsidRPr="00991CED" w:rsidRDefault="0075553F" w:rsidP="00F01C34">
      <w:pPr>
        <w:spacing w:line="240" w:lineRule="auto"/>
        <w:rPr>
          <w:szCs w:val="22"/>
        </w:rPr>
      </w:pPr>
      <w:r>
        <w:t>Фoвeлид може също да се използва за завършване на курса на лечение при пациенти, показали подобрение при начално лечение с интравенозен левофлоксацин.</w:t>
      </w:r>
    </w:p>
    <w:p w14:paraId="3546AC6E" w14:textId="77777777" w:rsidR="00F01C34" w:rsidRPr="00991CED" w:rsidRDefault="00F01C34" w:rsidP="00F01C34">
      <w:pPr>
        <w:spacing w:line="240" w:lineRule="auto"/>
        <w:rPr>
          <w:szCs w:val="22"/>
        </w:rPr>
      </w:pPr>
    </w:p>
    <w:p w14:paraId="7351D744" w14:textId="77777777" w:rsidR="0075553F" w:rsidRPr="00991CED" w:rsidRDefault="00F01C34" w:rsidP="00F01C34">
      <w:pPr>
        <w:spacing w:line="240" w:lineRule="auto"/>
        <w:rPr>
          <w:szCs w:val="22"/>
        </w:rPr>
      </w:pPr>
      <w:r>
        <w:t>Необходимо е да се вземат предвид официалните препоръки за подходяща употреба на антибактериални средства.</w:t>
      </w:r>
    </w:p>
    <w:p w14:paraId="25BC4DB5" w14:textId="77777777" w:rsidR="001D29E6" w:rsidRPr="00991CED" w:rsidRDefault="001D29E6" w:rsidP="009F4BA4">
      <w:pPr>
        <w:spacing w:line="240" w:lineRule="auto"/>
        <w:rPr>
          <w:szCs w:val="22"/>
        </w:rPr>
      </w:pPr>
    </w:p>
    <w:p w14:paraId="43FDD1ED" w14:textId="77777777" w:rsidR="001D29E6" w:rsidRPr="00991CED" w:rsidRDefault="001D29E6" w:rsidP="009F4BA4">
      <w:pPr>
        <w:spacing w:line="240" w:lineRule="auto"/>
        <w:ind w:left="567" w:hanging="567"/>
        <w:rPr>
          <w:b/>
          <w:szCs w:val="22"/>
        </w:rPr>
      </w:pPr>
      <w:r>
        <w:rPr>
          <w:b/>
          <w:szCs w:val="22"/>
        </w:rPr>
        <w:t>4.2</w:t>
      </w:r>
      <w:r>
        <w:rPr>
          <w:b/>
          <w:szCs w:val="22"/>
        </w:rPr>
        <w:tab/>
        <w:t>Дозировка и начин на приложение</w:t>
      </w:r>
    </w:p>
    <w:p w14:paraId="7B6B3B46" w14:textId="77777777" w:rsidR="001D29E6" w:rsidRPr="00991CED" w:rsidRDefault="001D29E6" w:rsidP="009F4BA4">
      <w:pPr>
        <w:spacing w:line="240" w:lineRule="auto"/>
        <w:ind w:left="567" w:hanging="567"/>
        <w:rPr>
          <w:szCs w:val="22"/>
        </w:rPr>
      </w:pPr>
    </w:p>
    <w:p w14:paraId="5BCDE5E3" w14:textId="77777777" w:rsidR="0075553F" w:rsidRPr="00991CED" w:rsidRDefault="00C60462" w:rsidP="0075553F">
      <w:pPr>
        <w:tabs>
          <w:tab w:val="clear" w:pos="567"/>
        </w:tabs>
        <w:spacing w:line="240" w:lineRule="auto"/>
        <w:rPr>
          <w:szCs w:val="22"/>
        </w:rPr>
      </w:pPr>
      <w:r>
        <w:t>Фoвeлид таблетки се прилагат веднъж или два пъти дневно. Дозировката зависи от вида и тежестта на инфекцията и от чувствителността на предполагаемия патогенен причинител.</w:t>
      </w:r>
    </w:p>
    <w:p w14:paraId="04F9203E" w14:textId="77777777" w:rsidR="0075553F" w:rsidRPr="00991CED" w:rsidRDefault="00994B1D" w:rsidP="0075553F">
      <w:pPr>
        <w:tabs>
          <w:tab w:val="clear" w:pos="567"/>
        </w:tabs>
        <w:spacing w:line="240" w:lineRule="auto"/>
        <w:rPr>
          <w:szCs w:val="22"/>
        </w:rPr>
      </w:pPr>
      <w:r>
        <w:t>Фoвeлид таблетки може също да се използва за завършване на курса на лечение при пациенти, показали подобрение при начално лечение с интравенозен левофлоксацин; поради биоеквивалентността на парентералната и пероралната форма може да се използва същата доза.</w:t>
      </w:r>
    </w:p>
    <w:p w14:paraId="645697C7" w14:textId="77777777" w:rsidR="0075553F" w:rsidRPr="00991CED" w:rsidRDefault="0075553F" w:rsidP="0075553F">
      <w:pPr>
        <w:tabs>
          <w:tab w:val="clear" w:pos="567"/>
        </w:tabs>
        <w:spacing w:line="240" w:lineRule="auto"/>
        <w:rPr>
          <w:szCs w:val="22"/>
          <w:u w:val="single"/>
        </w:rPr>
      </w:pPr>
    </w:p>
    <w:p w14:paraId="6909A267" w14:textId="77777777" w:rsidR="00C60462" w:rsidRPr="00991CED" w:rsidRDefault="0075553F" w:rsidP="00C60462">
      <w:pPr>
        <w:spacing w:before="30" w:line="240" w:lineRule="auto"/>
        <w:ind w:right="-20"/>
        <w:rPr>
          <w:szCs w:val="22"/>
        </w:rPr>
      </w:pPr>
      <w:r>
        <w:rPr>
          <w:szCs w:val="22"/>
          <w:u w:val="single"/>
        </w:rPr>
        <w:t>Дозировка</w:t>
      </w:r>
      <w:r>
        <w:t xml:space="preserve"> </w:t>
      </w:r>
    </w:p>
    <w:p w14:paraId="31A845F3" w14:textId="77777777" w:rsidR="0075553F" w:rsidRPr="00991CED" w:rsidRDefault="0075553F" w:rsidP="00C60462">
      <w:pPr>
        <w:spacing w:before="30" w:line="240" w:lineRule="auto"/>
        <w:ind w:right="-20"/>
        <w:rPr>
          <w:szCs w:val="22"/>
        </w:rPr>
      </w:pPr>
      <w:r>
        <w:t>Могат да бъдат дадени следните препоръки за дозиране на Фoвeлид:</w:t>
      </w:r>
    </w:p>
    <w:p w14:paraId="1F9050C6" w14:textId="77777777" w:rsidR="0075553F" w:rsidRPr="00991CED" w:rsidRDefault="0075553F" w:rsidP="0075553F">
      <w:pPr>
        <w:widowControl w:val="0"/>
        <w:tabs>
          <w:tab w:val="clear" w:pos="567"/>
        </w:tabs>
        <w:spacing w:before="1"/>
        <w:rPr>
          <w:rFonts w:eastAsia="Calibri"/>
          <w:szCs w:val="22"/>
          <w:lang w:val="en-US"/>
        </w:rPr>
      </w:pPr>
    </w:p>
    <w:p w14:paraId="7E777911" w14:textId="77777777" w:rsidR="0075553F" w:rsidRPr="00991CED" w:rsidRDefault="0075553F" w:rsidP="00C60462">
      <w:pPr>
        <w:widowControl w:val="0"/>
        <w:tabs>
          <w:tab w:val="clear" w:pos="567"/>
        </w:tabs>
        <w:ind w:right="-20"/>
        <w:rPr>
          <w:szCs w:val="22"/>
        </w:rPr>
      </w:pPr>
      <w:r>
        <w:rPr>
          <w:i/>
          <w:szCs w:val="22"/>
        </w:rPr>
        <w:t>Дозировка при пациенти с нормална бъбречна функция (креатининов клирънс &gt; 50 ml/min)</w:t>
      </w:r>
    </w:p>
    <w:p w14:paraId="486C89C5" w14:textId="77777777" w:rsidR="0075553F" w:rsidRPr="00991CED" w:rsidRDefault="0075553F" w:rsidP="0075553F">
      <w:pPr>
        <w:widowControl w:val="0"/>
        <w:tabs>
          <w:tab w:val="clear" w:pos="567"/>
        </w:tabs>
        <w:spacing w:before="9" w:line="40" w:lineRule="exact"/>
        <w:rPr>
          <w:rFonts w:eastAsia="Calibri"/>
          <w:szCs w:val="22"/>
          <w:lang w:val="en-US"/>
        </w:rPr>
      </w:pPr>
    </w:p>
    <w:tbl>
      <w:tblPr>
        <w:tblW w:w="9187" w:type="dxa"/>
        <w:tblInd w:w="14" w:type="dxa"/>
        <w:tblLayout w:type="fixed"/>
        <w:tblCellMar>
          <w:left w:w="0" w:type="dxa"/>
          <w:right w:w="0" w:type="dxa"/>
        </w:tblCellMar>
        <w:tblLook w:val="01E0" w:firstRow="1" w:lastRow="1" w:firstColumn="1" w:lastColumn="1" w:noHBand="0" w:noVBand="0"/>
      </w:tblPr>
      <w:tblGrid>
        <w:gridCol w:w="3600"/>
        <w:gridCol w:w="3017"/>
        <w:gridCol w:w="2570"/>
      </w:tblGrid>
      <w:tr w:rsidR="0075553F" w:rsidRPr="00991CED" w14:paraId="5580711B" w14:textId="77777777" w:rsidTr="00C60462">
        <w:trPr>
          <w:trHeight w:hRule="exact" w:val="817"/>
        </w:trPr>
        <w:tc>
          <w:tcPr>
            <w:tcW w:w="3600" w:type="dxa"/>
            <w:tcBorders>
              <w:top w:val="single" w:sz="11" w:space="0" w:color="000000"/>
              <w:left w:val="single" w:sz="11" w:space="0" w:color="000000"/>
              <w:bottom w:val="single" w:sz="8" w:space="0" w:color="000000"/>
              <w:right w:val="single" w:sz="11" w:space="0" w:color="000000"/>
            </w:tcBorders>
          </w:tcPr>
          <w:p w14:paraId="06EE2981" w14:textId="77777777" w:rsidR="0075553F" w:rsidRPr="00991CED" w:rsidRDefault="0075553F" w:rsidP="0075553F">
            <w:pPr>
              <w:widowControl w:val="0"/>
              <w:tabs>
                <w:tab w:val="clear" w:pos="567"/>
              </w:tabs>
              <w:spacing w:line="259" w:lineRule="exact"/>
              <w:ind w:left="58" w:right="-20"/>
              <w:rPr>
                <w:b/>
                <w:szCs w:val="22"/>
              </w:rPr>
            </w:pPr>
            <w:r>
              <w:rPr>
                <w:b/>
                <w:i/>
                <w:szCs w:val="22"/>
              </w:rPr>
              <w:t>Показание</w:t>
            </w:r>
          </w:p>
        </w:tc>
        <w:tc>
          <w:tcPr>
            <w:tcW w:w="3017" w:type="dxa"/>
            <w:tcBorders>
              <w:top w:val="single" w:sz="11" w:space="0" w:color="000000"/>
              <w:left w:val="single" w:sz="11" w:space="0" w:color="000000"/>
              <w:bottom w:val="single" w:sz="8" w:space="0" w:color="000000"/>
              <w:right w:val="single" w:sz="11" w:space="0" w:color="000000"/>
            </w:tcBorders>
          </w:tcPr>
          <w:p w14:paraId="79BAF2A8" w14:textId="77777777" w:rsidR="0075553F" w:rsidRPr="00991CED" w:rsidRDefault="0075553F" w:rsidP="0075553F">
            <w:pPr>
              <w:widowControl w:val="0"/>
              <w:tabs>
                <w:tab w:val="clear" w:pos="567"/>
              </w:tabs>
              <w:spacing w:line="259" w:lineRule="exact"/>
              <w:ind w:left="72" w:right="-20"/>
              <w:rPr>
                <w:b/>
                <w:szCs w:val="22"/>
              </w:rPr>
            </w:pPr>
            <w:r>
              <w:rPr>
                <w:b/>
                <w:szCs w:val="22"/>
              </w:rPr>
              <w:t>Дневна дозова схема</w:t>
            </w:r>
          </w:p>
          <w:p w14:paraId="13FC0B19" w14:textId="77777777" w:rsidR="0075553F" w:rsidRPr="00991CED" w:rsidRDefault="0075553F" w:rsidP="0075553F">
            <w:pPr>
              <w:widowControl w:val="0"/>
              <w:tabs>
                <w:tab w:val="clear" w:pos="567"/>
              </w:tabs>
              <w:spacing w:before="2" w:line="240" w:lineRule="auto"/>
              <w:ind w:left="79" w:right="-20"/>
              <w:rPr>
                <w:szCs w:val="22"/>
              </w:rPr>
            </w:pPr>
            <w:r>
              <w:rPr>
                <w:i/>
                <w:szCs w:val="22"/>
              </w:rPr>
              <w:t>(според тежестта)</w:t>
            </w:r>
          </w:p>
        </w:tc>
        <w:tc>
          <w:tcPr>
            <w:tcW w:w="2570" w:type="dxa"/>
            <w:tcBorders>
              <w:top w:val="single" w:sz="11" w:space="0" w:color="000000"/>
              <w:left w:val="single" w:sz="11" w:space="0" w:color="000000"/>
              <w:bottom w:val="single" w:sz="8" w:space="0" w:color="000000"/>
              <w:right w:val="single" w:sz="11" w:space="0" w:color="000000"/>
            </w:tcBorders>
          </w:tcPr>
          <w:p w14:paraId="5D21F491" w14:textId="689A2916" w:rsidR="0075553F" w:rsidRPr="00991CED" w:rsidRDefault="0075553F" w:rsidP="00CE100D">
            <w:pPr>
              <w:widowControl w:val="0"/>
              <w:tabs>
                <w:tab w:val="clear" w:pos="567"/>
              </w:tabs>
              <w:spacing w:line="259" w:lineRule="exact"/>
              <w:ind w:left="37" w:right="102"/>
              <w:jc w:val="center"/>
              <w:rPr>
                <w:b/>
                <w:szCs w:val="22"/>
              </w:rPr>
            </w:pPr>
            <w:r>
              <w:rPr>
                <w:b/>
                <w:szCs w:val="22"/>
              </w:rPr>
              <w:t>Продължителност</w:t>
            </w:r>
            <w:r w:rsidR="00CE100D">
              <w:rPr>
                <w:b/>
                <w:szCs w:val="22"/>
                <w:lang w:val="hr-HR"/>
              </w:rPr>
              <w:t xml:space="preserve"> </w:t>
            </w:r>
            <w:r>
              <w:rPr>
                <w:b/>
                <w:szCs w:val="22"/>
              </w:rPr>
              <w:t>на лечението</w:t>
            </w:r>
          </w:p>
          <w:p w14:paraId="7AB038D0" w14:textId="77777777" w:rsidR="0075553F" w:rsidRPr="00991CED" w:rsidRDefault="0075553F" w:rsidP="0075553F">
            <w:pPr>
              <w:widowControl w:val="0"/>
              <w:tabs>
                <w:tab w:val="clear" w:pos="567"/>
              </w:tabs>
              <w:spacing w:line="259" w:lineRule="exact"/>
              <w:ind w:left="121" w:right="128"/>
              <w:jc w:val="center"/>
              <w:rPr>
                <w:szCs w:val="22"/>
              </w:rPr>
            </w:pPr>
            <w:r>
              <w:rPr>
                <w:i/>
                <w:szCs w:val="22"/>
              </w:rPr>
              <w:t>(според тежестта)</w:t>
            </w:r>
          </w:p>
        </w:tc>
      </w:tr>
      <w:tr w:rsidR="0075553F" w:rsidRPr="00991CED" w14:paraId="71EAE33D" w14:textId="77777777" w:rsidTr="00C60462">
        <w:trPr>
          <w:trHeight w:hRule="exact" w:val="284"/>
        </w:trPr>
        <w:tc>
          <w:tcPr>
            <w:tcW w:w="3600" w:type="dxa"/>
            <w:tcBorders>
              <w:top w:val="single" w:sz="8" w:space="0" w:color="000000"/>
              <w:left w:val="single" w:sz="11" w:space="0" w:color="000000"/>
              <w:bottom w:val="single" w:sz="11" w:space="0" w:color="000000"/>
              <w:right w:val="single" w:sz="11" w:space="0" w:color="000000"/>
            </w:tcBorders>
          </w:tcPr>
          <w:p w14:paraId="3B80083A" w14:textId="77777777" w:rsidR="0075553F" w:rsidRPr="00991CED" w:rsidRDefault="0075553F" w:rsidP="006D2A6B">
            <w:pPr>
              <w:widowControl w:val="0"/>
              <w:tabs>
                <w:tab w:val="clear" w:pos="567"/>
              </w:tabs>
              <w:spacing w:line="259" w:lineRule="exact"/>
              <w:ind w:left="79" w:right="-20"/>
              <w:rPr>
                <w:w w:val="104"/>
                <w:szCs w:val="22"/>
              </w:rPr>
            </w:pPr>
            <w:r>
              <w:t>Остър бактериален синузит</w:t>
            </w:r>
          </w:p>
        </w:tc>
        <w:tc>
          <w:tcPr>
            <w:tcW w:w="3017" w:type="dxa"/>
            <w:tcBorders>
              <w:top w:val="single" w:sz="8" w:space="0" w:color="000000"/>
              <w:left w:val="single" w:sz="11" w:space="0" w:color="000000"/>
              <w:bottom w:val="single" w:sz="11" w:space="0" w:color="000000"/>
              <w:right w:val="single" w:sz="11" w:space="0" w:color="000000"/>
            </w:tcBorders>
          </w:tcPr>
          <w:p w14:paraId="39C876BB" w14:textId="77777777" w:rsidR="0075553F" w:rsidRPr="00991CED" w:rsidRDefault="0075553F" w:rsidP="006D2A6B">
            <w:pPr>
              <w:widowControl w:val="0"/>
              <w:tabs>
                <w:tab w:val="clear" w:pos="567"/>
              </w:tabs>
              <w:spacing w:line="259" w:lineRule="exact"/>
              <w:ind w:left="79" w:right="-20"/>
              <w:rPr>
                <w:w w:val="104"/>
                <w:szCs w:val="22"/>
              </w:rPr>
            </w:pPr>
            <w:r>
              <w:t>500 mg веднъж дневно</w:t>
            </w:r>
          </w:p>
        </w:tc>
        <w:tc>
          <w:tcPr>
            <w:tcW w:w="2570" w:type="dxa"/>
            <w:tcBorders>
              <w:top w:val="single" w:sz="8" w:space="0" w:color="000000"/>
              <w:left w:val="single" w:sz="11" w:space="0" w:color="000000"/>
              <w:bottom w:val="single" w:sz="11" w:space="0" w:color="000000"/>
              <w:right w:val="single" w:sz="11" w:space="0" w:color="000000"/>
            </w:tcBorders>
          </w:tcPr>
          <w:p w14:paraId="5A7FBFB8" w14:textId="77777777" w:rsidR="0075553F" w:rsidRPr="00991CED" w:rsidRDefault="0075553F" w:rsidP="006D2A6B">
            <w:pPr>
              <w:widowControl w:val="0"/>
              <w:tabs>
                <w:tab w:val="clear" w:pos="567"/>
              </w:tabs>
              <w:spacing w:line="259" w:lineRule="exact"/>
              <w:ind w:left="79" w:right="-20"/>
              <w:rPr>
                <w:w w:val="104"/>
                <w:szCs w:val="22"/>
              </w:rPr>
            </w:pPr>
            <w:r>
              <w:t>10 – 14 дни</w:t>
            </w:r>
          </w:p>
        </w:tc>
      </w:tr>
      <w:tr w:rsidR="0075553F" w:rsidRPr="00991CED" w14:paraId="003942EC" w14:textId="77777777" w:rsidTr="00906B69">
        <w:trPr>
          <w:trHeight w:hRule="exact" w:val="1098"/>
        </w:trPr>
        <w:tc>
          <w:tcPr>
            <w:tcW w:w="3600" w:type="dxa"/>
            <w:tcBorders>
              <w:top w:val="single" w:sz="11" w:space="0" w:color="000000"/>
              <w:left w:val="single" w:sz="11" w:space="0" w:color="000000"/>
              <w:bottom w:val="single" w:sz="11" w:space="0" w:color="000000"/>
              <w:right w:val="single" w:sz="11" w:space="0" w:color="000000"/>
            </w:tcBorders>
          </w:tcPr>
          <w:p w14:paraId="5B1C7C7E" w14:textId="77777777" w:rsidR="0075553F" w:rsidRPr="00991CED" w:rsidRDefault="0075553F" w:rsidP="002B1F4A">
            <w:pPr>
              <w:widowControl w:val="0"/>
              <w:tabs>
                <w:tab w:val="clear" w:pos="567"/>
              </w:tabs>
              <w:spacing w:line="259" w:lineRule="exact"/>
              <w:ind w:left="79" w:right="-20"/>
              <w:rPr>
                <w:w w:val="104"/>
                <w:szCs w:val="22"/>
              </w:rPr>
            </w:pPr>
            <w:r>
              <w:t>Остри бактериални екзацербации на хронична обструктивна белодробна болест, включително бронхит</w:t>
            </w:r>
          </w:p>
        </w:tc>
        <w:tc>
          <w:tcPr>
            <w:tcW w:w="3017" w:type="dxa"/>
            <w:tcBorders>
              <w:top w:val="single" w:sz="11" w:space="0" w:color="000000"/>
              <w:left w:val="single" w:sz="11" w:space="0" w:color="000000"/>
              <w:bottom w:val="single" w:sz="11" w:space="0" w:color="000000"/>
              <w:right w:val="single" w:sz="11" w:space="0" w:color="000000"/>
            </w:tcBorders>
          </w:tcPr>
          <w:p w14:paraId="6EE0C5D0" w14:textId="77777777" w:rsidR="0075553F" w:rsidRPr="00991CED" w:rsidRDefault="0075553F" w:rsidP="0075553F">
            <w:pPr>
              <w:widowControl w:val="0"/>
              <w:tabs>
                <w:tab w:val="clear" w:pos="567"/>
              </w:tabs>
              <w:spacing w:line="259" w:lineRule="exact"/>
              <w:ind w:left="79" w:right="-20"/>
              <w:rPr>
                <w:w w:val="104"/>
                <w:szCs w:val="22"/>
              </w:rPr>
            </w:pPr>
            <w:r>
              <w:t>500 mg веднъж дневно</w:t>
            </w:r>
          </w:p>
        </w:tc>
        <w:tc>
          <w:tcPr>
            <w:tcW w:w="2570" w:type="dxa"/>
            <w:tcBorders>
              <w:top w:val="single" w:sz="11" w:space="0" w:color="000000"/>
              <w:left w:val="single" w:sz="11" w:space="0" w:color="000000"/>
              <w:bottom w:val="single" w:sz="11" w:space="0" w:color="000000"/>
              <w:right w:val="single" w:sz="11" w:space="0" w:color="000000"/>
            </w:tcBorders>
          </w:tcPr>
          <w:p w14:paraId="4011A6D0" w14:textId="77777777" w:rsidR="0075553F" w:rsidRPr="00991CED" w:rsidRDefault="0075553F" w:rsidP="0075553F">
            <w:pPr>
              <w:widowControl w:val="0"/>
              <w:tabs>
                <w:tab w:val="clear" w:pos="567"/>
              </w:tabs>
              <w:spacing w:line="259" w:lineRule="exact"/>
              <w:ind w:left="72" w:right="-20"/>
              <w:rPr>
                <w:w w:val="104"/>
                <w:szCs w:val="22"/>
              </w:rPr>
            </w:pPr>
            <w:r>
              <w:t>7 – 10 дни</w:t>
            </w:r>
          </w:p>
        </w:tc>
      </w:tr>
      <w:tr w:rsidR="0075553F" w:rsidRPr="00991CED" w14:paraId="77FEA8C6" w14:textId="77777777" w:rsidTr="00C60462">
        <w:trPr>
          <w:trHeight w:hRule="exact" w:val="284"/>
        </w:trPr>
        <w:tc>
          <w:tcPr>
            <w:tcW w:w="3600" w:type="dxa"/>
            <w:tcBorders>
              <w:top w:val="single" w:sz="11" w:space="0" w:color="000000"/>
              <w:left w:val="single" w:sz="11" w:space="0" w:color="000000"/>
              <w:bottom w:val="single" w:sz="8" w:space="0" w:color="000000"/>
              <w:right w:val="single" w:sz="11" w:space="0" w:color="000000"/>
            </w:tcBorders>
          </w:tcPr>
          <w:p w14:paraId="2FC9048B" w14:textId="77777777" w:rsidR="0075553F" w:rsidRPr="00991CED" w:rsidRDefault="0075553F" w:rsidP="006D2A6B">
            <w:pPr>
              <w:widowControl w:val="0"/>
              <w:tabs>
                <w:tab w:val="clear" w:pos="567"/>
              </w:tabs>
              <w:spacing w:line="259" w:lineRule="exact"/>
              <w:ind w:left="79" w:right="-20"/>
              <w:rPr>
                <w:w w:val="104"/>
                <w:szCs w:val="22"/>
              </w:rPr>
            </w:pPr>
            <w:r>
              <w:t>Пневмония, придобита в обществото</w:t>
            </w:r>
          </w:p>
        </w:tc>
        <w:tc>
          <w:tcPr>
            <w:tcW w:w="3017" w:type="dxa"/>
            <w:tcBorders>
              <w:top w:val="single" w:sz="11" w:space="0" w:color="000000"/>
              <w:left w:val="single" w:sz="11" w:space="0" w:color="000000"/>
              <w:bottom w:val="single" w:sz="8" w:space="0" w:color="000000"/>
              <w:right w:val="single" w:sz="11" w:space="0" w:color="000000"/>
            </w:tcBorders>
          </w:tcPr>
          <w:p w14:paraId="4DC013CD" w14:textId="77777777" w:rsidR="0075553F" w:rsidRPr="00991CED" w:rsidRDefault="0075553F" w:rsidP="006D2A6B">
            <w:pPr>
              <w:widowControl w:val="0"/>
              <w:tabs>
                <w:tab w:val="clear" w:pos="567"/>
              </w:tabs>
              <w:spacing w:line="259" w:lineRule="exact"/>
              <w:ind w:left="79" w:right="-20"/>
              <w:rPr>
                <w:w w:val="104"/>
                <w:szCs w:val="22"/>
              </w:rPr>
            </w:pPr>
            <w:r>
              <w:t>500 mg веднъж или два пъти дневно</w:t>
            </w:r>
          </w:p>
        </w:tc>
        <w:tc>
          <w:tcPr>
            <w:tcW w:w="2570" w:type="dxa"/>
            <w:tcBorders>
              <w:top w:val="single" w:sz="11" w:space="0" w:color="000000"/>
              <w:left w:val="single" w:sz="11" w:space="0" w:color="000000"/>
              <w:bottom w:val="single" w:sz="8" w:space="0" w:color="000000"/>
              <w:right w:val="single" w:sz="11" w:space="0" w:color="000000"/>
            </w:tcBorders>
          </w:tcPr>
          <w:p w14:paraId="5CC47663" w14:textId="77777777" w:rsidR="0075553F" w:rsidRPr="00991CED" w:rsidRDefault="0075553F" w:rsidP="006D2A6B">
            <w:pPr>
              <w:widowControl w:val="0"/>
              <w:tabs>
                <w:tab w:val="clear" w:pos="567"/>
              </w:tabs>
              <w:spacing w:line="259" w:lineRule="exact"/>
              <w:ind w:left="79" w:right="-20"/>
              <w:rPr>
                <w:w w:val="104"/>
                <w:szCs w:val="22"/>
              </w:rPr>
            </w:pPr>
            <w:r>
              <w:t>7 – 14 дни</w:t>
            </w:r>
          </w:p>
        </w:tc>
      </w:tr>
      <w:tr w:rsidR="0075553F" w:rsidRPr="00991CED" w14:paraId="21B2865F" w14:textId="77777777" w:rsidTr="00C60462">
        <w:trPr>
          <w:trHeight w:hRule="exact" w:val="288"/>
        </w:trPr>
        <w:tc>
          <w:tcPr>
            <w:tcW w:w="3600" w:type="dxa"/>
            <w:tcBorders>
              <w:top w:val="single" w:sz="8" w:space="0" w:color="000000"/>
              <w:left w:val="single" w:sz="11" w:space="0" w:color="000000"/>
              <w:bottom w:val="single" w:sz="8" w:space="0" w:color="000000"/>
              <w:right w:val="single" w:sz="11" w:space="0" w:color="000000"/>
            </w:tcBorders>
          </w:tcPr>
          <w:p w14:paraId="7F9DBAF2" w14:textId="77777777" w:rsidR="0075553F" w:rsidRPr="00991CED" w:rsidRDefault="00FC52D7" w:rsidP="006D2A6B">
            <w:pPr>
              <w:widowControl w:val="0"/>
              <w:tabs>
                <w:tab w:val="clear" w:pos="567"/>
              </w:tabs>
              <w:spacing w:line="259" w:lineRule="exact"/>
              <w:ind w:left="79" w:right="-20"/>
              <w:rPr>
                <w:w w:val="104"/>
                <w:szCs w:val="22"/>
              </w:rPr>
            </w:pPr>
            <w:r>
              <w:t>Остър пиелонефрит</w:t>
            </w:r>
          </w:p>
        </w:tc>
        <w:tc>
          <w:tcPr>
            <w:tcW w:w="3017" w:type="dxa"/>
            <w:tcBorders>
              <w:top w:val="single" w:sz="8" w:space="0" w:color="000000"/>
              <w:left w:val="single" w:sz="11" w:space="0" w:color="000000"/>
              <w:bottom w:val="single" w:sz="8" w:space="0" w:color="000000"/>
              <w:right w:val="single" w:sz="11" w:space="0" w:color="000000"/>
            </w:tcBorders>
          </w:tcPr>
          <w:p w14:paraId="6119E267" w14:textId="77777777" w:rsidR="0075553F" w:rsidRPr="00991CED" w:rsidRDefault="0075553F" w:rsidP="006D2A6B">
            <w:pPr>
              <w:widowControl w:val="0"/>
              <w:tabs>
                <w:tab w:val="clear" w:pos="567"/>
              </w:tabs>
              <w:spacing w:line="259" w:lineRule="exact"/>
              <w:ind w:left="79" w:right="-20"/>
              <w:rPr>
                <w:w w:val="104"/>
                <w:szCs w:val="22"/>
              </w:rPr>
            </w:pPr>
            <w:r>
              <w:t>500 mg веднъж дневно</w:t>
            </w:r>
          </w:p>
        </w:tc>
        <w:tc>
          <w:tcPr>
            <w:tcW w:w="2570" w:type="dxa"/>
            <w:tcBorders>
              <w:top w:val="single" w:sz="8" w:space="0" w:color="000000"/>
              <w:left w:val="single" w:sz="11" w:space="0" w:color="000000"/>
              <w:bottom w:val="single" w:sz="8" w:space="0" w:color="000000"/>
              <w:right w:val="single" w:sz="11" w:space="0" w:color="000000"/>
            </w:tcBorders>
          </w:tcPr>
          <w:p w14:paraId="390F7970" w14:textId="77777777" w:rsidR="0075553F" w:rsidRPr="00991CED" w:rsidRDefault="00BB0741" w:rsidP="006D2A6B">
            <w:pPr>
              <w:widowControl w:val="0"/>
              <w:tabs>
                <w:tab w:val="clear" w:pos="567"/>
              </w:tabs>
              <w:spacing w:line="259" w:lineRule="exact"/>
              <w:ind w:left="79" w:right="-20"/>
              <w:rPr>
                <w:w w:val="104"/>
                <w:szCs w:val="22"/>
              </w:rPr>
            </w:pPr>
            <w:r>
              <w:t>7 – 10 дни</w:t>
            </w:r>
          </w:p>
        </w:tc>
      </w:tr>
      <w:tr w:rsidR="0075553F" w:rsidRPr="00991CED" w14:paraId="38418769" w14:textId="77777777" w:rsidTr="00C60462">
        <w:trPr>
          <w:trHeight w:hRule="exact" w:val="551"/>
        </w:trPr>
        <w:tc>
          <w:tcPr>
            <w:tcW w:w="3600" w:type="dxa"/>
            <w:tcBorders>
              <w:top w:val="single" w:sz="8" w:space="0" w:color="000000"/>
              <w:left w:val="single" w:sz="11" w:space="0" w:color="000000"/>
              <w:bottom w:val="single" w:sz="11" w:space="0" w:color="000000"/>
              <w:right w:val="single" w:sz="11" w:space="0" w:color="000000"/>
            </w:tcBorders>
          </w:tcPr>
          <w:p w14:paraId="30A877E9" w14:textId="618354C2" w:rsidR="0075553F" w:rsidRPr="00991CED" w:rsidRDefault="0075553F" w:rsidP="00CE100D">
            <w:pPr>
              <w:widowControl w:val="0"/>
              <w:tabs>
                <w:tab w:val="clear" w:pos="567"/>
              </w:tabs>
              <w:spacing w:line="259" w:lineRule="exact"/>
              <w:ind w:left="79" w:right="-20"/>
              <w:rPr>
                <w:w w:val="104"/>
                <w:szCs w:val="22"/>
              </w:rPr>
            </w:pPr>
            <w:r>
              <w:t>Усложнени инфекции на</w:t>
            </w:r>
            <w:r w:rsidR="00CE100D">
              <w:rPr>
                <w:lang w:val="hr-HR"/>
              </w:rPr>
              <w:t xml:space="preserve"> </w:t>
            </w:r>
            <w:r>
              <w:t>меките тъкани</w:t>
            </w:r>
          </w:p>
        </w:tc>
        <w:tc>
          <w:tcPr>
            <w:tcW w:w="3017" w:type="dxa"/>
            <w:tcBorders>
              <w:top w:val="single" w:sz="8" w:space="0" w:color="000000"/>
              <w:left w:val="single" w:sz="11" w:space="0" w:color="000000"/>
              <w:bottom w:val="single" w:sz="11" w:space="0" w:color="000000"/>
              <w:right w:val="single" w:sz="11" w:space="0" w:color="000000"/>
            </w:tcBorders>
          </w:tcPr>
          <w:p w14:paraId="4A0CEACE" w14:textId="77777777" w:rsidR="0075553F" w:rsidRPr="00991CED" w:rsidRDefault="0075553F" w:rsidP="006D2A6B">
            <w:pPr>
              <w:widowControl w:val="0"/>
              <w:tabs>
                <w:tab w:val="clear" w:pos="567"/>
              </w:tabs>
              <w:spacing w:line="259" w:lineRule="exact"/>
              <w:ind w:left="79" w:right="-20"/>
              <w:rPr>
                <w:w w:val="104"/>
                <w:szCs w:val="22"/>
              </w:rPr>
            </w:pPr>
            <w:r>
              <w:t>500 mg веднъж дневно</w:t>
            </w:r>
          </w:p>
        </w:tc>
        <w:tc>
          <w:tcPr>
            <w:tcW w:w="2570" w:type="dxa"/>
            <w:tcBorders>
              <w:top w:val="single" w:sz="8" w:space="0" w:color="000000"/>
              <w:left w:val="single" w:sz="11" w:space="0" w:color="000000"/>
              <w:bottom w:val="single" w:sz="11" w:space="0" w:color="000000"/>
              <w:right w:val="single" w:sz="11" w:space="0" w:color="000000"/>
            </w:tcBorders>
          </w:tcPr>
          <w:p w14:paraId="6C98AD69" w14:textId="77777777" w:rsidR="0075553F" w:rsidRPr="00991CED" w:rsidRDefault="0075553F" w:rsidP="006D2A6B">
            <w:pPr>
              <w:widowControl w:val="0"/>
              <w:tabs>
                <w:tab w:val="clear" w:pos="567"/>
              </w:tabs>
              <w:spacing w:line="259" w:lineRule="exact"/>
              <w:ind w:left="79" w:right="-20"/>
              <w:rPr>
                <w:w w:val="104"/>
                <w:szCs w:val="22"/>
              </w:rPr>
            </w:pPr>
            <w:r>
              <w:t>7 – 14 дни</w:t>
            </w:r>
          </w:p>
        </w:tc>
      </w:tr>
      <w:tr w:rsidR="0075553F" w:rsidRPr="00991CED" w14:paraId="5305E100" w14:textId="77777777" w:rsidTr="00C60462">
        <w:trPr>
          <w:trHeight w:hRule="exact" w:val="284"/>
        </w:trPr>
        <w:tc>
          <w:tcPr>
            <w:tcW w:w="3600" w:type="dxa"/>
            <w:tcBorders>
              <w:top w:val="single" w:sz="11" w:space="0" w:color="000000"/>
              <w:left w:val="single" w:sz="11" w:space="0" w:color="000000"/>
              <w:bottom w:val="single" w:sz="8" w:space="0" w:color="000000"/>
              <w:right w:val="single" w:sz="11" w:space="0" w:color="000000"/>
            </w:tcBorders>
          </w:tcPr>
          <w:p w14:paraId="44F4A122" w14:textId="77777777" w:rsidR="0075553F" w:rsidRPr="00991CED" w:rsidRDefault="0075553F" w:rsidP="006D2A6B">
            <w:pPr>
              <w:widowControl w:val="0"/>
              <w:tabs>
                <w:tab w:val="clear" w:pos="567"/>
              </w:tabs>
              <w:spacing w:line="259" w:lineRule="exact"/>
              <w:ind w:left="79" w:right="-20"/>
              <w:rPr>
                <w:w w:val="104"/>
                <w:szCs w:val="22"/>
              </w:rPr>
            </w:pPr>
            <w:r>
              <w:t>Неусложнен цистит</w:t>
            </w:r>
          </w:p>
        </w:tc>
        <w:tc>
          <w:tcPr>
            <w:tcW w:w="3017" w:type="dxa"/>
            <w:tcBorders>
              <w:top w:val="single" w:sz="11" w:space="0" w:color="000000"/>
              <w:left w:val="single" w:sz="11" w:space="0" w:color="000000"/>
              <w:bottom w:val="single" w:sz="8" w:space="0" w:color="000000"/>
              <w:right w:val="single" w:sz="11" w:space="0" w:color="000000"/>
            </w:tcBorders>
          </w:tcPr>
          <w:p w14:paraId="77D674F5" w14:textId="77777777" w:rsidR="0075553F" w:rsidRPr="00991CED" w:rsidRDefault="0075553F" w:rsidP="006D2A6B">
            <w:pPr>
              <w:widowControl w:val="0"/>
              <w:tabs>
                <w:tab w:val="clear" w:pos="567"/>
              </w:tabs>
              <w:spacing w:line="259" w:lineRule="exact"/>
              <w:ind w:left="79" w:right="-20"/>
              <w:rPr>
                <w:w w:val="104"/>
                <w:szCs w:val="22"/>
              </w:rPr>
            </w:pPr>
            <w:r>
              <w:t>250 mg веднъж дневно</w:t>
            </w:r>
          </w:p>
        </w:tc>
        <w:tc>
          <w:tcPr>
            <w:tcW w:w="2570" w:type="dxa"/>
            <w:tcBorders>
              <w:top w:val="single" w:sz="11" w:space="0" w:color="000000"/>
              <w:left w:val="single" w:sz="11" w:space="0" w:color="000000"/>
              <w:bottom w:val="single" w:sz="8" w:space="0" w:color="000000"/>
              <w:right w:val="single" w:sz="11" w:space="0" w:color="000000"/>
            </w:tcBorders>
          </w:tcPr>
          <w:p w14:paraId="7951D283" w14:textId="77777777" w:rsidR="0075553F" w:rsidRPr="00991CED" w:rsidRDefault="0075553F" w:rsidP="006D2A6B">
            <w:pPr>
              <w:widowControl w:val="0"/>
              <w:tabs>
                <w:tab w:val="clear" w:pos="567"/>
              </w:tabs>
              <w:spacing w:line="259" w:lineRule="exact"/>
              <w:ind w:left="79" w:right="-20"/>
              <w:rPr>
                <w:w w:val="104"/>
                <w:szCs w:val="22"/>
              </w:rPr>
            </w:pPr>
            <w:r>
              <w:t>3 дни</w:t>
            </w:r>
          </w:p>
        </w:tc>
      </w:tr>
      <w:tr w:rsidR="0075553F" w:rsidRPr="00991CED" w14:paraId="79BBA77E" w14:textId="77777777" w:rsidTr="00C60462">
        <w:trPr>
          <w:trHeight w:hRule="exact" w:val="284"/>
        </w:trPr>
        <w:tc>
          <w:tcPr>
            <w:tcW w:w="3600" w:type="dxa"/>
            <w:tcBorders>
              <w:top w:val="single" w:sz="8" w:space="0" w:color="000000"/>
              <w:left w:val="single" w:sz="11" w:space="0" w:color="000000"/>
              <w:bottom w:val="single" w:sz="11" w:space="0" w:color="000000"/>
              <w:right w:val="single" w:sz="11" w:space="0" w:color="000000"/>
            </w:tcBorders>
          </w:tcPr>
          <w:p w14:paraId="2395AF1E" w14:textId="77777777" w:rsidR="0075553F" w:rsidRPr="00991CED" w:rsidRDefault="0075553F" w:rsidP="006D2A6B">
            <w:pPr>
              <w:widowControl w:val="0"/>
              <w:tabs>
                <w:tab w:val="clear" w:pos="567"/>
              </w:tabs>
              <w:spacing w:line="259" w:lineRule="exact"/>
              <w:ind w:left="79" w:right="-20"/>
              <w:rPr>
                <w:w w:val="104"/>
                <w:szCs w:val="22"/>
              </w:rPr>
            </w:pPr>
            <w:r>
              <w:t>Хроничен бактериален простатит</w:t>
            </w:r>
          </w:p>
        </w:tc>
        <w:tc>
          <w:tcPr>
            <w:tcW w:w="3017" w:type="dxa"/>
            <w:tcBorders>
              <w:top w:val="single" w:sz="8" w:space="0" w:color="000000"/>
              <w:left w:val="single" w:sz="11" w:space="0" w:color="000000"/>
              <w:bottom w:val="single" w:sz="11" w:space="0" w:color="000000"/>
              <w:right w:val="single" w:sz="11" w:space="0" w:color="000000"/>
            </w:tcBorders>
          </w:tcPr>
          <w:p w14:paraId="406BDDE0" w14:textId="77777777" w:rsidR="0075553F" w:rsidRPr="00991CED" w:rsidRDefault="0075553F" w:rsidP="006D2A6B">
            <w:pPr>
              <w:widowControl w:val="0"/>
              <w:tabs>
                <w:tab w:val="clear" w:pos="567"/>
              </w:tabs>
              <w:spacing w:line="259" w:lineRule="exact"/>
              <w:ind w:left="79" w:right="-20"/>
              <w:rPr>
                <w:w w:val="104"/>
                <w:szCs w:val="22"/>
              </w:rPr>
            </w:pPr>
            <w:r>
              <w:t>500 mg веднъж дневно</w:t>
            </w:r>
          </w:p>
        </w:tc>
        <w:tc>
          <w:tcPr>
            <w:tcW w:w="2570" w:type="dxa"/>
            <w:tcBorders>
              <w:top w:val="single" w:sz="8" w:space="0" w:color="000000"/>
              <w:left w:val="single" w:sz="11" w:space="0" w:color="000000"/>
              <w:bottom w:val="single" w:sz="11" w:space="0" w:color="000000"/>
              <w:right w:val="single" w:sz="11" w:space="0" w:color="000000"/>
            </w:tcBorders>
          </w:tcPr>
          <w:p w14:paraId="052BBB43" w14:textId="77777777" w:rsidR="0075553F" w:rsidRPr="00991CED" w:rsidRDefault="0075553F" w:rsidP="006D2A6B">
            <w:pPr>
              <w:widowControl w:val="0"/>
              <w:tabs>
                <w:tab w:val="clear" w:pos="567"/>
              </w:tabs>
              <w:spacing w:line="259" w:lineRule="exact"/>
              <w:ind w:left="79" w:right="-20"/>
              <w:rPr>
                <w:w w:val="104"/>
                <w:szCs w:val="22"/>
              </w:rPr>
            </w:pPr>
            <w:r>
              <w:t>28 дни</w:t>
            </w:r>
          </w:p>
        </w:tc>
      </w:tr>
      <w:tr w:rsidR="0075553F" w:rsidRPr="00991CED" w14:paraId="59023056" w14:textId="77777777" w:rsidTr="00C60462">
        <w:trPr>
          <w:trHeight w:hRule="exact" w:val="551"/>
        </w:trPr>
        <w:tc>
          <w:tcPr>
            <w:tcW w:w="3600" w:type="dxa"/>
            <w:tcBorders>
              <w:top w:val="single" w:sz="11" w:space="0" w:color="000000"/>
              <w:left w:val="single" w:sz="11" w:space="0" w:color="000000"/>
              <w:bottom w:val="single" w:sz="8" w:space="0" w:color="000000"/>
              <w:right w:val="single" w:sz="11" w:space="0" w:color="000000"/>
            </w:tcBorders>
          </w:tcPr>
          <w:p w14:paraId="682D2BCF" w14:textId="56272ECE" w:rsidR="0075553F" w:rsidRPr="00991CED" w:rsidRDefault="0075553F" w:rsidP="00CE100D">
            <w:pPr>
              <w:widowControl w:val="0"/>
              <w:tabs>
                <w:tab w:val="clear" w:pos="567"/>
              </w:tabs>
              <w:spacing w:line="259" w:lineRule="exact"/>
              <w:ind w:left="79" w:right="-20"/>
              <w:rPr>
                <w:w w:val="104"/>
                <w:szCs w:val="22"/>
              </w:rPr>
            </w:pPr>
            <w:r>
              <w:t>Усложнени инфекции на кожата и</w:t>
            </w:r>
            <w:r w:rsidR="00CE100D">
              <w:rPr>
                <w:lang w:val="hr-HR"/>
              </w:rPr>
              <w:t xml:space="preserve"> </w:t>
            </w:r>
            <w:r>
              <w:t>меките тъкани</w:t>
            </w:r>
          </w:p>
        </w:tc>
        <w:tc>
          <w:tcPr>
            <w:tcW w:w="3017" w:type="dxa"/>
            <w:tcBorders>
              <w:top w:val="single" w:sz="11" w:space="0" w:color="000000"/>
              <w:left w:val="single" w:sz="11" w:space="0" w:color="000000"/>
              <w:bottom w:val="single" w:sz="8" w:space="0" w:color="000000"/>
              <w:right w:val="single" w:sz="11" w:space="0" w:color="000000"/>
            </w:tcBorders>
          </w:tcPr>
          <w:p w14:paraId="27F68529" w14:textId="77777777" w:rsidR="0075553F" w:rsidRPr="00991CED" w:rsidRDefault="0075553F" w:rsidP="006D2A6B">
            <w:pPr>
              <w:widowControl w:val="0"/>
              <w:tabs>
                <w:tab w:val="clear" w:pos="567"/>
              </w:tabs>
              <w:spacing w:line="259" w:lineRule="exact"/>
              <w:ind w:left="79" w:right="-20"/>
              <w:rPr>
                <w:w w:val="104"/>
                <w:szCs w:val="22"/>
              </w:rPr>
            </w:pPr>
            <w:r>
              <w:t>500 mg веднъж или два пъти дневно</w:t>
            </w:r>
          </w:p>
        </w:tc>
        <w:tc>
          <w:tcPr>
            <w:tcW w:w="2570" w:type="dxa"/>
            <w:tcBorders>
              <w:top w:val="single" w:sz="11" w:space="0" w:color="000000"/>
              <w:left w:val="single" w:sz="11" w:space="0" w:color="000000"/>
              <w:bottom w:val="single" w:sz="8" w:space="0" w:color="000000"/>
              <w:right w:val="single" w:sz="11" w:space="0" w:color="000000"/>
            </w:tcBorders>
          </w:tcPr>
          <w:p w14:paraId="375F2B05" w14:textId="77777777" w:rsidR="0075553F" w:rsidRPr="00991CED" w:rsidRDefault="0075553F" w:rsidP="006D2A6B">
            <w:pPr>
              <w:widowControl w:val="0"/>
              <w:tabs>
                <w:tab w:val="clear" w:pos="567"/>
              </w:tabs>
              <w:spacing w:line="259" w:lineRule="exact"/>
              <w:ind w:left="79" w:right="-20"/>
              <w:rPr>
                <w:w w:val="104"/>
                <w:szCs w:val="22"/>
              </w:rPr>
            </w:pPr>
            <w:r>
              <w:t>7 – 14 дни</w:t>
            </w:r>
          </w:p>
        </w:tc>
      </w:tr>
      <w:tr w:rsidR="0075553F" w:rsidRPr="00991CED" w14:paraId="7932C5E4" w14:textId="77777777" w:rsidTr="00C60462">
        <w:trPr>
          <w:trHeight w:hRule="exact" w:val="284"/>
        </w:trPr>
        <w:tc>
          <w:tcPr>
            <w:tcW w:w="3600" w:type="dxa"/>
            <w:tcBorders>
              <w:top w:val="single" w:sz="8" w:space="0" w:color="000000"/>
              <w:left w:val="single" w:sz="11" w:space="0" w:color="000000"/>
              <w:bottom w:val="single" w:sz="11" w:space="0" w:color="000000"/>
              <w:right w:val="single" w:sz="11" w:space="0" w:color="000000"/>
            </w:tcBorders>
          </w:tcPr>
          <w:p w14:paraId="4405450F" w14:textId="77777777" w:rsidR="0075553F" w:rsidRPr="00991CED" w:rsidRDefault="0075553F" w:rsidP="006D2A6B">
            <w:pPr>
              <w:widowControl w:val="0"/>
              <w:tabs>
                <w:tab w:val="clear" w:pos="567"/>
              </w:tabs>
              <w:spacing w:line="259" w:lineRule="exact"/>
              <w:ind w:left="79" w:right="-20"/>
              <w:rPr>
                <w:w w:val="104"/>
                <w:szCs w:val="22"/>
              </w:rPr>
            </w:pPr>
            <w:r>
              <w:t>Инхалаторен антракс</w:t>
            </w:r>
          </w:p>
        </w:tc>
        <w:tc>
          <w:tcPr>
            <w:tcW w:w="3017" w:type="dxa"/>
            <w:tcBorders>
              <w:top w:val="single" w:sz="8" w:space="0" w:color="000000"/>
              <w:left w:val="single" w:sz="11" w:space="0" w:color="000000"/>
              <w:bottom w:val="single" w:sz="11" w:space="0" w:color="000000"/>
              <w:right w:val="single" w:sz="11" w:space="0" w:color="000000"/>
            </w:tcBorders>
          </w:tcPr>
          <w:p w14:paraId="193726EB" w14:textId="77777777" w:rsidR="0075553F" w:rsidRPr="00991CED" w:rsidRDefault="0075553F" w:rsidP="006D2A6B">
            <w:pPr>
              <w:widowControl w:val="0"/>
              <w:tabs>
                <w:tab w:val="clear" w:pos="567"/>
              </w:tabs>
              <w:spacing w:line="259" w:lineRule="exact"/>
              <w:ind w:left="79" w:right="-20"/>
              <w:rPr>
                <w:w w:val="104"/>
                <w:szCs w:val="22"/>
              </w:rPr>
            </w:pPr>
            <w:r>
              <w:t>500 mg веднъж дневно</w:t>
            </w:r>
          </w:p>
        </w:tc>
        <w:tc>
          <w:tcPr>
            <w:tcW w:w="2570" w:type="dxa"/>
            <w:tcBorders>
              <w:top w:val="single" w:sz="8" w:space="0" w:color="000000"/>
              <w:left w:val="single" w:sz="11" w:space="0" w:color="000000"/>
              <w:bottom w:val="single" w:sz="11" w:space="0" w:color="000000"/>
              <w:right w:val="single" w:sz="11" w:space="0" w:color="000000"/>
            </w:tcBorders>
          </w:tcPr>
          <w:p w14:paraId="73DCD05F" w14:textId="77777777" w:rsidR="0075553F" w:rsidRPr="00991CED" w:rsidRDefault="0075553F" w:rsidP="006D2A6B">
            <w:pPr>
              <w:widowControl w:val="0"/>
              <w:tabs>
                <w:tab w:val="clear" w:pos="567"/>
              </w:tabs>
              <w:spacing w:line="259" w:lineRule="exact"/>
              <w:ind w:left="79" w:right="-20"/>
              <w:rPr>
                <w:w w:val="104"/>
                <w:szCs w:val="22"/>
              </w:rPr>
            </w:pPr>
            <w:r>
              <w:t>8 седмици</w:t>
            </w:r>
          </w:p>
        </w:tc>
      </w:tr>
    </w:tbl>
    <w:p w14:paraId="2BDEC5EC" w14:textId="77777777" w:rsidR="00C9718C" w:rsidRDefault="00C9718C" w:rsidP="0075553F">
      <w:pPr>
        <w:tabs>
          <w:tab w:val="clear" w:pos="567"/>
        </w:tabs>
        <w:spacing w:line="240" w:lineRule="auto"/>
        <w:rPr>
          <w:i/>
          <w:szCs w:val="22"/>
          <w:u w:val="single"/>
        </w:rPr>
      </w:pPr>
    </w:p>
    <w:p w14:paraId="1C5BBF96" w14:textId="77777777" w:rsidR="0075553F" w:rsidRPr="00991CED" w:rsidRDefault="00A867CC" w:rsidP="0075553F">
      <w:pPr>
        <w:tabs>
          <w:tab w:val="clear" w:pos="567"/>
        </w:tabs>
        <w:spacing w:line="240" w:lineRule="auto"/>
        <w:rPr>
          <w:i/>
          <w:szCs w:val="22"/>
          <w:u w:val="single"/>
        </w:rPr>
      </w:pPr>
      <w:r>
        <w:rPr>
          <w:i/>
          <w:szCs w:val="22"/>
          <w:u w:val="single"/>
        </w:rPr>
        <w:t>Специални популации</w:t>
      </w:r>
    </w:p>
    <w:p w14:paraId="06D19099" w14:textId="77777777" w:rsidR="0075553F" w:rsidRPr="00991CED" w:rsidRDefault="0075553F" w:rsidP="0075553F">
      <w:pPr>
        <w:tabs>
          <w:tab w:val="clear" w:pos="567"/>
        </w:tabs>
        <w:spacing w:line="240" w:lineRule="auto"/>
        <w:rPr>
          <w:szCs w:val="22"/>
          <w:u w:val="single"/>
        </w:rPr>
      </w:pPr>
    </w:p>
    <w:p w14:paraId="30A4EC6A" w14:textId="77777777" w:rsidR="0075553F" w:rsidRPr="00991CED" w:rsidRDefault="00D54B78" w:rsidP="0075553F">
      <w:pPr>
        <w:tabs>
          <w:tab w:val="clear" w:pos="567"/>
        </w:tabs>
        <w:spacing w:line="240" w:lineRule="auto"/>
        <w:rPr>
          <w:i/>
          <w:szCs w:val="22"/>
        </w:rPr>
      </w:pPr>
      <w:r>
        <w:rPr>
          <w:i/>
          <w:szCs w:val="22"/>
        </w:rPr>
        <w:t>Нарушена бъбречна функция (креатининов клирънс ≤ 50 ml/min)</w:t>
      </w:r>
    </w:p>
    <w:p w14:paraId="343A4E5C" w14:textId="34B61BB7" w:rsidR="00CE100D" w:rsidRPr="00991CED" w:rsidRDefault="00CE100D" w:rsidP="0075553F">
      <w:pPr>
        <w:tabs>
          <w:tab w:val="clear" w:pos="567"/>
        </w:tabs>
        <w:spacing w:line="240" w:lineRule="auto"/>
        <w:rPr>
          <w:i/>
          <w:szCs w:val="22"/>
        </w:rPr>
      </w:pPr>
    </w:p>
    <w:tbl>
      <w:tblPr>
        <w:tblW w:w="0" w:type="auto"/>
        <w:tblLayout w:type="fixed"/>
        <w:tblCellMar>
          <w:left w:w="0" w:type="dxa"/>
          <w:right w:w="0" w:type="dxa"/>
        </w:tblCellMar>
        <w:tblLook w:val="01E0" w:firstRow="1" w:lastRow="1" w:firstColumn="1" w:lastColumn="1" w:noHBand="0" w:noVBand="0"/>
      </w:tblPr>
      <w:tblGrid>
        <w:gridCol w:w="1840"/>
        <w:gridCol w:w="2488"/>
        <w:gridCol w:w="2574"/>
        <w:gridCol w:w="2394"/>
      </w:tblGrid>
      <w:tr w:rsidR="0075553F" w:rsidRPr="00991CED" w14:paraId="2A65FC11" w14:textId="77777777" w:rsidTr="00E7688E">
        <w:trPr>
          <w:trHeight w:hRule="exact" w:val="288"/>
        </w:trPr>
        <w:tc>
          <w:tcPr>
            <w:tcW w:w="1840" w:type="dxa"/>
            <w:vMerge w:val="restart"/>
            <w:tcBorders>
              <w:top w:val="single" w:sz="11" w:space="0" w:color="000000"/>
              <w:left w:val="single" w:sz="11" w:space="0" w:color="000000"/>
              <w:right w:val="single" w:sz="8" w:space="0" w:color="000000"/>
            </w:tcBorders>
          </w:tcPr>
          <w:p w14:paraId="3D713F6E" w14:textId="77777777" w:rsidR="0075553F" w:rsidRPr="00991CED" w:rsidRDefault="0075553F" w:rsidP="0075553F">
            <w:pPr>
              <w:widowControl w:val="0"/>
              <w:tabs>
                <w:tab w:val="clear" w:pos="567"/>
              </w:tabs>
              <w:spacing w:after="200" w:line="276" w:lineRule="auto"/>
              <w:rPr>
                <w:rFonts w:eastAsia="Calibri"/>
                <w:szCs w:val="22"/>
                <w:lang w:val="en-US"/>
              </w:rPr>
            </w:pPr>
          </w:p>
        </w:tc>
        <w:tc>
          <w:tcPr>
            <w:tcW w:w="7456" w:type="dxa"/>
            <w:gridSpan w:val="3"/>
            <w:tcBorders>
              <w:top w:val="single" w:sz="11" w:space="0" w:color="000000"/>
              <w:left w:val="single" w:sz="8" w:space="0" w:color="000000"/>
              <w:bottom w:val="single" w:sz="11" w:space="0" w:color="000000"/>
              <w:right w:val="single" w:sz="11" w:space="0" w:color="000000"/>
            </w:tcBorders>
          </w:tcPr>
          <w:p w14:paraId="3C9B3C52" w14:textId="77777777" w:rsidR="0075553F" w:rsidRPr="00991CED" w:rsidRDefault="0075553F" w:rsidP="0075553F">
            <w:pPr>
              <w:widowControl w:val="0"/>
              <w:tabs>
                <w:tab w:val="clear" w:pos="567"/>
              </w:tabs>
              <w:spacing w:line="259" w:lineRule="exact"/>
              <w:ind w:left="2756" w:right="3198"/>
              <w:jc w:val="center"/>
              <w:rPr>
                <w:b/>
                <w:szCs w:val="22"/>
              </w:rPr>
            </w:pPr>
            <w:r>
              <w:rPr>
                <w:b/>
                <w:szCs w:val="22"/>
              </w:rPr>
              <w:t>Дозова схема</w:t>
            </w:r>
          </w:p>
        </w:tc>
      </w:tr>
      <w:tr w:rsidR="0075553F" w:rsidRPr="00991CED" w14:paraId="2C726B9A" w14:textId="77777777" w:rsidTr="00E7688E">
        <w:trPr>
          <w:trHeight w:hRule="exact" w:val="284"/>
        </w:trPr>
        <w:tc>
          <w:tcPr>
            <w:tcW w:w="1840" w:type="dxa"/>
            <w:vMerge/>
            <w:tcBorders>
              <w:left w:val="single" w:sz="11" w:space="0" w:color="000000"/>
              <w:bottom w:val="single" w:sz="8" w:space="0" w:color="000000"/>
              <w:right w:val="single" w:sz="8" w:space="0" w:color="000000"/>
            </w:tcBorders>
          </w:tcPr>
          <w:p w14:paraId="2583EFB2" w14:textId="77777777" w:rsidR="0075553F" w:rsidRPr="00991CED" w:rsidRDefault="0075553F" w:rsidP="0075553F">
            <w:pPr>
              <w:widowControl w:val="0"/>
              <w:tabs>
                <w:tab w:val="clear" w:pos="567"/>
              </w:tabs>
              <w:spacing w:after="200" w:line="276" w:lineRule="auto"/>
              <w:rPr>
                <w:rFonts w:eastAsia="Calibri"/>
                <w:szCs w:val="22"/>
                <w:lang w:val="en-US"/>
              </w:rPr>
            </w:pPr>
          </w:p>
        </w:tc>
        <w:tc>
          <w:tcPr>
            <w:tcW w:w="2488" w:type="dxa"/>
            <w:tcBorders>
              <w:top w:val="single" w:sz="11" w:space="0" w:color="000000"/>
              <w:left w:val="single" w:sz="8" w:space="0" w:color="000000"/>
              <w:bottom w:val="single" w:sz="8" w:space="0" w:color="000000"/>
              <w:right w:val="single" w:sz="11" w:space="0" w:color="000000"/>
            </w:tcBorders>
          </w:tcPr>
          <w:p w14:paraId="518F3922" w14:textId="77777777" w:rsidR="0075553F" w:rsidRPr="00991CED" w:rsidRDefault="006C797E" w:rsidP="0075553F">
            <w:pPr>
              <w:widowControl w:val="0"/>
              <w:tabs>
                <w:tab w:val="clear" w:pos="567"/>
              </w:tabs>
              <w:spacing w:line="259" w:lineRule="exact"/>
              <w:ind w:left="554" w:right="-20"/>
              <w:rPr>
                <w:b/>
                <w:szCs w:val="22"/>
              </w:rPr>
            </w:pPr>
            <w:r>
              <w:rPr>
                <w:b/>
                <w:szCs w:val="22"/>
              </w:rPr>
              <w:t>250 mg/24 h</w:t>
            </w:r>
          </w:p>
        </w:tc>
        <w:tc>
          <w:tcPr>
            <w:tcW w:w="2574" w:type="dxa"/>
            <w:tcBorders>
              <w:top w:val="single" w:sz="11" w:space="0" w:color="000000"/>
              <w:left w:val="single" w:sz="11" w:space="0" w:color="000000"/>
              <w:bottom w:val="single" w:sz="8" w:space="0" w:color="000000"/>
              <w:right w:val="single" w:sz="8" w:space="0" w:color="000000"/>
            </w:tcBorders>
          </w:tcPr>
          <w:p w14:paraId="7E8FB367" w14:textId="77777777" w:rsidR="0075553F" w:rsidRPr="00991CED" w:rsidRDefault="0075553F" w:rsidP="006C797E">
            <w:pPr>
              <w:widowControl w:val="0"/>
              <w:tabs>
                <w:tab w:val="clear" w:pos="567"/>
              </w:tabs>
              <w:spacing w:line="259" w:lineRule="exact"/>
              <w:ind w:left="605" w:right="-20"/>
              <w:rPr>
                <w:b/>
                <w:szCs w:val="22"/>
              </w:rPr>
            </w:pPr>
            <w:r>
              <w:rPr>
                <w:b/>
                <w:szCs w:val="22"/>
              </w:rPr>
              <w:t>500mg/24 h</w:t>
            </w:r>
          </w:p>
        </w:tc>
        <w:tc>
          <w:tcPr>
            <w:tcW w:w="2394" w:type="dxa"/>
            <w:tcBorders>
              <w:top w:val="single" w:sz="11" w:space="0" w:color="000000"/>
              <w:left w:val="single" w:sz="8" w:space="0" w:color="000000"/>
              <w:bottom w:val="single" w:sz="8" w:space="0" w:color="000000"/>
              <w:right w:val="single" w:sz="11" w:space="0" w:color="000000"/>
            </w:tcBorders>
          </w:tcPr>
          <w:p w14:paraId="69E25F64" w14:textId="77777777" w:rsidR="0075553F" w:rsidRPr="00991CED" w:rsidRDefault="006C797E" w:rsidP="0075553F">
            <w:pPr>
              <w:widowControl w:val="0"/>
              <w:tabs>
                <w:tab w:val="clear" w:pos="567"/>
              </w:tabs>
              <w:spacing w:line="259" w:lineRule="exact"/>
              <w:ind w:left="518" w:right="-20"/>
              <w:rPr>
                <w:b/>
                <w:szCs w:val="22"/>
              </w:rPr>
            </w:pPr>
            <w:r>
              <w:rPr>
                <w:b/>
                <w:szCs w:val="22"/>
              </w:rPr>
              <w:t>500 mg/12 h</w:t>
            </w:r>
          </w:p>
        </w:tc>
      </w:tr>
      <w:tr w:rsidR="0075553F" w:rsidRPr="00991CED" w14:paraId="15016970" w14:textId="77777777" w:rsidTr="00E7688E">
        <w:trPr>
          <w:trHeight w:hRule="exact" w:val="551"/>
        </w:trPr>
        <w:tc>
          <w:tcPr>
            <w:tcW w:w="1840" w:type="dxa"/>
            <w:tcBorders>
              <w:top w:val="single" w:sz="8" w:space="0" w:color="000000"/>
              <w:left w:val="single" w:sz="11" w:space="0" w:color="000000"/>
              <w:bottom w:val="single" w:sz="11" w:space="0" w:color="000000"/>
              <w:right w:val="single" w:sz="8" w:space="0" w:color="000000"/>
            </w:tcBorders>
          </w:tcPr>
          <w:p w14:paraId="7D300FBC" w14:textId="68CB0D69" w:rsidR="0075553F" w:rsidRPr="00991CED" w:rsidRDefault="0075553F" w:rsidP="00CE100D">
            <w:pPr>
              <w:widowControl w:val="0"/>
              <w:tabs>
                <w:tab w:val="clear" w:pos="567"/>
              </w:tabs>
              <w:spacing w:line="259" w:lineRule="exact"/>
              <w:ind w:left="115" w:right="-20"/>
              <w:rPr>
                <w:szCs w:val="22"/>
              </w:rPr>
            </w:pPr>
            <w:r>
              <w:rPr>
                <w:b/>
                <w:szCs w:val="22"/>
              </w:rPr>
              <w:t>Креатининов</w:t>
            </w:r>
            <w:r w:rsidR="00CE100D">
              <w:rPr>
                <w:b/>
                <w:szCs w:val="22"/>
                <w:lang w:val="hr-HR"/>
              </w:rPr>
              <w:t xml:space="preserve"> </w:t>
            </w:r>
            <w:r>
              <w:rPr>
                <w:b/>
                <w:szCs w:val="22"/>
              </w:rPr>
              <w:t>клирънс</w:t>
            </w:r>
          </w:p>
        </w:tc>
        <w:tc>
          <w:tcPr>
            <w:tcW w:w="2488" w:type="dxa"/>
            <w:tcBorders>
              <w:top w:val="single" w:sz="8" w:space="0" w:color="000000"/>
              <w:left w:val="single" w:sz="8" w:space="0" w:color="000000"/>
              <w:bottom w:val="single" w:sz="11" w:space="0" w:color="000000"/>
              <w:right w:val="single" w:sz="11" w:space="0" w:color="000000"/>
            </w:tcBorders>
          </w:tcPr>
          <w:p w14:paraId="37D8A352" w14:textId="77777777" w:rsidR="0075553F" w:rsidRPr="00991CED" w:rsidRDefault="0075553F" w:rsidP="0075553F">
            <w:pPr>
              <w:widowControl w:val="0"/>
              <w:tabs>
                <w:tab w:val="clear" w:pos="567"/>
              </w:tabs>
              <w:spacing w:before="6" w:line="110" w:lineRule="exact"/>
              <w:rPr>
                <w:rFonts w:eastAsia="Calibri"/>
                <w:szCs w:val="22"/>
                <w:lang w:val="en-US"/>
              </w:rPr>
            </w:pPr>
          </w:p>
          <w:p w14:paraId="0CFE5CBB" w14:textId="77777777" w:rsidR="0075553F" w:rsidRPr="00991CED" w:rsidRDefault="0075553F" w:rsidP="0075553F">
            <w:pPr>
              <w:widowControl w:val="0"/>
              <w:tabs>
                <w:tab w:val="clear" w:pos="567"/>
              </w:tabs>
              <w:spacing w:line="240" w:lineRule="auto"/>
              <w:ind w:left="266" w:right="-20"/>
              <w:rPr>
                <w:szCs w:val="22"/>
              </w:rPr>
            </w:pPr>
            <w:r>
              <w:rPr>
                <w:i/>
                <w:szCs w:val="22"/>
              </w:rPr>
              <w:t xml:space="preserve">първа доза: </w:t>
            </w:r>
            <w:r>
              <w:t>250 mg</w:t>
            </w:r>
          </w:p>
        </w:tc>
        <w:tc>
          <w:tcPr>
            <w:tcW w:w="2574" w:type="dxa"/>
            <w:tcBorders>
              <w:top w:val="single" w:sz="8" w:space="0" w:color="000000"/>
              <w:left w:val="single" w:sz="11" w:space="0" w:color="000000"/>
              <w:bottom w:val="single" w:sz="11" w:space="0" w:color="000000"/>
              <w:right w:val="single" w:sz="8" w:space="0" w:color="000000"/>
            </w:tcBorders>
          </w:tcPr>
          <w:p w14:paraId="1538208B" w14:textId="77777777" w:rsidR="0075553F" w:rsidRPr="00991CED" w:rsidRDefault="0075553F" w:rsidP="0075553F">
            <w:pPr>
              <w:widowControl w:val="0"/>
              <w:tabs>
                <w:tab w:val="clear" w:pos="567"/>
              </w:tabs>
              <w:spacing w:before="6" w:line="110" w:lineRule="exact"/>
              <w:rPr>
                <w:rFonts w:eastAsia="Calibri"/>
                <w:szCs w:val="22"/>
                <w:lang w:val="en-US"/>
              </w:rPr>
            </w:pPr>
          </w:p>
          <w:p w14:paraId="25452739" w14:textId="77777777" w:rsidR="0075553F" w:rsidRPr="00991CED" w:rsidRDefault="0075553F" w:rsidP="0075553F">
            <w:pPr>
              <w:widowControl w:val="0"/>
              <w:tabs>
                <w:tab w:val="clear" w:pos="567"/>
              </w:tabs>
              <w:spacing w:line="240" w:lineRule="auto"/>
              <w:ind w:left="302" w:right="-20"/>
              <w:rPr>
                <w:szCs w:val="22"/>
              </w:rPr>
            </w:pPr>
            <w:r>
              <w:rPr>
                <w:i/>
                <w:szCs w:val="22"/>
              </w:rPr>
              <w:t xml:space="preserve">първа доза: </w:t>
            </w:r>
            <w:r>
              <w:t>500 mg</w:t>
            </w:r>
          </w:p>
        </w:tc>
        <w:tc>
          <w:tcPr>
            <w:tcW w:w="2394" w:type="dxa"/>
            <w:tcBorders>
              <w:top w:val="single" w:sz="8" w:space="0" w:color="000000"/>
              <w:left w:val="single" w:sz="8" w:space="0" w:color="000000"/>
              <w:bottom w:val="single" w:sz="11" w:space="0" w:color="000000"/>
              <w:right w:val="single" w:sz="11" w:space="0" w:color="000000"/>
            </w:tcBorders>
          </w:tcPr>
          <w:p w14:paraId="68FE8E6C" w14:textId="77777777" w:rsidR="0075553F" w:rsidRPr="00991CED" w:rsidRDefault="0075553F" w:rsidP="0075553F">
            <w:pPr>
              <w:widowControl w:val="0"/>
              <w:tabs>
                <w:tab w:val="clear" w:pos="567"/>
              </w:tabs>
              <w:spacing w:before="6" w:line="110" w:lineRule="exact"/>
              <w:rPr>
                <w:rFonts w:eastAsia="Calibri"/>
                <w:szCs w:val="22"/>
                <w:lang w:val="en-US"/>
              </w:rPr>
            </w:pPr>
          </w:p>
          <w:p w14:paraId="08AAA17A" w14:textId="77777777" w:rsidR="0075553F" w:rsidRPr="00991CED" w:rsidRDefault="0075553F" w:rsidP="0075553F">
            <w:pPr>
              <w:widowControl w:val="0"/>
              <w:tabs>
                <w:tab w:val="clear" w:pos="567"/>
              </w:tabs>
              <w:spacing w:line="240" w:lineRule="auto"/>
              <w:ind w:left="216" w:right="-20"/>
              <w:rPr>
                <w:szCs w:val="22"/>
              </w:rPr>
            </w:pPr>
            <w:r>
              <w:rPr>
                <w:i/>
                <w:szCs w:val="22"/>
              </w:rPr>
              <w:t xml:space="preserve">първа доза: </w:t>
            </w:r>
            <w:r>
              <w:t>500 mg</w:t>
            </w:r>
          </w:p>
        </w:tc>
      </w:tr>
      <w:tr w:rsidR="0075553F" w:rsidRPr="00291AD9" w14:paraId="5133060B" w14:textId="77777777" w:rsidTr="00291AD9">
        <w:trPr>
          <w:trHeight w:hRule="exact" w:val="840"/>
        </w:trPr>
        <w:tc>
          <w:tcPr>
            <w:tcW w:w="1840" w:type="dxa"/>
            <w:tcBorders>
              <w:top w:val="single" w:sz="11" w:space="0" w:color="000000"/>
              <w:left w:val="single" w:sz="11" w:space="0" w:color="000000"/>
              <w:bottom w:val="single" w:sz="8" w:space="0" w:color="000000"/>
              <w:right w:val="single" w:sz="8" w:space="0" w:color="000000"/>
            </w:tcBorders>
          </w:tcPr>
          <w:p w14:paraId="7236B64A" w14:textId="77777777" w:rsidR="0075553F" w:rsidRPr="00995160" w:rsidRDefault="0075553F" w:rsidP="0075553F">
            <w:pPr>
              <w:widowControl w:val="0"/>
              <w:tabs>
                <w:tab w:val="clear" w:pos="567"/>
              </w:tabs>
              <w:spacing w:line="259" w:lineRule="exact"/>
              <w:ind w:left="122" w:right="-20"/>
              <w:rPr>
                <w:szCs w:val="22"/>
              </w:rPr>
            </w:pPr>
            <w:r w:rsidRPr="00995160">
              <w:t>50 – 20 ml/min</w:t>
            </w:r>
          </w:p>
        </w:tc>
        <w:tc>
          <w:tcPr>
            <w:tcW w:w="2488" w:type="dxa"/>
            <w:tcBorders>
              <w:top w:val="single" w:sz="11" w:space="0" w:color="000000"/>
              <w:left w:val="single" w:sz="8" w:space="0" w:color="000000"/>
              <w:bottom w:val="single" w:sz="8" w:space="0" w:color="000000"/>
              <w:right w:val="single" w:sz="11" w:space="0" w:color="000000"/>
            </w:tcBorders>
          </w:tcPr>
          <w:p w14:paraId="37FC3576" w14:textId="77777777" w:rsidR="0075553F" w:rsidRPr="00995160" w:rsidRDefault="0075553F" w:rsidP="0075553F">
            <w:pPr>
              <w:widowControl w:val="0"/>
              <w:tabs>
                <w:tab w:val="clear" w:pos="567"/>
              </w:tabs>
              <w:spacing w:line="251" w:lineRule="exact"/>
              <w:ind w:left="360" w:right="-20"/>
              <w:rPr>
                <w:szCs w:val="22"/>
              </w:rPr>
            </w:pPr>
            <w:r w:rsidRPr="00995160">
              <w:rPr>
                <w:i/>
                <w:szCs w:val="22"/>
              </w:rPr>
              <w:t xml:space="preserve">след това: </w:t>
            </w:r>
            <w:r w:rsidRPr="00995160">
              <w:t>125 mg/24 h</w:t>
            </w:r>
          </w:p>
        </w:tc>
        <w:tc>
          <w:tcPr>
            <w:tcW w:w="2574" w:type="dxa"/>
            <w:tcBorders>
              <w:top w:val="single" w:sz="11" w:space="0" w:color="000000"/>
              <w:left w:val="single" w:sz="11" w:space="0" w:color="000000"/>
              <w:bottom w:val="single" w:sz="8" w:space="0" w:color="000000"/>
              <w:right w:val="single" w:sz="8" w:space="0" w:color="000000"/>
            </w:tcBorders>
          </w:tcPr>
          <w:p w14:paraId="619BBE04" w14:textId="74AA9F6E" w:rsidR="0075553F" w:rsidRPr="00995160" w:rsidRDefault="0075553F" w:rsidP="0075553F">
            <w:pPr>
              <w:widowControl w:val="0"/>
              <w:tabs>
                <w:tab w:val="clear" w:pos="567"/>
              </w:tabs>
              <w:spacing w:line="251" w:lineRule="exact"/>
              <w:ind w:left="403" w:right="-20"/>
              <w:rPr>
                <w:szCs w:val="22"/>
              </w:rPr>
            </w:pPr>
            <w:r w:rsidRPr="00995160">
              <w:rPr>
                <w:i/>
                <w:szCs w:val="22"/>
              </w:rPr>
              <w:t xml:space="preserve">след това: </w:t>
            </w:r>
            <w:r w:rsidRPr="00995160">
              <w:t>250</w:t>
            </w:r>
            <w:r w:rsidR="00291AD9" w:rsidRPr="00995160">
              <w:rPr>
                <w:lang w:val="en-US"/>
              </w:rPr>
              <w:t> </w:t>
            </w:r>
            <w:r w:rsidRPr="00995160">
              <w:t xml:space="preserve"> mg/24 h</w:t>
            </w:r>
          </w:p>
        </w:tc>
        <w:tc>
          <w:tcPr>
            <w:tcW w:w="2394" w:type="dxa"/>
            <w:tcBorders>
              <w:top w:val="single" w:sz="11" w:space="0" w:color="000000"/>
              <w:left w:val="single" w:sz="8" w:space="0" w:color="000000"/>
              <w:bottom w:val="single" w:sz="8" w:space="0" w:color="000000"/>
              <w:right w:val="single" w:sz="11" w:space="0" w:color="000000"/>
            </w:tcBorders>
          </w:tcPr>
          <w:p w14:paraId="2ED58A9A" w14:textId="51E0A2BD" w:rsidR="0075553F" w:rsidRPr="00995160" w:rsidRDefault="0075553F" w:rsidP="0075553F">
            <w:pPr>
              <w:widowControl w:val="0"/>
              <w:tabs>
                <w:tab w:val="clear" w:pos="567"/>
              </w:tabs>
              <w:spacing w:line="251" w:lineRule="exact"/>
              <w:ind w:left="317" w:right="-20"/>
              <w:rPr>
                <w:szCs w:val="22"/>
              </w:rPr>
            </w:pPr>
            <w:r w:rsidRPr="00995160">
              <w:rPr>
                <w:i/>
                <w:szCs w:val="22"/>
              </w:rPr>
              <w:t xml:space="preserve">след това: </w:t>
            </w:r>
            <w:r w:rsidRPr="00995160">
              <w:t>250</w:t>
            </w:r>
            <w:r w:rsidR="00291AD9" w:rsidRPr="00995160">
              <w:rPr>
                <w:lang w:val="en-US"/>
              </w:rPr>
              <w:t> </w:t>
            </w:r>
            <w:r w:rsidRPr="00995160">
              <w:t xml:space="preserve"> mg/12 h</w:t>
            </w:r>
          </w:p>
        </w:tc>
      </w:tr>
      <w:tr w:rsidR="0075553F" w:rsidRPr="00291AD9" w14:paraId="08EEF3FF" w14:textId="77777777" w:rsidTr="00291AD9">
        <w:trPr>
          <w:trHeight w:hRule="exact" w:val="688"/>
        </w:trPr>
        <w:tc>
          <w:tcPr>
            <w:tcW w:w="1840" w:type="dxa"/>
            <w:tcBorders>
              <w:top w:val="single" w:sz="8" w:space="0" w:color="000000"/>
              <w:left w:val="single" w:sz="11" w:space="0" w:color="000000"/>
              <w:bottom w:val="single" w:sz="11" w:space="0" w:color="000000"/>
              <w:right w:val="single" w:sz="8" w:space="0" w:color="000000"/>
            </w:tcBorders>
          </w:tcPr>
          <w:p w14:paraId="2D7BB481" w14:textId="77777777" w:rsidR="0075553F" w:rsidRPr="00995160" w:rsidRDefault="0075553F" w:rsidP="0075553F">
            <w:pPr>
              <w:widowControl w:val="0"/>
              <w:tabs>
                <w:tab w:val="clear" w:pos="567"/>
              </w:tabs>
              <w:spacing w:before="1" w:line="258" w:lineRule="exact"/>
              <w:ind w:left="137" w:right="-20"/>
              <w:rPr>
                <w:szCs w:val="22"/>
              </w:rPr>
            </w:pPr>
            <w:r w:rsidRPr="00995160">
              <w:t>19 – 10 ml/min</w:t>
            </w:r>
          </w:p>
        </w:tc>
        <w:tc>
          <w:tcPr>
            <w:tcW w:w="2488" w:type="dxa"/>
            <w:tcBorders>
              <w:top w:val="single" w:sz="8" w:space="0" w:color="000000"/>
              <w:left w:val="single" w:sz="8" w:space="0" w:color="000000"/>
              <w:bottom w:val="single" w:sz="11" w:space="0" w:color="000000"/>
              <w:right w:val="single" w:sz="11" w:space="0" w:color="000000"/>
            </w:tcBorders>
          </w:tcPr>
          <w:p w14:paraId="7DC890E7" w14:textId="77777777" w:rsidR="0075553F" w:rsidRPr="00995160" w:rsidRDefault="0075553F" w:rsidP="0075553F">
            <w:pPr>
              <w:widowControl w:val="0"/>
              <w:tabs>
                <w:tab w:val="clear" w:pos="567"/>
              </w:tabs>
              <w:spacing w:line="259" w:lineRule="exact"/>
              <w:ind w:left="360" w:right="-20"/>
              <w:rPr>
                <w:szCs w:val="22"/>
              </w:rPr>
            </w:pPr>
            <w:r w:rsidRPr="00995160">
              <w:rPr>
                <w:i/>
                <w:szCs w:val="22"/>
              </w:rPr>
              <w:t xml:space="preserve">след това: </w:t>
            </w:r>
            <w:r w:rsidRPr="00995160">
              <w:t>125 mg/48 h</w:t>
            </w:r>
          </w:p>
        </w:tc>
        <w:tc>
          <w:tcPr>
            <w:tcW w:w="2574" w:type="dxa"/>
            <w:tcBorders>
              <w:top w:val="single" w:sz="8" w:space="0" w:color="000000"/>
              <w:left w:val="single" w:sz="11" w:space="0" w:color="000000"/>
              <w:bottom w:val="single" w:sz="11" w:space="0" w:color="000000"/>
              <w:right w:val="single" w:sz="8" w:space="0" w:color="000000"/>
            </w:tcBorders>
          </w:tcPr>
          <w:p w14:paraId="126BD82B" w14:textId="50B323BD" w:rsidR="0075553F" w:rsidRPr="00995160" w:rsidRDefault="0075553F" w:rsidP="0075553F">
            <w:pPr>
              <w:widowControl w:val="0"/>
              <w:tabs>
                <w:tab w:val="clear" w:pos="567"/>
              </w:tabs>
              <w:spacing w:line="259" w:lineRule="exact"/>
              <w:ind w:left="403" w:right="-20"/>
              <w:rPr>
                <w:szCs w:val="22"/>
              </w:rPr>
            </w:pPr>
            <w:r w:rsidRPr="00995160">
              <w:rPr>
                <w:i/>
                <w:szCs w:val="22"/>
              </w:rPr>
              <w:t xml:space="preserve">след това: </w:t>
            </w:r>
            <w:r w:rsidRPr="00995160">
              <w:t>125</w:t>
            </w:r>
            <w:r w:rsidR="00291AD9" w:rsidRPr="00995160">
              <w:rPr>
                <w:lang w:val="en-US"/>
              </w:rPr>
              <w:t> </w:t>
            </w:r>
            <w:r w:rsidRPr="00995160">
              <w:t xml:space="preserve"> mg/24 h</w:t>
            </w:r>
          </w:p>
        </w:tc>
        <w:tc>
          <w:tcPr>
            <w:tcW w:w="2394" w:type="dxa"/>
            <w:tcBorders>
              <w:top w:val="single" w:sz="8" w:space="0" w:color="000000"/>
              <w:left w:val="single" w:sz="8" w:space="0" w:color="000000"/>
              <w:bottom w:val="single" w:sz="11" w:space="0" w:color="000000"/>
              <w:right w:val="single" w:sz="11" w:space="0" w:color="000000"/>
            </w:tcBorders>
          </w:tcPr>
          <w:p w14:paraId="4E50B2FA" w14:textId="31D0071A" w:rsidR="0075553F" w:rsidRPr="00995160" w:rsidRDefault="0075553F" w:rsidP="0075553F">
            <w:pPr>
              <w:widowControl w:val="0"/>
              <w:tabs>
                <w:tab w:val="clear" w:pos="567"/>
              </w:tabs>
              <w:spacing w:line="259" w:lineRule="exact"/>
              <w:ind w:left="317" w:right="-20"/>
              <w:rPr>
                <w:szCs w:val="22"/>
              </w:rPr>
            </w:pPr>
            <w:r w:rsidRPr="00995160">
              <w:rPr>
                <w:i/>
                <w:szCs w:val="22"/>
              </w:rPr>
              <w:t xml:space="preserve">след това: </w:t>
            </w:r>
            <w:r w:rsidRPr="00995160">
              <w:t>125</w:t>
            </w:r>
            <w:r w:rsidR="00291AD9" w:rsidRPr="00995160">
              <w:rPr>
                <w:lang w:val="en-US"/>
              </w:rPr>
              <w:t> </w:t>
            </w:r>
            <w:r w:rsidRPr="00995160">
              <w:t xml:space="preserve"> mg/12 h</w:t>
            </w:r>
          </w:p>
        </w:tc>
      </w:tr>
      <w:tr w:rsidR="0075553F" w:rsidRPr="00991CED" w14:paraId="6A1623FD" w14:textId="77777777" w:rsidTr="00E7688E">
        <w:trPr>
          <w:trHeight w:hRule="exact" w:val="1141"/>
        </w:trPr>
        <w:tc>
          <w:tcPr>
            <w:tcW w:w="1840" w:type="dxa"/>
            <w:tcBorders>
              <w:top w:val="single" w:sz="11" w:space="0" w:color="000000"/>
              <w:left w:val="single" w:sz="11" w:space="0" w:color="000000"/>
              <w:bottom w:val="single" w:sz="11" w:space="0" w:color="000000"/>
              <w:right w:val="single" w:sz="8" w:space="0" w:color="000000"/>
            </w:tcBorders>
          </w:tcPr>
          <w:p w14:paraId="4322504C" w14:textId="0976B6BF" w:rsidR="0075553F" w:rsidRPr="00995160" w:rsidRDefault="0075553F" w:rsidP="00CE100D">
            <w:pPr>
              <w:widowControl w:val="0"/>
              <w:tabs>
                <w:tab w:val="clear" w:pos="567"/>
              </w:tabs>
              <w:ind w:left="115" w:right="-20"/>
              <w:rPr>
                <w:szCs w:val="22"/>
              </w:rPr>
            </w:pPr>
            <w:r w:rsidRPr="00995160">
              <w:t>&lt; 10 ml/min</w:t>
            </w:r>
            <w:r w:rsidR="00CE100D" w:rsidRPr="00995160">
              <w:rPr>
                <w:lang w:val="hr-HR"/>
              </w:rPr>
              <w:t xml:space="preserve"> </w:t>
            </w:r>
            <w:r w:rsidRPr="00995160">
              <w:t>(включително хемодиализа и НАПД)1</w:t>
            </w:r>
          </w:p>
        </w:tc>
        <w:tc>
          <w:tcPr>
            <w:tcW w:w="2488" w:type="dxa"/>
            <w:tcBorders>
              <w:top w:val="single" w:sz="11" w:space="0" w:color="000000"/>
              <w:left w:val="single" w:sz="8" w:space="0" w:color="000000"/>
              <w:bottom w:val="single" w:sz="11" w:space="0" w:color="000000"/>
              <w:right w:val="single" w:sz="11" w:space="0" w:color="000000"/>
            </w:tcBorders>
          </w:tcPr>
          <w:p w14:paraId="166F46DC" w14:textId="77777777" w:rsidR="0075553F" w:rsidRPr="00995160" w:rsidRDefault="0075553F" w:rsidP="0075553F">
            <w:pPr>
              <w:widowControl w:val="0"/>
              <w:tabs>
                <w:tab w:val="clear" w:pos="567"/>
              </w:tabs>
              <w:spacing w:before="3" w:line="180" w:lineRule="exact"/>
              <w:rPr>
                <w:rFonts w:eastAsia="Calibri"/>
                <w:szCs w:val="22"/>
                <w:lang w:val="en-US"/>
              </w:rPr>
            </w:pPr>
          </w:p>
          <w:p w14:paraId="45FE11D4" w14:textId="77777777" w:rsidR="0075553F" w:rsidRPr="00995160" w:rsidRDefault="0075553F" w:rsidP="0075553F">
            <w:pPr>
              <w:widowControl w:val="0"/>
              <w:tabs>
                <w:tab w:val="clear" w:pos="567"/>
              </w:tabs>
              <w:spacing w:line="200" w:lineRule="exact"/>
              <w:rPr>
                <w:rFonts w:eastAsia="Calibri"/>
                <w:szCs w:val="22"/>
                <w:lang w:val="en-US"/>
              </w:rPr>
            </w:pPr>
          </w:p>
          <w:p w14:paraId="3EFEDCCA" w14:textId="77777777" w:rsidR="0075553F" w:rsidRPr="00995160" w:rsidRDefault="0075553F" w:rsidP="0075553F">
            <w:pPr>
              <w:widowControl w:val="0"/>
              <w:tabs>
                <w:tab w:val="clear" w:pos="567"/>
              </w:tabs>
              <w:spacing w:line="240" w:lineRule="auto"/>
              <w:ind w:left="360" w:right="-20"/>
              <w:rPr>
                <w:szCs w:val="22"/>
              </w:rPr>
            </w:pPr>
            <w:r w:rsidRPr="00995160">
              <w:rPr>
                <w:i/>
                <w:szCs w:val="22"/>
              </w:rPr>
              <w:t xml:space="preserve">след това: </w:t>
            </w:r>
            <w:r w:rsidRPr="00995160">
              <w:t>125 mg/48 h</w:t>
            </w:r>
          </w:p>
        </w:tc>
        <w:tc>
          <w:tcPr>
            <w:tcW w:w="2574" w:type="dxa"/>
            <w:tcBorders>
              <w:top w:val="single" w:sz="11" w:space="0" w:color="000000"/>
              <w:left w:val="single" w:sz="11" w:space="0" w:color="000000"/>
              <w:bottom w:val="single" w:sz="11" w:space="0" w:color="000000"/>
              <w:right w:val="single" w:sz="8" w:space="0" w:color="000000"/>
            </w:tcBorders>
          </w:tcPr>
          <w:p w14:paraId="52690501" w14:textId="77777777" w:rsidR="0075553F" w:rsidRPr="00995160" w:rsidRDefault="0075553F" w:rsidP="0075553F">
            <w:pPr>
              <w:widowControl w:val="0"/>
              <w:tabs>
                <w:tab w:val="clear" w:pos="567"/>
              </w:tabs>
              <w:spacing w:before="3" w:line="180" w:lineRule="exact"/>
              <w:rPr>
                <w:rFonts w:eastAsia="Calibri"/>
                <w:szCs w:val="22"/>
                <w:lang w:val="en-US"/>
              </w:rPr>
            </w:pPr>
          </w:p>
          <w:p w14:paraId="21F1C61D" w14:textId="77777777" w:rsidR="0075553F" w:rsidRPr="00995160" w:rsidRDefault="0075553F" w:rsidP="0075553F">
            <w:pPr>
              <w:widowControl w:val="0"/>
              <w:tabs>
                <w:tab w:val="clear" w:pos="567"/>
              </w:tabs>
              <w:spacing w:line="200" w:lineRule="exact"/>
              <w:rPr>
                <w:rFonts w:eastAsia="Calibri"/>
                <w:szCs w:val="22"/>
                <w:lang w:val="en-US"/>
              </w:rPr>
            </w:pPr>
          </w:p>
          <w:p w14:paraId="534A1CB4" w14:textId="036EEF58" w:rsidR="0075553F" w:rsidRPr="00995160" w:rsidRDefault="0075553F" w:rsidP="0075553F">
            <w:pPr>
              <w:widowControl w:val="0"/>
              <w:tabs>
                <w:tab w:val="clear" w:pos="567"/>
              </w:tabs>
              <w:spacing w:line="240" w:lineRule="auto"/>
              <w:ind w:left="403" w:right="-20"/>
              <w:rPr>
                <w:szCs w:val="22"/>
              </w:rPr>
            </w:pPr>
            <w:r w:rsidRPr="00995160">
              <w:rPr>
                <w:i/>
                <w:szCs w:val="22"/>
              </w:rPr>
              <w:t xml:space="preserve">след това: </w:t>
            </w:r>
            <w:r w:rsidRPr="00995160">
              <w:t>125</w:t>
            </w:r>
            <w:r w:rsidR="00291AD9" w:rsidRPr="00995160">
              <w:rPr>
                <w:lang w:val="en-US"/>
              </w:rPr>
              <w:t> </w:t>
            </w:r>
            <w:r w:rsidRPr="00995160">
              <w:t xml:space="preserve"> mg/24 h</w:t>
            </w:r>
          </w:p>
        </w:tc>
        <w:tc>
          <w:tcPr>
            <w:tcW w:w="2394" w:type="dxa"/>
            <w:tcBorders>
              <w:top w:val="single" w:sz="11" w:space="0" w:color="000000"/>
              <w:left w:val="single" w:sz="8" w:space="0" w:color="000000"/>
              <w:bottom w:val="single" w:sz="11" w:space="0" w:color="000000"/>
              <w:right w:val="single" w:sz="11" w:space="0" w:color="000000"/>
            </w:tcBorders>
          </w:tcPr>
          <w:p w14:paraId="5D3BFAE2" w14:textId="77777777" w:rsidR="0075553F" w:rsidRPr="00995160" w:rsidRDefault="0075553F" w:rsidP="0075553F">
            <w:pPr>
              <w:widowControl w:val="0"/>
              <w:tabs>
                <w:tab w:val="clear" w:pos="567"/>
              </w:tabs>
              <w:spacing w:before="3" w:line="180" w:lineRule="exact"/>
              <w:rPr>
                <w:rFonts w:eastAsia="Calibri"/>
                <w:szCs w:val="22"/>
                <w:lang w:val="en-US"/>
              </w:rPr>
            </w:pPr>
          </w:p>
          <w:p w14:paraId="6114939B" w14:textId="77777777" w:rsidR="0075553F" w:rsidRPr="00995160" w:rsidRDefault="0075553F" w:rsidP="0075553F">
            <w:pPr>
              <w:widowControl w:val="0"/>
              <w:tabs>
                <w:tab w:val="clear" w:pos="567"/>
              </w:tabs>
              <w:spacing w:line="200" w:lineRule="exact"/>
              <w:rPr>
                <w:rFonts w:eastAsia="Calibri"/>
                <w:szCs w:val="22"/>
                <w:lang w:val="en-US"/>
              </w:rPr>
            </w:pPr>
          </w:p>
          <w:p w14:paraId="6D6F838A" w14:textId="14AD2D24" w:rsidR="0075553F" w:rsidRPr="00995160" w:rsidRDefault="0075553F" w:rsidP="0075553F">
            <w:pPr>
              <w:widowControl w:val="0"/>
              <w:tabs>
                <w:tab w:val="clear" w:pos="567"/>
              </w:tabs>
              <w:spacing w:line="240" w:lineRule="auto"/>
              <w:ind w:left="317" w:right="-20"/>
              <w:rPr>
                <w:szCs w:val="22"/>
              </w:rPr>
            </w:pPr>
            <w:r w:rsidRPr="00995160">
              <w:rPr>
                <w:i/>
                <w:szCs w:val="22"/>
              </w:rPr>
              <w:t xml:space="preserve">след това: </w:t>
            </w:r>
            <w:r w:rsidRPr="00995160">
              <w:t>125</w:t>
            </w:r>
            <w:r w:rsidR="00291AD9" w:rsidRPr="00995160">
              <w:rPr>
                <w:lang w:val="en-US"/>
              </w:rPr>
              <w:t> </w:t>
            </w:r>
            <w:r w:rsidRPr="00995160">
              <w:t xml:space="preserve"> mg/24 h</w:t>
            </w:r>
          </w:p>
        </w:tc>
      </w:tr>
    </w:tbl>
    <w:p w14:paraId="6E6F9F9D" w14:textId="77777777" w:rsidR="006C797E" w:rsidRPr="00991CED" w:rsidRDefault="000562A9" w:rsidP="009F7EBF">
      <w:pPr>
        <w:tabs>
          <w:tab w:val="clear" w:pos="567"/>
        </w:tabs>
        <w:spacing w:line="240" w:lineRule="auto"/>
        <w:rPr>
          <w:szCs w:val="22"/>
        </w:rPr>
      </w:pPr>
      <w:r>
        <w:t xml:space="preserve">1 Не се налагат допълнителни дози след хемодиализа или непрекъсната амбулаторна перитонеална диализа (НАПД). </w:t>
      </w:r>
    </w:p>
    <w:p w14:paraId="4B4B29CB" w14:textId="77777777" w:rsidR="006C797E" w:rsidRPr="00991CED" w:rsidRDefault="006C797E" w:rsidP="009F7EBF">
      <w:pPr>
        <w:tabs>
          <w:tab w:val="clear" w:pos="567"/>
        </w:tabs>
        <w:spacing w:line="240" w:lineRule="auto"/>
        <w:rPr>
          <w:szCs w:val="22"/>
        </w:rPr>
      </w:pPr>
    </w:p>
    <w:p w14:paraId="1D8F2FFB" w14:textId="77777777" w:rsidR="006C797E" w:rsidRPr="00991CED" w:rsidRDefault="006C797E" w:rsidP="009F7EBF">
      <w:pPr>
        <w:tabs>
          <w:tab w:val="clear" w:pos="567"/>
        </w:tabs>
        <w:spacing w:line="240" w:lineRule="auto"/>
        <w:rPr>
          <w:i/>
          <w:w w:val="105"/>
          <w:szCs w:val="22"/>
        </w:rPr>
      </w:pPr>
      <w:r>
        <w:rPr>
          <w:i/>
          <w:szCs w:val="22"/>
        </w:rPr>
        <w:t>Нарушена чернодробна функция</w:t>
      </w:r>
    </w:p>
    <w:p w14:paraId="193084DB" w14:textId="77777777" w:rsidR="006C797E" w:rsidRPr="00991CED" w:rsidRDefault="006C797E" w:rsidP="009F7EBF">
      <w:pPr>
        <w:tabs>
          <w:tab w:val="clear" w:pos="567"/>
        </w:tabs>
        <w:spacing w:line="240" w:lineRule="auto"/>
        <w:rPr>
          <w:i/>
          <w:w w:val="105"/>
          <w:szCs w:val="22"/>
          <w:lang w:val="en-US"/>
        </w:rPr>
      </w:pPr>
    </w:p>
    <w:p w14:paraId="756582C6" w14:textId="77777777" w:rsidR="009F7EBF" w:rsidRPr="00991CED" w:rsidRDefault="009F7EBF" w:rsidP="009F7EBF">
      <w:pPr>
        <w:tabs>
          <w:tab w:val="clear" w:pos="567"/>
        </w:tabs>
        <w:spacing w:line="240" w:lineRule="auto"/>
        <w:rPr>
          <w:w w:val="105"/>
          <w:szCs w:val="22"/>
        </w:rPr>
      </w:pPr>
      <w:r>
        <w:t>Не се налага корекция на дозата, тъй като левофлоксацин не се метаболизира в значима степен от черния дроб и се екскретира основно чрез бъбреците.</w:t>
      </w:r>
    </w:p>
    <w:p w14:paraId="5256CF21" w14:textId="77777777" w:rsidR="009F7EBF" w:rsidRPr="00991CED" w:rsidRDefault="009F7EBF" w:rsidP="009F7EBF">
      <w:pPr>
        <w:tabs>
          <w:tab w:val="clear" w:pos="567"/>
        </w:tabs>
        <w:spacing w:line="240" w:lineRule="auto"/>
        <w:rPr>
          <w:w w:val="105"/>
          <w:szCs w:val="22"/>
          <w:lang w:val="en-US"/>
        </w:rPr>
      </w:pPr>
    </w:p>
    <w:p w14:paraId="6754FFB9" w14:textId="77777777" w:rsidR="009F7EBF" w:rsidRPr="00991CED" w:rsidRDefault="009F7EBF" w:rsidP="009F7EBF">
      <w:pPr>
        <w:tabs>
          <w:tab w:val="clear" w:pos="567"/>
        </w:tabs>
        <w:spacing w:line="240" w:lineRule="auto"/>
        <w:rPr>
          <w:i/>
          <w:w w:val="105"/>
          <w:szCs w:val="22"/>
        </w:rPr>
      </w:pPr>
      <w:r>
        <w:rPr>
          <w:i/>
          <w:szCs w:val="22"/>
        </w:rPr>
        <w:t>Популация в старческа възраст</w:t>
      </w:r>
    </w:p>
    <w:p w14:paraId="42E35B23" w14:textId="77777777" w:rsidR="009F7EBF" w:rsidRPr="00991CED" w:rsidRDefault="009F7EBF" w:rsidP="009F7EBF">
      <w:pPr>
        <w:tabs>
          <w:tab w:val="clear" w:pos="567"/>
        </w:tabs>
        <w:spacing w:line="240" w:lineRule="auto"/>
        <w:rPr>
          <w:w w:val="105"/>
          <w:szCs w:val="22"/>
          <w:lang w:val="en-US"/>
        </w:rPr>
      </w:pPr>
    </w:p>
    <w:p w14:paraId="272C1C04" w14:textId="77777777" w:rsidR="009F7EBF" w:rsidRPr="00991CED" w:rsidRDefault="009F7EBF" w:rsidP="009F7EBF">
      <w:pPr>
        <w:tabs>
          <w:tab w:val="clear" w:pos="567"/>
        </w:tabs>
        <w:spacing w:line="240" w:lineRule="auto"/>
        <w:rPr>
          <w:w w:val="105"/>
          <w:szCs w:val="22"/>
        </w:rPr>
      </w:pPr>
      <w:r>
        <w:t>Не се налага корекция на дозата при пациенти в старческа възраст, освен ако не съществуват данни за нарушена бъбречна функция (вж. точка 4.4 „Тендинит и руптури на сухожилията“ и „Удължаване на QT-интервала“).</w:t>
      </w:r>
    </w:p>
    <w:p w14:paraId="623B982C" w14:textId="77777777" w:rsidR="009F7EBF" w:rsidRPr="00991CED" w:rsidRDefault="009F7EBF" w:rsidP="009F7EBF">
      <w:pPr>
        <w:tabs>
          <w:tab w:val="clear" w:pos="567"/>
        </w:tabs>
        <w:spacing w:line="240" w:lineRule="auto"/>
        <w:rPr>
          <w:w w:val="105"/>
          <w:szCs w:val="22"/>
          <w:lang w:val="en-US"/>
        </w:rPr>
      </w:pPr>
    </w:p>
    <w:p w14:paraId="2349BE35" w14:textId="77777777" w:rsidR="009F7EBF" w:rsidRPr="00991CED" w:rsidRDefault="009F7EBF" w:rsidP="009F7EBF">
      <w:pPr>
        <w:tabs>
          <w:tab w:val="clear" w:pos="567"/>
        </w:tabs>
        <w:spacing w:line="240" w:lineRule="auto"/>
        <w:rPr>
          <w:i/>
          <w:w w:val="105"/>
          <w:szCs w:val="22"/>
        </w:rPr>
      </w:pPr>
      <w:r>
        <w:rPr>
          <w:i/>
          <w:szCs w:val="22"/>
        </w:rPr>
        <w:t>Педиатрична популация</w:t>
      </w:r>
    </w:p>
    <w:p w14:paraId="5F12B225" w14:textId="77777777" w:rsidR="009F7EBF" w:rsidRPr="00991CED" w:rsidRDefault="009F7EBF" w:rsidP="009F7EBF">
      <w:pPr>
        <w:tabs>
          <w:tab w:val="clear" w:pos="567"/>
        </w:tabs>
        <w:spacing w:line="240" w:lineRule="auto"/>
        <w:rPr>
          <w:w w:val="105"/>
          <w:szCs w:val="22"/>
          <w:lang w:val="en-US"/>
        </w:rPr>
      </w:pPr>
    </w:p>
    <w:p w14:paraId="6B492CCD" w14:textId="77777777" w:rsidR="00F32FA4" w:rsidRPr="00991CED" w:rsidRDefault="00F32FA4" w:rsidP="009F7EBF">
      <w:pPr>
        <w:tabs>
          <w:tab w:val="clear" w:pos="567"/>
        </w:tabs>
        <w:spacing w:line="240" w:lineRule="auto"/>
        <w:rPr>
          <w:w w:val="105"/>
          <w:szCs w:val="22"/>
        </w:rPr>
      </w:pPr>
      <w:r>
        <w:t xml:space="preserve">Фoвeлид е противопоказан при деца и юноши (вж. точка 4.3). </w:t>
      </w:r>
    </w:p>
    <w:p w14:paraId="71489BDF" w14:textId="77777777" w:rsidR="00F32FA4" w:rsidRPr="00991CED" w:rsidRDefault="00F32FA4" w:rsidP="009F7EBF">
      <w:pPr>
        <w:tabs>
          <w:tab w:val="clear" w:pos="567"/>
        </w:tabs>
        <w:spacing w:line="240" w:lineRule="auto"/>
        <w:rPr>
          <w:w w:val="105"/>
          <w:szCs w:val="22"/>
          <w:lang w:val="en-US"/>
        </w:rPr>
      </w:pPr>
    </w:p>
    <w:p w14:paraId="0990AD54" w14:textId="77777777" w:rsidR="009F7EBF" w:rsidRPr="00991CED" w:rsidRDefault="009F7EBF" w:rsidP="009F7EBF">
      <w:pPr>
        <w:tabs>
          <w:tab w:val="clear" w:pos="567"/>
        </w:tabs>
        <w:spacing w:line="240" w:lineRule="auto"/>
        <w:rPr>
          <w:w w:val="105"/>
          <w:szCs w:val="22"/>
          <w:u w:val="single"/>
        </w:rPr>
      </w:pPr>
      <w:r>
        <w:rPr>
          <w:szCs w:val="22"/>
          <w:u w:val="single"/>
        </w:rPr>
        <w:t>Начин на приложение</w:t>
      </w:r>
    </w:p>
    <w:p w14:paraId="0E5637FA" w14:textId="77777777" w:rsidR="00991055" w:rsidRPr="00991CED" w:rsidRDefault="00380AD5" w:rsidP="00991055">
      <w:pPr>
        <w:tabs>
          <w:tab w:val="clear" w:pos="567"/>
        </w:tabs>
        <w:spacing w:line="240" w:lineRule="auto"/>
        <w:rPr>
          <w:w w:val="105"/>
          <w:szCs w:val="22"/>
        </w:rPr>
      </w:pPr>
      <w:r>
        <w:t>Фoвeлид таблетки трябва да се поглъщат, без да се разтрошават и с достатъчно количество течност. Могат да се разделят по делителната черта за адаптиране на дозата. Таблетките може да се приемат по време на хранене или между храненията. Фoвeлид таблетки трябва да се приемат поне два часа преди или след приложението на железни соли, цинкови соли, магнезий- или алуминий-съдържащи антиациди или диданозин (</w:t>
      </w:r>
      <w:r>
        <w:rPr>
          <w:i/>
          <w:szCs w:val="22"/>
        </w:rPr>
        <w:t>само лекарствени форми на диданозин с алуминий- или магнезий-съдържащи буфериращи средства)</w:t>
      </w:r>
      <w:r>
        <w:t xml:space="preserve"> и сукралфат, тъй като може да настъпи намаляване на абсорбцията му (вж. точка 4.5).</w:t>
      </w:r>
    </w:p>
    <w:p w14:paraId="1CAE17BD" w14:textId="77777777" w:rsidR="00C53ACC" w:rsidRPr="00991CED" w:rsidRDefault="00C53ACC" w:rsidP="009F4BA4">
      <w:pPr>
        <w:tabs>
          <w:tab w:val="clear" w:pos="567"/>
        </w:tabs>
        <w:autoSpaceDE w:val="0"/>
        <w:autoSpaceDN w:val="0"/>
        <w:adjustRightInd w:val="0"/>
        <w:spacing w:line="240" w:lineRule="auto"/>
        <w:rPr>
          <w:szCs w:val="22"/>
        </w:rPr>
      </w:pPr>
    </w:p>
    <w:p w14:paraId="5DD15DB0" w14:textId="77777777" w:rsidR="001D29E6" w:rsidRPr="00991CED" w:rsidRDefault="001D29E6" w:rsidP="009F4BA4">
      <w:pPr>
        <w:spacing w:line="240" w:lineRule="auto"/>
        <w:ind w:left="567" w:hanging="567"/>
        <w:rPr>
          <w:szCs w:val="22"/>
        </w:rPr>
      </w:pPr>
      <w:r>
        <w:rPr>
          <w:b/>
          <w:szCs w:val="22"/>
        </w:rPr>
        <w:t>4.3</w:t>
      </w:r>
      <w:r>
        <w:rPr>
          <w:b/>
          <w:szCs w:val="22"/>
        </w:rPr>
        <w:tab/>
        <w:t>Противопоказания</w:t>
      </w:r>
    </w:p>
    <w:p w14:paraId="44041356" w14:textId="77777777" w:rsidR="001D29E6" w:rsidRPr="00991CED" w:rsidRDefault="001D29E6" w:rsidP="009F4BA4">
      <w:pPr>
        <w:spacing w:line="240" w:lineRule="auto"/>
        <w:rPr>
          <w:szCs w:val="22"/>
        </w:rPr>
      </w:pPr>
    </w:p>
    <w:p w14:paraId="6B66A162" w14:textId="77777777" w:rsidR="00605F6A" w:rsidRPr="00991CED" w:rsidRDefault="00605F6A" w:rsidP="00605F6A">
      <w:pPr>
        <w:spacing w:line="240" w:lineRule="auto"/>
        <w:rPr>
          <w:szCs w:val="22"/>
        </w:rPr>
      </w:pPr>
      <w:r>
        <w:t>Левофлоксацин таблетки не трябва да се използват:</w:t>
      </w:r>
    </w:p>
    <w:p w14:paraId="5B4A0FF5" w14:textId="77777777" w:rsidR="00605F6A" w:rsidRPr="00991CED" w:rsidRDefault="00605F6A" w:rsidP="00605F6A">
      <w:pPr>
        <w:spacing w:line="240" w:lineRule="auto"/>
        <w:rPr>
          <w:szCs w:val="22"/>
        </w:rPr>
      </w:pPr>
    </w:p>
    <w:p w14:paraId="4352FE73" w14:textId="788920B0" w:rsidR="00605F6A" w:rsidRPr="00991CED" w:rsidRDefault="00605F6A" w:rsidP="00C224B2">
      <w:pPr>
        <w:spacing w:line="240" w:lineRule="auto"/>
        <w:ind w:left="567"/>
        <w:rPr>
          <w:szCs w:val="22"/>
        </w:rPr>
      </w:pPr>
      <w:r>
        <w:t>• при пациенти, свръхчувствителни към левофлоксацин или други хинолони, или някое от помощните вещества, изброени в точка 6.1</w:t>
      </w:r>
      <w:r w:rsidR="00846201">
        <w:rPr>
          <w:lang w:val="en-US"/>
        </w:rPr>
        <w:t>,</w:t>
      </w:r>
    </w:p>
    <w:p w14:paraId="61F85073" w14:textId="3FB80A2E" w:rsidR="00605F6A" w:rsidRPr="00991CED" w:rsidRDefault="00605F6A" w:rsidP="00C224B2">
      <w:pPr>
        <w:spacing w:line="240" w:lineRule="auto"/>
        <w:ind w:left="567"/>
        <w:rPr>
          <w:szCs w:val="22"/>
        </w:rPr>
      </w:pPr>
      <w:r>
        <w:t>• при пациенти с епилепсия</w:t>
      </w:r>
      <w:r w:rsidR="00846201">
        <w:rPr>
          <w:lang w:val="en-US"/>
        </w:rPr>
        <w:t>,</w:t>
      </w:r>
    </w:p>
    <w:p w14:paraId="0E334158" w14:textId="126B6580" w:rsidR="00605F6A" w:rsidRPr="00991CED" w:rsidRDefault="00605F6A" w:rsidP="00C224B2">
      <w:pPr>
        <w:spacing w:line="240" w:lineRule="auto"/>
        <w:ind w:left="567"/>
        <w:rPr>
          <w:szCs w:val="22"/>
        </w:rPr>
      </w:pPr>
      <w:r>
        <w:t>• при пациенти с анамнеза за нарушения на сухожилията, свързани с приложение на флуорохинолони</w:t>
      </w:r>
      <w:r w:rsidR="00846201">
        <w:rPr>
          <w:lang w:val="en-US"/>
        </w:rPr>
        <w:t>,</w:t>
      </w:r>
    </w:p>
    <w:p w14:paraId="5F5E8038" w14:textId="3D218A5C" w:rsidR="00605F6A" w:rsidRPr="00991CED" w:rsidRDefault="00605F6A" w:rsidP="00C224B2">
      <w:pPr>
        <w:spacing w:line="240" w:lineRule="auto"/>
        <w:ind w:left="567"/>
        <w:rPr>
          <w:szCs w:val="22"/>
        </w:rPr>
      </w:pPr>
      <w:r>
        <w:lastRenderedPageBreak/>
        <w:t>• при деца или юноши</w:t>
      </w:r>
      <w:r w:rsidR="00846201">
        <w:rPr>
          <w:lang w:val="en-US"/>
        </w:rPr>
        <w:t>,</w:t>
      </w:r>
    </w:p>
    <w:p w14:paraId="4769C779" w14:textId="4AC5C15D" w:rsidR="00605F6A" w:rsidRPr="00991CED" w:rsidRDefault="00605F6A" w:rsidP="00C224B2">
      <w:pPr>
        <w:spacing w:line="240" w:lineRule="auto"/>
        <w:ind w:left="567"/>
        <w:rPr>
          <w:szCs w:val="22"/>
        </w:rPr>
      </w:pPr>
      <w:r>
        <w:t>• по време на бременност</w:t>
      </w:r>
      <w:r w:rsidR="00846201">
        <w:rPr>
          <w:lang w:val="en-US"/>
        </w:rPr>
        <w:t>,</w:t>
      </w:r>
    </w:p>
    <w:p w14:paraId="401652B6" w14:textId="77777777" w:rsidR="00605F6A" w:rsidRPr="00991CED" w:rsidRDefault="00605F6A" w:rsidP="00C224B2">
      <w:pPr>
        <w:spacing w:line="240" w:lineRule="auto"/>
        <w:ind w:left="567"/>
        <w:rPr>
          <w:szCs w:val="22"/>
        </w:rPr>
      </w:pPr>
      <w:r>
        <w:t>• при кърмачки.</w:t>
      </w:r>
    </w:p>
    <w:p w14:paraId="336FDD38" w14:textId="77777777" w:rsidR="001D29E6" w:rsidRPr="00991CED" w:rsidRDefault="001D29E6" w:rsidP="009F4BA4">
      <w:pPr>
        <w:spacing w:line="240" w:lineRule="auto"/>
        <w:rPr>
          <w:szCs w:val="22"/>
        </w:rPr>
      </w:pPr>
    </w:p>
    <w:p w14:paraId="658683A9" w14:textId="77777777" w:rsidR="001D29E6" w:rsidRPr="00991CED" w:rsidRDefault="001D29E6" w:rsidP="009F4BA4">
      <w:pPr>
        <w:spacing w:line="240" w:lineRule="auto"/>
        <w:ind w:left="567" w:hanging="567"/>
        <w:rPr>
          <w:b/>
          <w:szCs w:val="22"/>
        </w:rPr>
      </w:pPr>
      <w:r>
        <w:rPr>
          <w:b/>
          <w:szCs w:val="22"/>
        </w:rPr>
        <w:t>4.4</w:t>
      </w:r>
      <w:r>
        <w:rPr>
          <w:b/>
          <w:szCs w:val="22"/>
        </w:rPr>
        <w:tab/>
        <w:t>Специални предупреждения и предпазни мерки при употреба</w:t>
      </w:r>
    </w:p>
    <w:p w14:paraId="7475CDD2" w14:textId="77777777" w:rsidR="00C53ACC" w:rsidRPr="00991CED" w:rsidRDefault="00C53ACC" w:rsidP="009F4BA4">
      <w:pPr>
        <w:spacing w:line="240" w:lineRule="auto"/>
        <w:ind w:left="567" w:hanging="567"/>
        <w:rPr>
          <w:szCs w:val="22"/>
        </w:rPr>
      </w:pPr>
    </w:p>
    <w:p w14:paraId="6665F2EA" w14:textId="77777777" w:rsidR="00906B69" w:rsidRPr="00991CED" w:rsidRDefault="00906B69" w:rsidP="00906B69">
      <w:pPr>
        <w:tabs>
          <w:tab w:val="clear" w:pos="567"/>
        </w:tabs>
        <w:spacing w:line="240" w:lineRule="auto"/>
        <w:rPr>
          <w:noProof/>
          <w:szCs w:val="22"/>
        </w:rPr>
      </w:pPr>
      <w:r>
        <w:t xml:space="preserve">Употребата на левофлоксацин трябва да се избягва при пациенти, които са имали сериозни нежелани реакции в миналото при употреба на продукти, съдържащи хинолони или флуорохинолони (вж. точка 4.8). </w:t>
      </w:r>
    </w:p>
    <w:p w14:paraId="7024DE23" w14:textId="77777777" w:rsidR="00906B69" w:rsidRPr="00991CED" w:rsidRDefault="00906B69" w:rsidP="00906B69">
      <w:pPr>
        <w:tabs>
          <w:tab w:val="clear" w:pos="567"/>
        </w:tabs>
        <w:spacing w:line="240" w:lineRule="auto"/>
        <w:rPr>
          <w:noProof/>
          <w:szCs w:val="22"/>
          <w:lang w:val="en-US"/>
        </w:rPr>
      </w:pPr>
    </w:p>
    <w:p w14:paraId="516ACA77" w14:textId="77777777" w:rsidR="00906B69" w:rsidRPr="00991CED" w:rsidRDefault="00906B69" w:rsidP="00906B69">
      <w:pPr>
        <w:tabs>
          <w:tab w:val="clear" w:pos="567"/>
        </w:tabs>
        <w:spacing w:line="240" w:lineRule="auto"/>
        <w:rPr>
          <w:noProof/>
          <w:szCs w:val="22"/>
        </w:rPr>
      </w:pPr>
      <w:r>
        <w:t>Лечението на тези пациенти с левофлоксацин трябва да се започва само при липса на алтернативни възможности за лечение и след внимателна оценка на съотношението полза/риск (вж. също точка 4.3.)</w:t>
      </w:r>
    </w:p>
    <w:p w14:paraId="08E62AD9" w14:textId="77777777" w:rsidR="00906B69" w:rsidRPr="00991CED" w:rsidRDefault="00906B69" w:rsidP="00906B69">
      <w:pPr>
        <w:tabs>
          <w:tab w:val="clear" w:pos="567"/>
        </w:tabs>
        <w:spacing w:line="240" w:lineRule="auto"/>
        <w:rPr>
          <w:noProof/>
          <w:szCs w:val="22"/>
          <w:lang w:val="en-US"/>
        </w:rPr>
      </w:pPr>
    </w:p>
    <w:p w14:paraId="010684BA" w14:textId="77777777" w:rsidR="00906B69" w:rsidRPr="00991CED" w:rsidRDefault="00906B69" w:rsidP="00906B69">
      <w:pPr>
        <w:tabs>
          <w:tab w:val="clear" w:pos="567"/>
        </w:tabs>
        <w:spacing w:line="240" w:lineRule="auto"/>
        <w:rPr>
          <w:i/>
          <w:noProof/>
          <w:szCs w:val="22"/>
        </w:rPr>
      </w:pPr>
      <w:r>
        <w:rPr>
          <w:i/>
          <w:szCs w:val="22"/>
        </w:rPr>
        <w:t>Риск от резистентност</w:t>
      </w:r>
    </w:p>
    <w:p w14:paraId="721E8864" w14:textId="77777777" w:rsidR="00025CED" w:rsidRPr="00991CED" w:rsidRDefault="00025CED" w:rsidP="00906B69">
      <w:pPr>
        <w:tabs>
          <w:tab w:val="clear" w:pos="567"/>
        </w:tabs>
        <w:spacing w:line="240" w:lineRule="auto"/>
        <w:rPr>
          <w:noProof/>
          <w:szCs w:val="22"/>
        </w:rPr>
      </w:pPr>
    </w:p>
    <w:p w14:paraId="186366B5" w14:textId="291FEDED" w:rsidR="00605F6A" w:rsidRPr="00991CED" w:rsidRDefault="00605F6A" w:rsidP="00906B69">
      <w:pPr>
        <w:tabs>
          <w:tab w:val="clear" w:pos="567"/>
        </w:tabs>
        <w:spacing w:line="240" w:lineRule="auto"/>
        <w:rPr>
          <w:noProof/>
          <w:szCs w:val="22"/>
        </w:rPr>
      </w:pPr>
      <w:r>
        <w:t xml:space="preserve">Много вероятно е метицилин-резистентни </w:t>
      </w:r>
      <w:r>
        <w:rPr>
          <w:i/>
          <w:szCs w:val="22"/>
        </w:rPr>
        <w:t>S. aureus</w:t>
      </w:r>
      <w:r>
        <w:t xml:space="preserve"> да имат ко</w:t>
      </w:r>
      <w:r w:rsidR="004313E7">
        <w:t>-</w:t>
      </w:r>
      <w:r>
        <w:t>резистентност към флуорохинолони, включително левофлоксацин. Поради това левофлоксацин не се препоръчва за лечението на известни или подозирани инфекции с метицилин-резистентни Staphylococcus aureus (methicillin-resistant Staphylococcus aureus, MRSA), освен ако лабораторни резултати потвърдят чувствителност на микроорганизма спрямо левофлоксацин (и препоръчваните обикновено антибактериални средства за лечение на инфекции с MRSA са счетени за неподходящи).</w:t>
      </w:r>
    </w:p>
    <w:p w14:paraId="3867EEDE" w14:textId="77777777" w:rsidR="00605F6A" w:rsidRPr="00991CED" w:rsidRDefault="00605F6A" w:rsidP="00605F6A">
      <w:pPr>
        <w:tabs>
          <w:tab w:val="clear" w:pos="567"/>
        </w:tabs>
        <w:spacing w:line="240" w:lineRule="auto"/>
        <w:rPr>
          <w:noProof/>
          <w:szCs w:val="22"/>
          <w:u w:val="single"/>
        </w:rPr>
      </w:pPr>
    </w:p>
    <w:p w14:paraId="06438E92" w14:textId="77777777" w:rsidR="00605F6A" w:rsidRPr="00991CED" w:rsidRDefault="00605F6A" w:rsidP="00605F6A">
      <w:pPr>
        <w:tabs>
          <w:tab w:val="clear" w:pos="567"/>
        </w:tabs>
        <w:spacing w:line="240" w:lineRule="auto"/>
        <w:rPr>
          <w:noProof/>
          <w:szCs w:val="22"/>
        </w:rPr>
      </w:pPr>
      <w:r>
        <w:t>Левофлоксацин може да се използва за лечение на остър бактериален синузит и остра екзацербация на хроничен бронхит, когато тези инфекции са правилно диагностицирани.</w:t>
      </w:r>
    </w:p>
    <w:p w14:paraId="68C13B4C" w14:textId="77777777" w:rsidR="00605F6A" w:rsidRPr="00991CED" w:rsidRDefault="00605F6A" w:rsidP="00605F6A">
      <w:pPr>
        <w:tabs>
          <w:tab w:val="clear" w:pos="567"/>
        </w:tabs>
        <w:spacing w:line="240" w:lineRule="auto"/>
        <w:rPr>
          <w:noProof/>
          <w:szCs w:val="22"/>
        </w:rPr>
      </w:pPr>
    </w:p>
    <w:p w14:paraId="580CBEA8" w14:textId="77777777" w:rsidR="00605F6A" w:rsidRPr="00991CED" w:rsidRDefault="00605F6A" w:rsidP="00605F6A">
      <w:pPr>
        <w:tabs>
          <w:tab w:val="clear" w:pos="567"/>
        </w:tabs>
        <w:spacing w:line="240" w:lineRule="auto"/>
        <w:rPr>
          <w:noProof/>
          <w:szCs w:val="22"/>
        </w:rPr>
      </w:pPr>
      <w:r>
        <w:t xml:space="preserve">Резистентността спрямо флуорохинолони на </w:t>
      </w:r>
      <w:r>
        <w:rPr>
          <w:i/>
          <w:szCs w:val="22"/>
        </w:rPr>
        <w:t>E. coli</w:t>
      </w:r>
      <w:r>
        <w:t xml:space="preserve"> – най-честия патоген, свързан с инфекции на пикочните пътища – варира в рамките на Европейския съюз. Препоръчва се лекарите да вземат предвид локално преобладаващата резистентност спрямо флуорохинолони при </w:t>
      </w:r>
      <w:r>
        <w:rPr>
          <w:i/>
          <w:szCs w:val="22"/>
        </w:rPr>
        <w:t>E. coli</w:t>
      </w:r>
      <w:r>
        <w:t>.</w:t>
      </w:r>
    </w:p>
    <w:p w14:paraId="7BFB0A05" w14:textId="77777777" w:rsidR="00605F6A" w:rsidRPr="00991CED" w:rsidRDefault="00605F6A" w:rsidP="00605F6A">
      <w:pPr>
        <w:tabs>
          <w:tab w:val="clear" w:pos="567"/>
        </w:tabs>
        <w:spacing w:line="240" w:lineRule="auto"/>
        <w:rPr>
          <w:noProof/>
          <w:szCs w:val="22"/>
          <w:u w:val="single"/>
        </w:rPr>
      </w:pPr>
    </w:p>
    <w:p w14:paraId="68BC5D99" w14:textId="5EF28213" w:rsidR="00605F6A" w:rsidRPr="00991CED" w:rsidRDefault="00605F6A" w:rsidP="00605F6A">
      <w:pPr>
        <w:tabs>
          <w:tab w:val="clear" w:pos="567"/>
        </w:tabs>
        <w:spacing w:line="240" w:lineRule="auto"/>
        <w:rPr>
          <w:noProof/>
          <w:szCs w:val="22"/>
        </w:rPr>
      </w:pPr>
      <w:r>
        <w:t xml:space="preserve">Инхалаторен антракс: </w:t>
      </w:r>
      <w:r w:rsidR="00A45DD4">
        <w:t>у</w:t>
      </w:r>
      <w:r>
        <w:t xml:space="preserve">потребата при хора се основава на данни за чувствителността на </w:t>
      </w:r>
      <w:r>
        <w:rPr>
          <w:i/>
          <w:szCs w:val="22"/>
        </w:rPr>
        <w:t>Bacillus anthracis in vitro</w:t>
      </w:r>
      <w:r>
        <w:t xml:space="preserve"> и на експериментални данни при животни, заедно с ограничени данни при хора. Лекуващите лекари трябва да направят справка с националните и/или международните консенсусни документи за лечение на антракс.</w:t>
      </w:r>
    </w:p>
    <w:p w14:paraId="1D5F931F" w14:textId="77777777" w:rsidR="00605F6A" w:rsidRPr="00991CED" w:rsidRDefault="00605F6A" w:rsidP="00605F6A">
      <w:pPr>
        <w:tabs>
          <w:tab w:val="clear" w:pos="567"/>
        </w:tabs>
        <w:spacing w:line="240" w:lineRule="auto"/>
        <w:rPr>
          <w:noProof/>
          <w:szCs w:val="22"/>
        </w:rPr>
      </w:pPr>
    </w:p>
    <w:p w14:paraId="769BCC3F" w14:textId="77777777" w:rsidR="00906B69" w:rsidRPr="00991CED" w:rsidRDefault="00906B69" w:rsidP="00906B69">
      <w:pPr>
        <w:tabs>
          <w:tab w:val="clear" w:pos="567"/>
        </w:tabs>
        <w:spacing w:line="240" w:lineRule="auto"/>
        <w:rPr>
          <w:noProof/>
          <w:szCs w:val="22"/>
        </w:rPr>
      </w:pPr>
      <w:r>
        <w:rPr>
          <w:i/>
          <w:iCs/>
          <w:szCs w:val="22"/>
        </w:rPr>
        <w:t xml:space="preserve">Продължителни, инвалидизиращи и потенциално необратими сериозни нежелани лекарствени реакции </w:t>
      </w:r>
    </w:p>
    <w:p w14:paraId="51F791BC" w14:textId="77777777" w:rsidR="00906B69" w:rsidRPr="00991CED" w:rsidRDefault="00906B69" w:rsidP="00906B69">
      <w:pPr>
        <w:tabs>
          <w:tab w:val="clear" w:pos="567"/>
        </w:tabs>
        <w:spacing w:line="240" w:lineRule="auto"/>
        <w:rPr>
          <w:noProof/>
          <w:szCs w:val="22"/>
          <w:lang w:val="en-US"/>
        </w:rPr>
      </w:pPr>
    </w:p>
    <w:p w14:paraId="219EB516" w14:textId="188DEC18" w:rsidR="00906B69" w:rsidRPr="00991CED" w:rsidRDefault="00906B69" w:rsidP="00906B69">
      <w:pPr>
        <w:tabs>
          <w:tab w:val="clear" w:pos="567"/>
        </w:tabs>
        <w:spacing w:line="240" w:lineRule="auto"/>
        <w:rPr>
          <w:noProof/>
          <w:szCs w:val="22"/>
        </w:rPr>
      </w:pPr>
      <w:r>
        <w:t>Съобщава се за много редки случаи на продължителни (продължаващи месеци или години), инвалидизиращи и потенциално необратими сериозни нежелани лекарствени реакции, засягащи различни, понякога много, системи в организма (мускулно-скелетна, нервна система, психика и сетивни органи) при пациенти, получаващи хинолони и флуорохинолони, независимо от тяхната възраст и вече съществуващите рискови фактори. Левофлоксацин трябва да се спре незабавно при първите признаци или симптоми на всяка сериозна нежелана реакция, като пациентите трябва да бъдат посъветвани да се свържат с лекаря, предписал лекарството, за съвет.</w:t>
      </w:r>
    </w:p>
    <w:p w14:paraId="6095D406" w14:textId="77777777" w:rsidR="00906B69" w:rsidRPr="00991CED" w:rsidRDefault="00906B69" w:rsidP="00605F6A">
      <w:pPr>
        <w:tabs>
          <w:tab w:val="clear" w:pos="567"/>
        </w:tabs>
        <w:spacing w:line="240" w:lineRule="auto"/>
        <w:rPr>
          <w:noProof/>
          <w:szCs w:val="22"/>
        </w:rPr>
      </w:pPr>
    </w:p>
    <w:p w14:paraId="6EF3CB82" w14:textId="77777777" w:rsidR="00605F6A" w:rsidRPr="00991CED" w:rsidRDefault="00605F6A" w:rsidP="00605F6A">
      <w:pPr>
        <w:tabs>
          <w:tab w:val="clear" w:pos="567"/>
        </w:tabs>
        <w:spacing w:line="240" w:lineRule="auto"/>
        <w:rPr>
          <w:i/>
          <w:noProof/>
          <w:szCs w:val="22"/>
        </w:rPr>
      </w:pPr>
      <w:r>
        <w:rPr>
          <w:i/>
          <w:szCs w:val="22"/>
        </w:rPr>
        <w:t>Тендинит и разкъсване на сухожилие</w:t>
      </w:r>
    </w:p>
    <w:p w14:paraId="19D3388F" w14:textId="77777777" w:rsidR="00605F6A" w:rsidRPr="00991CED" w:rsidRDefault="00605F6A" w:rsidP="00605F6A">
      <w:pPr>
        <w:tabs>
          <w:tab w:val="clear" w:pos="567"/>
        </w:tabs>
        <w:spacing w:line="240" w:lineRule="auto"/>
        <w:rPr>
          <w:noProof/>
          <w:szCs w:val="22"/>
        </w:rPr>
      </w:pPr>
    </w:p>
    <w:p w14:paraId="572D8304" w14:textId="77777777" w:rsidR="00906B69" w:rsidRPr="00991CED" w:rsidRDefault="00906B69" w:rsidP="00906B69">
      <w:pPr>
        <w:tabs>
          <w:tab w:val="clear" w:pos="567"/>
        </w:tabs>
        <w:spacing w:line="240" w:lineRule="auto"/>
        <w:rPr>
          <w:noProof/>
          <w:szCs w:val="22"/>
        </w:rPr>
      </w:pPr>
      <w:r>
        <w:t xml:space="preserve">Тендинит и разкъсване на сухожилие (по-специално ахилесово сухожилие, но без да се ограничава само до него), понякога двустранно, може да се получи още в рамките на 48 часа от започване на лечението с хинолони и флуорохинолони, като има съобщения за такива, развили се дори до </w:t>
      </w:r>
      <w:r>
        <w:lastRenderedPageBreak/>
        <w:t xml:space="preserve">няколко месеца след прекратяване на лечението. Рискът от тендинит и разкъсване на сухожилие се повишава при по-възрастни пациенти, пациенти с бъбречно увреждане, пациенти с трансплантиран солиден орган, пациенти, получаващи левофлоксацин в дневни дози 1000 mg, и такива, лекувани съпътстващо с кортикостероиди. По тази причина съпътстващата употреба на кортикостероиди трябва да се избягва. </w:t>
      </w:r>
    </w:p>
    <w:p w14:paraId="08080BB8" w14:textId="77777777" w:rsidR="00906B69" w:rsidRPr="00991CED" w:rsidRDefault="00906B69" w:rsidP="00906B69">
      <w:pPr>
        <w:tabs>
          <w:tab w:val="clear" w:pos="567"/>
        </w:tabs>
        <w:spacing w:line="240" w:lineRule="auto"/>
        <w:rPr>
          <w:noProof/>
          <w:szCs w:val="22"/>
        </w:rPr>
      </w:pPr>
      <w:r>
        <w:t>При първия признак на тендинит (напр. болезнено подуване, възпаление) лечението с левофлоксацин трябва да се прекрати и да се обмисли алтернативно лечение. Засегнатият(те) крайник(ци) трябва да бъде(ат) лекуван(и) по подходящ начин (напр. обездвижване). Не трябва да се използват кортикостероиди, ако се появят признаци на тендинопатия.</w:t>
      </w:r>
    </w:p>
    <w:p w14:paraId="37B64E76" w14:textId="77777777" w:rsidR="00605F6A" w:rsidRPr="00991CED" w:rsidRDefault="00605F6A" w:rsidP="00605F6A">
      <w:pPr>
        <w:tabs>
          <w:tab w:val="clear" w:pos="567"/>
        </w:tabs>
        <w:spacing w:line="240" w:lineRule="auto"/>
        <w:rPr>
          <w:noProof/>
          <w:szCs w:val="22"/>
          <w:u w:val="single"/>
        </w:rPr>
      </w:pPr>
    </w:p>
    <w:p w14:paraId="67ECDCAE" w14:textId="77777777" w:rsidR="00605F6A" w:rsidRPr="00991CED" w:rsidRDefault="00605F6A" w:rsidP="00605F6A">
      <w:pPr>
        <w:tabs>
          <w:tab w:val="clear" w:pos="567"/>
        </w:tabs>
        <w:spacing w:line="240" w:lineRule="auto"/>
        <w:rPr>
          <w:i/>
          <w:noProof/>
          <w:szCs w:val="22"/>
        </w:rPr>
      </w:pPr>
      <w:r>
        <w:rPr>
          <w:i/>
          <w:szCs w:val="22"/>
        </w:rPr>
        <w:t>Заболявания, свързани с Clostridium difficile</w:t>
      </w:r>
    </w:p>
    <w:p w14:paraId="04DAFAEC" w14:textId="77777777" w:rsidR="00605F6A" w:rsidRPr="00991CED" w:rsidRDefault="00605F6A" w:rsidP="00605F6A">
      <w:pPr>
        <w:tabs>
          <w:tab w:val="clear" w:pos="567"/>
        </w:tabs>
        <w:spacing w:line="240" w:lineRule="auto"/>
        <w:rPr>
          <w:noProof/>
          <w:szCs w:val="22"/>
        </w:rPr>
      </w:pPr>
    </w:p>
    <w:p w14:paraId="5FD8DEF0" w14:textId="77777777" w:rsidR="00605F6A" w:rsidRPr="00991CED" w:rsidRDefault="00605F6A" w:rsidP="00605F6A">
      <w:pPr>
        <w:tabs>
          <w:tab w:val="clear" w:pos="567"/>
        </w:tabs>
        <w:spacing w:line="240" w:lineRule="auto"/>
        <w:rPr>
          <w:noProof/>
          <w:szCs w:val="22"/>
        </w:rPr>
      </w:pPr>
      <w:r>
        <w:t xml:space="preserve">Диарията, особено ако е тежка, продължителна и/или кървава, по време на или след лечение с левофлоксацин (включително няколко седмици след лечението), може да бъде симптоматична за заболяване, свързано с </w:t>
      </w:r>
      <w:r>
        <w:rPr>
          <w:i/>
          <w:szCs w:val="22"/>
        </w:rPr>
        <w:t>Clostridium difficile</w:t>
      </w:r>
      <w:r>
        <w:t xml:space="preserve"> (Clostridium difficile-associated disease, CDAD). CDAD може да варира по тежест – от леко до животозастрашаващо, най-тежката форма на което е псевдомембранозен колит (вж. точка 4.8). Ето защо е важно тази диагноза да се вземе предвид при пациенти, които развиват тежка диария по време на или след лечение с левофлоксацин. Ако има съмнение или се потвърди CDAD, левофлоксацин трябва да се спре незабавно и веднага да се започне подходящо лечение. Лекарствените продукти, потискащи перисталтиката, са противопоказани в тази клинична ситуация.</w:t>
      </w:r>
    </w:p>
    <w:p w14:paraId="1DED87AA" w14:textId="77777777" w:rsidR="00605F6A" w:rsidRPr="00991CED" w:rsidRDefault="00605F6A" w:rsidP="00605F6A">
      <w:pPr>
        <w:tabs>
          <w:tab w:val="clear" w:pos="567"/>
        </w:tabs>
        <w:spacing w:line="240" w:lineRule="auto"/>
        <w:rPr>
          <w:noProof/>
          <w:szCs w:val="22"/>
          <w:u w:val="single"/>
        </w:rPr>
      </w:pPr>
    </w:p>
    <w:p w14:paraId="3C7A3C81" w14:textId="77777777" w:rsidR="00F17057" w:rsidRPr="00991CED" w:rsidRDefault="00605F6A" w:rsidP="00E651D3">
      <w:pPr>
        <w:tabs>
          <w:tab w:val="clear" w:pos="567"/>
        </w:tabs>
        <w:spacing w:line="240" w:lineRule="auto"/>
        <w:rPr>
          <w:szCs w:val="22"/>
        </w:rPr>
      </w:pPr>
      <w:r>
        <w:rPr>
          <w:i/>
          <w:szCs w:val="22"/>
        </w:rPr>
        <w:t>Пациенти, предразположени към гърчове</w:t>
      </w:r>
      <w:r>
        <w:t xml:space="preserve"> </w:t>
      </w:r>
    </w:p>
    <w:p w14:paraId="38700019" w14:textId="77777777" w:rsidR="005E0171" w:rsidRPr="00991CED" w:rsidRDefault="005E0171" w:rsidP="00E651D3">
      <w:pPr>
        <w:tabs>
          <w:tab w:val="clear" w:pos="567"/>
        </w:tabs>
        <w:spacing w:line="240" w:lineRule="auto"/>
        <w:rPr>
          <w:noProof/>
          <w:szCs w:val="22"/>
        </w:rPr>
      </w:pPr>
    </w:p>
    <w:p w14:paraId="3BC093C0" w14:textId="77777777" w:rsidR="00E651D3" w:rsidRPr="00991CED" w:rsidRDefault="00E651D3" w:rsidP="00E651D3">
      <w:pPr>
        <w:tabs>
          <w:tab w:val="clear" w:pos="567"/>
        </w:tabs>
        <w:spacing w:line="240" w:lineRule="auto"/>
        <w:rPr>
          <w:noProof/>
          <w:szCs w:val="22"/>
        </w:rPr>
      </w:pPr>
      <w:r>
        <w:t>Хинолоните могат да снижат гърчовия праг и да предизвикат гърчове. Левофлоксацин е противопоказан при пациенти с анамнеза за епилепсия (вж. точка 4.3) и, както при другите хинолони, трябва да се прилага с повишено внимание при пациенти, предразположени към гърчове или на съпътстващо лечение с активни вещества, които снижават церебралния гърчов праг, като теофилин (вж. точка 4.5). В случай на конвулсивни гърчове (вж. точка 4.8) лечението с левофлоксацин трябва да се прекрати.</w:t>
      </w:r>
    </w:p>
    <w:p w14:paraId="65F11054" w14:textId="77777777" w:rsidR="00E651D3" w:rsidRPr="00991CED" w:rsidRDefault="00E651D3" w:rsidP="00E651D3">
      <w:pPr>
        <w:tabs>
          <w:tab w:val="clear" w:pos="567"/>
        </w:tabs>
        <w:spacing w:line="240" w:lineRule="auto"/>
        <w:rPr>
          <w:noProof/>
          <w:szCs w:val="22"/>
        </w:rPr>
      </w:pPr>
    </w:p>
    <w:p w14:paraId="6C0C4FB6" w14:textId="77777777" w:rsidR="00E651D3" w:rsidRPr="00991CED" w:rsidRDefault="00E651D3" w:rsidP="00E651D3">
      <w:pPr>
        <w:tabs>
          <w:tab w:val="clear" w:pos="567"/>
        </w:tabs>
        <w:spacing w:line="240" w:lineRule="auto"/>
        <w:rPr>
          <w:i/>
          <w:noProof/>
          <w:szCs w:val="22"/>
        </w:rPr>
      </w:pPr>
      <w:r>
        <w:rPr>
          <w:i/>
          <w:szCs w:val="22"/>
        </w:rPr>
        <w:t>Пациенти с недостиг на глюкозо-6-фосфат дехидрогеназа</w:t>
      </w:r>
    </w:p>
    <w:p w14:paraId="2F5AFA38" w14:textId="77777777" w:rsidR="00E651D3" w:rsidRPr="00991CED" w:rsidRDefault="00E651D3" w:rsidP="00E651D3">
      <w:pPr>
        <w:tabs>
          <w:tab w:val="clear" w:pos="567"/>
        </w:tabs>
        <w:spacing w:line="240" w:lineRule="auto"/>
        <w:rPr>
          <w:noProof/>
          <w:szCs w:val="22"/>
        </w:rPr>
      </w:pPr>
    </w:p>
    <w:p w14:paraId="503E0EFC" w14:textId="77777777" w:rsidR="00E651D3" w:rsidRPr="00991CED" w:rsidRDefault="00E651D3" w:rsidP="00E651D3">
      <w:pPr>
        <w:tabs>
          <w:tab w:val="clear" w:pos="567"/>
        </w:tabs>
        <w:spacing w:line="240" w:lineRule="auto"/>
        <w:rPr>
          <w:noProof/>
          <w:szCs w:val="22"/>
        </w:rPr>
      </w:pPr>
      <w:r>
        <w:t>Пациентите с латентен или изявен недостиг на глюкозо-6-фосфат дехидрогеназна активност може да са предразположени към хемолитични реакции, когато са на лечение с хинолонови антибактериални средства. Затова ако при такива пациенти трябва да се използва левофлоксацин, е необходимо да се следи за евентуална поява на хемолиза.</w:t>
      </w:r>
    </w:p>
    <w:p w14:paraId="77D1AED0" w14:textId="77777777" w:rsidR="00E651D3" w:rsidRPr="00991CED" w:rsidRDefault="00E651D3" w:rsidP="00E651D3">
      <w:pPr>
        <w:tabs>
          <w:tab w:val="clear" w:pos="567"/>
        </w:tabs>
        <w:spacing w:line="240" w:lineRule="auto"/>
        <w:rPr>
          <w:noProof/>
          <w:szCs w:val="22"/>
        </w:rPr>
      </w:pPr>
    </w:p>
    <w:p w14:paraId="422C5687" w14:textId="77777777" w:rsidR="00E651D3" w:rsidRPr="00991CED" w:rsidRDefault="00E651D3" w:rsidP="00E651D3">
      <w:pPr>
        <w:tabs>
          <w:tab w:val="clear" w:pos="567"/>
        </w:tabs>
        <w:spacing w:line="240" w:lineRule="auto"/>
        <w:rPr>
          <w:i/>
          <w:noProof/>
          <w:szCs w:val="22"/>
          <w:u w:val="single"/>
        </w:rPr>
      </w:pPr>
      <w:r>
        <w:rPr>
          <w:i/>
          <w:szCs w:val="22"/>
        </w:rPr>
        <w:t>Пациенти с бъбречно увреждане</w:t>
      </w:r>
    </w:p>
    <w:p w14:paraId="3A004159" w14:textId="77777777" w:rsidR="00E651D3" w:rsidRPr="00991CED" w:rsidRDefault="00E651D3" w:rsidP="00E651D3">
      <w:pPr>
        <w:tabs>
          <w:tab w:val="clear" w:pos="567"/>
        </w:tabs>
        <w:spacing w:line="240" w:lineRule="auto"/>
        <w:rPr>
          <w:noProof/>
          <w:szCs w:val="22"/>
          <w:u w:val="single"/>
        </w:rPr>
      </w:pPr>
    </w:p>
    <w:p w14:paraId="36D7D809" w14:textId="77777777" w:rsidR="00E651D3" w:rsidRPr="00991CED" w:rsidRDefault="00E651D3" w:rsidP="00E651D3">
      <w:pPr>
        <w:tabs>
          <w:tab w:val="clear" w:pos="567"/>
        </w:tabs>
        <w:spacing w:line="240" w:lineRule="auto"/>
        <w:rPr>
          <w:noProof/>
          <w:szCs w:val="22"/>
        </w:rPr>
      </w:pPr>
      <w:r>
        <w:t>Тъй като левофлоксацин се екскретира основно чрез бъбреците, дозата на левофлоксацин трябва да бъде коригирана при пациенти с бъбречно увреждане (вж. точка 4. 2).</w:t>
      </w:r>
    </w:p>
    <w:p w14:paraId="1187AFE8" w14:textId="77777777" w:rsidR="00E651D3" w:rsidRPr="00991CED" w:rsidRDefault="00E651D3" w:rsidP="00E651D3">
      <w:pPr>
        <w:tabs>
          <w:tab w:val="clear" w:pos="567"/>
        </w:tabs>
        <w:spacing w:line="240" w:lineRule="auto"/>
        <w:rPr>
          <w:noProof/>
          <w:szCs w:val="22"/>
          <w:u w:val="single"/>
        </w:rPr>
      </w:pPr>
    </w:p>
    <w:p w14:paraId="1D741A92" w14:textId="77777777" w:rsidR="00E651D3" w:rsidRPr="00991CED" w:rsidRDefault="00E651D3" w:rsidP="00E651D3">
      <w:pPr>
        <w:tabs>
          <w:tab w:val="clear" w:pos="567"/>
        </w:tabs>
        <w:spacing w:line="240" w:lineRule="auto"/>
        <w:rPr>
          <w:i/>
          <w:noProof/>
          <w:szCs w:val="22"/>
        </w:rPr>
      </w:pPr>
      <w:r>
        <w:rPr>
          <w:i/>
          <w:szCs w:val="22"/>
        </w:rPr>
        <w:t>Реакции на свръхчувствителност</w:t>
      </w:r>
    </w:p>
    <w:p w14:paraId="0A2C0ADD" w14:textId="77777777" w:rsidR="00E651D3" w:rsidRPr="00991CED" w:rsidRDefault="00E651D3" w:rsidP="00E651D3">
      <w:pPr>
        <w:tabs>
          <w:tab w:val="clear" w:pos="567"/>
        </w:tabs>
        <w:spacing w:line="240" w:lineRule="auto"/>
        <w:rPr>
          <w:noProof/>
          <w:szCs w:val="22"/>
          <w:u w:val="single"/>
        </w:rPr>
      </w:pPr>
    </w:p>
    <w:p w14:paraId="56A9801F" w14:textId="77777777" w:rsidR="00E651D3" w:rsidRPr="00991CED" w:rsidRDefault="00E651D3" w:rsidP="00E651D3">
      <w:pPr>
        <w:tabs>
          <w:tab w:val="clear" w:pos="567"/>
        </w:tabs>
        <w:spacing w:line="240" w:lineRule="auto"/>
        <w:rPr>
          <w:noProof/>
          <w:szCs w:val="22"/>
        </w:rPr>
      </w:pPr>
      <w:r>
        <w:t>Левофлоксацин може да причини сериозни, потенциално фатални реакции на свръхчувствителност (напр. ангиоедем до анафилактичен шок), понякога след началната доза (вж. точка 4.8). Пациентите трябва да прекратят лечението незабавно и да се свържат с лекаря си или с лекар от спешна помощ, който да предприеме подходящи спешни мерки.</w:t>
      </w:r>
    </w:p>
    <w:p w14:paraId="3FA51C2C" w14:textId="77777777" w:rsidR="00E651D3" w:rsidRPr="00991CED" w:rsidRDefault="00E651D3" w:rsidP="00E651D3">
      <w:pPr>
        <w:tabs>
          <w:tab w:val="clear" w:pos="567"/>
        </w:tabs>
        <w:spacing w:line="240" w:lineRule="auto"/>
        <w:rPr>
          <w:noProof/>
          <w:szCs w:val="22"/>
        </w:rPr>
      </w:pPr>
    </w:p>
    <w:p w14:paraId="17D587DE" w14:textId="52D7EE5D" w:rsidR="00CA64FC" w:rsidRPr="007F5D4C" w:rsidRDefault="00CA64FC" w:rsidP="00CA64FC">
      <w:pPr>
        <w:tabs>
          <w:tab w:val="clear" w:pos="567"/>
        </w:tabs>
        <w:spacing w:line="240" w:lineRule="auto"/>
        <w:rPr>
          <w:i/>
          <w:noProof/>
          <w:szCs w:val="22"/>
        </w:rPr>
      </w:pPr>
      <w:r>
        <w:rPr>
          <w:bCs/>
          <w:i/>
          <w:szCs w:val="22"/>
        </w:rPr>
        <w:t xml:space="preserve">Тежки кожни нежелани реакции </w:t>
      </w:r>
    </w:p>
    <w:p w14:paraId="75CA15C7" w14:textId="01F601E6" w:rsidR="00CA64FC" w:rsidRPr="00CA64FC" w:rsidRDefault="00CA64FC" w:rsidP="00CA64FC">
      <w:pPr>
        <w:tabs>
          <w:tab w:val="clear" w:pos="567"/>
        </w:tabs>
        <w:spacing w:line="240" w:lineRule="auto"/>
        <w:rPr>
          <w:noProof/>
          <w:szCs w:val="22"/>
        </w:rPr>
      </w:pPr>
      <w:r>
        <w:lastRenderedPageBreak/>
        <w:t>При употреба на левофлоксацин са съобщавани тежки кожни нежелани реакции (SCARs), включващи токсична епидермална некролиза (TEN: известна още като синдром на Lyell), синдром на Stevens-Johnson (SJS) и лекарствена реакция с еозинофилия и системни симптоми (DRESS), които може да са животозастрашаващи или с летален изход (вж. точка 4.8). При предписването на лекарствения продукт пациентите трябва да бъдат информирани за признаците и симптомите на тежките кожни реакции и да бъдат наблюдавани с повишено внимание. Ако се появят признаци и симптоми, показателни за тези реакции, приложението на левофлоксацин трябва да се преустанови незабавно и да се обмисли алтернативно лечение. Ако при употребата на левофлоксацин пациентът е развил сериозна реакция, като например SJS, TEN или DRESS, при този пациент не трябва да се започва отново лечение с левофлоксацин</w:t>
      </w:r>
      <w:r w:rsidR="00814497">
        <w:t>,</w:t>
      </w:r>
      <w:r>
        <w:t xml:space="preserve"> в който и да било момент.</w:t>
      </w:r>
    </w:p>
    <w:p w14:paraId="64B27418" w14:textId="77777777" w:rsidR="00E651D3" w:rsidRPr="00991CED" w:rsidRDefault="00E651D3" w:rsidP="00E651D3">
      <w:pPr>
        <w:tabs>
          <w:tab w:val="clear" w:pos="567"/>
        </w:tabs>
        <w:spacing w:line="240" w:lineRule="auto"/>
        <w:rPr>
          <w:noProof/>
          <w:szCs w:val="22"/>
        </w:rPr>
      </w:pPr>
    </w:p>
    <w:p w14:paraId="2D1C9FDA" w14:textId="77777777" w:rsidR="00E651D3" w:rsidRPr="00991CED" w:rsidRDefault="00E651D3" w:rsidP="00E651D3">
      <w:pPr>
        <w:tabs>
          <w:tab w:val="clear" w:pos="567"/>
        </w:tabs>
        <w:spacing w:line="240" w:lineRule="auto"/>
        <w:rPr>
          <w:i/>
          <w:noProof/>
          <w:szCs w:val="22"/>
        </w:rPr>
      </w:pPr>
      <w:r>
        <w:rPr>
          <w:i/>
          <w:szCs w:val="22"/>
        </w:rPr>
        <w:t>Дисгликемия</w:t>
      </w:r>
    </w:p>
    <w:p w14:paraId="3E2D2D96" w14:textId="77777777" w:rsidR="00E651D3" w:rsidRPr="00991CED" w:rsidRDefault="00E651D3" w:rsidP="00E651D3">
      <w:pPr>
        <w:tabs>
          <w:tab w:val="clear" w:pos="567"/>
        </w:tabs>
        <w:spacing w:line="240" w:lineRule="auto"/>
        <w:rPr>
          <w:noProof/>
          <w:szCs w:val="22"/>
        </w:rPr>
      </w:pPr>
    </w:p>
    <w:p w14:paraId="663AA097" w14:textId="77777777" w:rsidR="00E651D3" w:rsidRPr="00991CED" w:rsidRDefault="00E651D3" w:rsidP="00E651D3">
      <w:pPr>
        <w:tabs>
          <w:tab w:val="clear" w:pos="567"/>
        </w:tabs>
        <w:spacing w:line="240" w:lineRule="auto"/>
        <w:rPr>
          <w:noProof/>
          <w:szCs w:val="22"/>
        </w:rPr>
      </w:pPr>
      <w:r>
        <w:t>Както при всички хинолони, са съобщавани нарушения в кръвната захар, включващи както хипогликемия, така и хипергликемия, обикновено при пациенти с диабет, приемащи съпътстващо лечение с перорално хипогликемично средство (напр. глибенкламид) или с инсулин. Съобщавани са случаи на хипогликемична кома. При пациенти с диабет се препоръчва внимателно наблюдение на стойностите на кръвната захар (вж. точка 4.8).</w:t>
      </w:r>
    </w:p>
    <w:p w14:paraId="722FBD89" w14:textId="01D752D4" w:rsidR="00E651D3" w:rsidRDefault="00E651D3" w:rsidP="00E651D3">
      <w:pPr>
        <w:tabs>
          <w:tab w:val="clear" w:pos="567"/>
        </w:tabs>
        <w:spacing w:line="240" w:lineRule="auto"/>
        <w:rPr>
          <w:noProof/>
          <w:szCs w:val="22"/>
        </w:rPr>
      </w:pPr>
    </w:p>
    <w:p w14:paraId="2C39BBA6" w14:textId="5BA5B0F2" w:rsidR="00885830" w:rsidRPr="00991CED" w:rsidRDefault="00082799" w:rsidP="00E651D3">
      <w:pPr>
        <w:tabs>
          <w:tab w:val="clear" w:pos="567"/>
        </w:tabs>
        <w:spacing w:line="240" w:lineRule="auto"/>
        <w:rPr>
          <w:noProof/>
          <w:szCs w:val="22"/>
        </w:rPr>
      </w:pPr>
      <w:r>
        <w:rPr>
          <w:noProof/>
          <w:szCs w:val="22"/>
        </w:rPr>
        <w:t>Лечението с Фов</w:t>
      </w:r>
      <w:r w:rsidR="0014407F" w:rsidRPr="0014407F">
        <w:rPr>
          <w:noProof/>
          <w:szCs w:val="22"/>
        </w:rPr>
        <w:t xml:space="preserve">елид трябва да бъде прекратено незабавно, ако пациента докладва за изменение в кръвната захар и трябва да се обмисли алтернативна нехинолонова терапия. </w:t>
      </w:r>
    </w:p>
    <w:p w14:paraId="52A97680" w14:textId="77777777" w:rsidR="00291AD9" w:rsidRDefault="00291AD9" w:rsidP="00E651D3">
      <w:pPr>
        <w:tabs>
          <w:tab w:val="clear" w:pos="567"/>
        </w:tabs>
        <w:spacing w:line="240" w:lineRule="auto"/>
        <w:rPr>
          <w:i/>
          <w:szCs w:val="22"/>
        </w:rPr>
      </w:pPr>
    </w:p>
    <w:p w14:paraId="2C871433" w14:textId="77777777" w:rsidR="00E651D3" w:rsidRPr="00991CED" w:rsidRDefault="00E651D3" w:rsidP="00E651D3">
      <w:pPr>
        <w:tabs>
          <w:tab w:val="clear" w:pos="567"/>
        </w:tabs>
        <w:spacing w:line="240" w:lineRule="auto"/>
        <w:rPr>
          <w:i/>
          <w:noProof/>
          <w:szCs w:val="22"/>
        </w:rPr>
      </w:pPr>
      <w:r>
        <w:rPr>
          <w:i/>
          <w:szCs w:val="22"/>
        </w:rPr>
        <w:t>Предпазване от фоточувствителност</w:t>
      </w:r>
    </w:p>
    <w:p w14:paraId="551EC3DD" w14:textId="77777777" w:rsidR="00E651D3" w:rsidRPr="00991CED" w:rsidRDefault="00E651D3" w:rsidP="00E651D3">
      <w:pPr>
        <w:tabs>
          <w:tab w:val="clear" w:pos="567"/>
        </w:tabs>
        <w:spacing w:line="240" w:lineRule="auto"/>
        <w:rPr>
          <w:noProof/>
          <w:szCs w:val="22"/>
        </w:rPr>
      </w:pPr>
    </w:p>
    <w:p w14:paraId="184CDF3D" w14:textId="77777777" w:rsidR="00E651D3" w:rsidRPr="00991CED" w:rsidRDefault="00E651D3" w:rsidP="00E651D3">
      <w:pPr>
        <w:tabs>
          <w:tab w:val="clear" w:pos="567"/>
        </w:tabs>
        <w:spacing w:line="240" w:lineRule="auto"/>
        <w:rPr>
          <w:noProof/>
          <w:szCs w:val="22"/>
        </w:rPr>
      </w:pPr>
      <w:r>
        <w:t>При левофлоксацин е съобщавана фоточувствителност (вж. точка 4.8). Препоръчва се пациентите да не се излагат без нужда на силна слънчева светлина или на изкуствени UV лъчи (напр. кварцова лампа, солариум) по време на лечението и 48 часа след прекратяването му с цел предпазване от фоточувствителност.</w:t>
      </w:r>
    </w:p>
    <w:p w14:paraId="581CD47E" w14:textId="77777777" w:rsidR="005F1B9D" w:rsidRDefault="005F1B9D" w:rsidP="00E651D3">
      <w:pPr>
        <w:tabs>
          <w:tab w:val="clear" w:pos="567"/>
        </w:tabs>
        <w:spacing w:line="240" w:lineRule="auto"/>
        <w:rPr>
          <w:i/>
          <w:noProof/>
          <w:szCs w:val="22"/>
        </w:rPr>
      </w:pPr>
    </w:p>
    <w:p w14:paraId="6510BB7D" w14:textId="77777777" w:rsidR="00E651D3" w:rsidRPr="00991CED" w:rsidRDefault="00E651D3" w:rsidP="00E651D3">
      <w:pPr>
        <w:tabs>
          <w:tab w:val="clear" w:pos="567"/>
        </w:tabs>
        <w:spacing w:line="240" w:lineRule="auto"/>
        <w:rPr>
          <w:i/>
          <w:noProof/>
          <w:szCs w:val="22"/>
        </w:rPr>
      </w:pPr>
      <w:r>
        <w:rPr>
          <w:i/>
          <w:szCs w:val="22"/>
        </w:rPr>
        <w:t>Пациенти, лекувани с антагонисти на витамин К</w:t>
      </w:r>
    </w:p>
    <w:p w14:paraId="4DF5A2D2" w14:textId="77777777" w:rsidR="00E651D3" w:rsidRPr="00991CED" w:rsidRDefault="00E651D3" w:rsidP="00E651D3">
      <w:pPr>
        <w:tabs>
          <w:tab w:val="clear" w:pos="567"/>
        </w:tabs>
        <w:spacing w:line="240" w:lineRule="auto"/>
        <w:rPr>
          <w:noProof/>
          <w:szCs w:val="22"/>
        </w:rPr>
      </w:pPr>
    </w:p>
    <w:p w14:paraId="63742828" w14:textId="77777777" w:rsidR="00E651D3" w:rsidRPr="00991CED" w:rsidRDefault="00E651D3" w:rsidP="00E651D3">
      <w:pPr>
        <w:tabs>
          <w:tab w:val="clear" w:pos="567"/>
        </w:tabs>
        <w:spacing w:line="240" w:lineRule="auto"/>
        <w:rPr>
          <w:noProof/>
          <w:szCs w:val="22"/>
        </w:rPr>
      </w:pPr>
      <w:r>
        <w:t>Поради възможното повишаване на показателите на коагулационните тестове (PT/INR) и/или кървене при пациенти, лекувани с левофлоксацин в комбинация с антагонисти на витамин К (напр. варфарин), е необходимо да бъдат наблюдавани, когато тези лекарства се прилагат едновременно (вж. точка 4.5).</w:t>
      </w:r>
    </w:p>
    <w:p w14:paraId="7A356683" w14:textId="77777777" w:rsidR="00E651D3" w:rsidRPr="00991CED" w:rsidRDefault="00E651D3" w:rsidP="00E651D3">
      <w:pPr>
        <w:tabs>
          <w:tab w:val="clear" w:pos="567"/>
        </w:tabs>
        <w:spacing w:line="240" w:lineRule="auto"/>
        <w:rPr>
          <w:noProof/>
          <w:szCs w:val="22"/>
        </w:rPr>
      </w:pPr>
    </w:p>
    <w:p w14:paraId="6DAAA394" w14:textId="77777777" w:rsidR="00E651D3" w:rsidRPr="00991CED" w:rsidRDefault="00E651D3" w:rsidP="00E651D3">
      <w:pPr>
        <w:tabs>
          <w:tab w:val="clear" w:pos="567"/>
        </w:tabs>
        <w:spacing w:line="240" w:lineRule="auto"/>
        <w:rPr>
          <w:i/>
          <w:noProof/>
          <w:szCs w:val="22"/>
        </w:rPr>
      </w:pPr>
      <w:r>
        <w:rPr>
          <w:i/>
          <w:szCs w:val="22"/>
        </w:rPr>
        <w:t>Психотични реакции</w:t>
      </w:r>
    </w:p>
    <w:p w14:paraId="4652457F" w14:textId="77777777" w:rsidR="00E651D3" w:rsidRPr="00991CED" w:rsidRDefault="00E651D3" w:rsidP="00E651D3">
      <w:pPr>
        <w:tabs>
          <w:tab w:val="clear" w:pos="567"/>
        </w:tabs>
        <w:spacing w:line="240" w:lineRule="auto"/>
        <w:rPr>
          <w:noProof/>
          <w:szCs w:val="22"/>
        </w:rPr>
      </w:pPr>
    </w:p>
    <w:p w14:paraId="5D410628" w14:textId="77777777" w:rsidR="005A624F" w:rsidRPr="00991CED" w:rsidRDefault="00E651D3" w:rsidP="008F2F71">
      <w:pPr>
        <w:tabs>
          <w:tab w:val="clear" w:pos="567"/>
        </w:tabs>
        <w:spacing w:line="240" w:lineRule="auto"/>
        <w:rPr>
          <w:szCs w:val="22"/>
        </w:rPr>
      </w:pPr>
      <w:r>
        <w:t xml:space="preserve">При пациенти, приемащи хинолони, в това число левофлоксацин, са съобщавани психотични реакции. В много редки случаи такива реакции са прогресирали до суицидни мисли и самозастрашаващо поведение, понякога само след единична доза левофлоксацин (вж. точка 4.8). В случай че пациентът развие тези реакции, левофлоксацин трябва да се прекрати и да се предприемат подходящи мерки. Препоръчва се повишено внимание, ако левофлоксацин се използва при психотични пациенти или при пациенти с анамнеза за психично заболяване. </w:t>
      </w:r>
    </w:p>
    <w:p w14:paraId="22961163" w14:textId="77777777" w:rsidR="005A624F" w:rsidRPr="00991CED" w:rsidRDefault="005A624F" w:rsidP="008F2F71">
      <w:pPr>
        <w:tabs>
          <w:tab w:val="clear" w:pos="567"/>
        </w:tabs>
        <w:spacing w:line="240" w:lineRule="auto"/>
        <w:rPr>
          <w:szCs w:val="22"/>
        </w:rPr>
      </w:pPr>
    </w:p>
    <w:p w14:paraId="7225C92B" w14:textId="77777777" w:rsidR="008F2F71" w:rsidRPr="00991CED" w:rsidRDefault="008F2F71" w:rsidP="008F2F71">
      <w:pPr>
        <w:tabs>
          <w:tab w:val="clear" w:pos="567"/>
        </w:tabs>
        <w:spacing w:line="240" w:lineRule="auto"/>
        <w:rPr>
          <w:i/>
          <w:noProof/>
          <w:szCs w:val="22"/>
        </w:rPr>
      </w:pPr>
      <w:r>
        <w:rPr>
          <w:i/>
          <w:szCs w:val="22"/>
        </w:rPr>
        <w:t>Удължаване на QT-интервала</w:t>
      </w:r>
    </w:p>
    <w:p w14:paraId="2EA37E64" w14:textId="77777777" w:rsidR="008F2F71" w:rsidRPr="00991CED" w:rsidRDefault="008F2F71" w:rsidP="008F2F71">
      <w:pPr>
        <w:tabs>
          <w:tab w:val="clear" w:pos="567"/>
        </w:tabs>
        <w:spacing w:line="240" w:lineRule="auto"/>
        <w:rPr>
          <w:noProof/>
          <w:szCs w:val="22"/>
        </w:rPr>
      </w:pPr>
    </w:p>
    <w:p w14:paraId="5134A143" w14:textId="77777777" w:rsidR="008F2F71" w:rsidRPr="00991CED" w:rsidRDefault="008F2F71" w:rsidP="008F2F71">
      <w:pPr>
        <w:tabs>
          <w:tab w:val="clear" w:pos="567"/>
        </w:tabs>
        <w:spacing w:line="240" w:lineRule="auto"/>
        <w:rPr>
          <w:noProof/>
          <w:szCs w:val="22"/>
        </w:rPr>
      </w:pPr>
      <w:r>
        <w:t>Необходимо е повишено внимание, когато флуорохинолони, включително левофлоксацин, се използват при пациенти с известни рискови фактори за удължаване на QT-интервала, като например:</w:t>
      </w:r>
    </w:p>
    <w:p w14:paraId="6B1B667F" w14:textId="1F97F3BD" w:rsidR="008F2F71" w:rsidRPr="00991CED" w:rsidRDefault="004F3F06" w:rsidP="008F2F71">
      <w:pPr>
        <w:tabs>
          <w:tab w:val="clear" w:pos="567"/>
        </w:tabs>
        <w:spacing w:line="240" w:lineRule="auto"/>
        <w:rPr>
          <w:noProof/>
          <w:szCs w:val="22"/>
        </w:rPr>
      </w:pPr>
      <w:r>
        <w:t>- вроден синдром на удължен QT-интервал</w:t>
      </w:r>
    </w:p>
    <w:p w14:paraId="15380A34" w14:textId="236E632B" w:rsidR="008F2F71" w:rsidRPr="00991CED" w:rsidRDefault="008F2F71" w:rsidP="008F2F71">
      <w:pPr>
        <w:tabs>
          <w:tab w:val="clear" w:pos="567"/>
        </w:tabs>
        <w:spacing w:line="240" w:lineRule="auto"/>
        <w:rPr>
          <w:noProof/>
          <w:szCs w:val="22"/>
        </w:rPr>
      </w:pPr>
      <w:r>
        <w:lastRenderedPageBreak/>
        <w:t>- едновременна употреба на лекарства, за които е известно, че удължават QT-интервала (напр. антиаритмици от клас ІА и ІІІ, трициклични антидепресанти, макролиди, антипсихотици)</w:t>
      </w:r>
      <w:r w:rsidR="00846201">
        <w:rPr>
          <w:lang w:val="en-US"/>
        </w:rPr>
        <w:t>.</w:t>
      </w:r>
    </w:p>
    <w:p w14:paraId="21EC2E4E" w14:textId="5CDF235D" w:rsidR="008F2F71" w:rsidRPr="00991CED" w:rsidRDefault="008F2F71" w:rsidP="008F2F71">
      <w:pPr>
        <w:tabs>
          <w:tab w:val="clear" w:pos="567"/>
        </w:tabs>
        <w:spacing w:line="240" w:lineRule="auto"/>
        <w:rPr>
          <w:noProof/>
          <w:szCs w:val="22"/>
        </w:rPr>
      </w:pPr>
      <w:r>
        <w:t>- некоригиран електролитен дисбаланс (напр. хипокалиемия, хипомагнезиемия)</w:t>
      </w:r>
    </w:p>
    <w:p w14:paraId="7CB92FC3" w14:textId="775C9035" w:rsidR="008F2F71" w:rsidRPr="00991CED" w:rsidRDefault="008F2F71" w:rsidP="008F2F71">
      <w:pPr>
        <w:tabs>
          <w:tab w:val="clear" w:pos="567"/>
        </w:tabs>
        <w:spacing w:line="240" w:lineRule="auto"/>
        <w:rPr>
          <w:noProof/>
          <w:szCs w:val="22"/>
        </w:rPr>
      </w:pPr>
      <w:r>
        <w:t>- сърдечно заболяване (напр. сърдечна недостатъчност, инфаркт на миокарда, брадикардия)</w:t>
      </w:r>
    </w:p>
    <w:p w14:paraId="676A4C57" w14:textId="77777777" w:rsidR="008F2F71" w:rsidRPr="00991CED" w:rsidRDefault="008F2F71" w:rsidP="008F2F71">
      <w:pPr>
        <w:tabs>
          <w:tab w:val="clear" w:pos="567"/>
        </w:tabs>
        <w:spacing w:line="240" w:lineRule="auto"/>
        <w:rPr>
          <w:noProof/>
          <w:szCs w:val="22"/>
        </w:rPr>
      </w:pPr>
      <w:r>
        <w:t>Пациентите в старческа възраст и жените може да са по-чувствителни към лекарства, удължаващи QTc-интервала. Поради това е необходимо повишено внимание при употребата на флуорохинолони, включително левофлоксацин, при тези популации.</w:t>
      </w:r>
    </w:p>
    <w:p w14:paraId="73FF9339" w14:textId="77777777" w:rsidR="008F2F71" w:rsidRPr="00991CED" w:rsidRDefault="008F2F71" w:rsidP="008F2F71">
      <w:pPr>
        <w:tabs>
          <w:tab w:val="clear" w:pos="567"/>
        </w:tabs>
        <w:spacing w:line="240" w:lineRule="auto"/>
        <w:rPr>
          <w:noProof/>
          <w:szCs w:val="22"/>
        </w:rPr>
      </w:pPr>
      <w:r>
        <w:t xml:space="preserve">(вж. точки 4.2 </w:t>
      </w:r>
      <w:r>
        <w:rPr>
          <w:i/>
          <w:szCs w:val="22"/>
        </w:rPr>
        <w:t>Пациенти в старческа възраст</w:t>
      </w:r>
      <w:r>
        <w:t>, 4.5, 4.8 и 4.9).</w:t>
      </w:r>
    </w:p>
    <w:p w14:paraId="2EBFE7F2" w14:textId="77777777" w:rsidR="008F2F71" w:rsidRPr="00991CED" w:rsidRDefault="008F2F71" w:rsidP="008F2F71">
      <w:pPr>
        <w:tabs>
          <w:tab w:val="clear" w:pos="567"/>
        </w:tabs>
        <w:spacing w:line="240" w:lineRule="auto"/>
        <w:rPr>
          <w:noProof/>
          <w:szCs w:val="22"/>
        </w:rPr>
      </w:pPr>
    </w:p>
    <w:p w14:paraId="1331FAAB" w14:textId="77777777" w:rsidR="008F2F71" w:rsidRPr="00991CED" w:rsidRDefault="008F2F71" w:rsidP="008F2F71">
      <w:pPr>
        <w:tabs>
          <w:tab w:val="clear" w:pos="567"/>
        </w:tabs>
        <w:spacing w:line="240" w:lineRule="auto"/>
        <w:rPr>
          <w:i/>
          <w:noProof/>
          <w:szCs w:val="22"/>
        </w:rPr>
      </w:pPr>
      <w:r>
        <w:rPr>
          <w:i/>
          <w:szCs w:val="22"/>
        </w:rPr>
        <w:t>Периферна невропатия</w:t>
      </w:r>
    </w:p>
    <w:p w14:paraId="7F6A3E18" w14:textId="77777777" w:rsidR="008F2F71" w:rsidRPr="00991CED" w:rsidRDefault="008F2F71" w:rsidP="008F2F71">
      <w:pPr>
        <w:tabs>
          <w:tab w:val="clear" w:pos="567"/>
        </w:tabs>
        <w:spacing w:line="240" w:lineRule="auto"/>
        <w:rPr>
          <w:noProof/>
          <w:szCs w:val="22"/>
          <w:u w:val="single"/>
        </w:rPr>
      </w:pPr>
    </w:p>
    <w:p w14:paraId="29DD25F7" w14:textId="77777777" w:rsidR="008F2F71" w:rsidRPr="00991CED" w:rsidRDefault="00906B69" w:rsidP="008F2F71">
      <w:pPr>
        <w:tabs>
          <w:tab w:val="clear" w:pos="567"/>
        </w:tabs>
        <w:spacing w:line="240" w:lineRule="auto"/>
        <w:rPr>
          <w:noProof/>
          <w:szCs w:val="22"/>
        </w:rPr>
      </w:pPr>
      <w:r>
        <w:t xml:space="preserve">Съобщава се за случаи на сензорна или сензомоторна полиневропатия, водещи до парестезия, хипоестезия, дизестезия или слабост при пациенти, приемащи хинолони и флуорохинолони. Пациентите на лечение с левофлоксацин трябва да бъдат посъветвани да информират своя лекар, преди да продължат лечението, ако се появят симптоми на невропатия като болка, усещане за парене, мравучкане, изтръпване или слабост, за да се предотврати развитието на потенциално необратимо заболяване. (вж. точка 4.8). </w:t>
      </w:r>
    </w:p>
    <w:p w14:paraId="24064954" w14:textId="77777777" w:rsidR="008A0A16" w:rsidRPr="00991CED" w:rsidRDefault="008A0A16" w:rsidP="008F2F71">
      <w:pPr>
        <w:tabs>
          <w:tab w:val="clear" w:pos="567"/>
        </w:tabs>
        <w:spacing w:line="240" w:lineRule="auto"/>
        <w:rPr>
          <w:i/>
          <w:noProof/>
          <w:szCs w:val="22"/>
        </w:rPr>
      </w:pPr>
    </w:p>
    <w:p w14:paraId="2037D1C4" w14:textId="77777777" w:rsidR="008F2F71" w:rsidRPr="00991CED" w:rsidRDefault="008F2F71" w:rsidP="008F2F71">
      <w:pPr>
        <w:tabs>
          <w:tab w:val="clear" w:pos="567"/>
        </w:tabs>
        <w:spacing w:line="240" w:lineRule="auto"/>
        <w:rPr>
          <w:i/>
          <w:noProof/>
          <w:szCs w:val="22"/>
        </w:rPr>
      </w:pPr>
      <w:r>
        <w:rPr>
          <w:i/>
          <w:szCs w:val="22"/>
        </w:rPr>
        <w:t>Хепатобилиарни нарушения</w:t>
      </w:r>
    </w:p>
    <w:p w14:paraId="1877132A" w14:textId="77777777" w:rsidR="008F2F71" w:rsidRPr="00991CED" w:rsidRDefault="008F2F71" w:rsidP="008F2F71">
      <w:pPr>
        <w:tabs>
          <w:tab w:val="clear" w:pos="567"/>
        </w:tabs>
        <w:spacing w:line="240" w:lineRule="auto"/>
        <w:rPr>
          <w:noProof/>
          <w:szCs w:val="22"/>
        </w:rPr>
      </w:pPr>
    </w:p>
    <w:p w14:paraId="2B26E642" w14:textId="77777777" w:rsidR="008F2F71" w:rsidRPr="00991CED" w:rsidRDefault="008F2F71" w:rsidP="008F2F71">
      <w:pPr>
        <w:tabs>
          <w:tab w:val="clear" w:pos="567"/>
        </w:tabs>
        <w:spacing w:line="240" w:lineRule="auto"/>
        <w:rPr>
          <w:noProof/>
          <w:szCs w:val="22"/>
        </w:rPr>
      </w:pPr>
      <w:r>
        <w:t>Съобщавани са случаи на чернодробна некроза до фатална чернодробна недостатъчност при левофлоксацин, предимно при пациенти с тежки основни заболявания, напр. сепсис (вж. точка 4.8). Пациентите трябва да бъдат съветвани да спрат лечението и да се свържат с лекаря си, ако развият признаци и симптоми на чернодробно заболяване като анорексия, жълтеница, потъмняване на урината, пруритус или болезнен корем.</w:t>
      </w:r>
    </w:p>
    <w:p w14:paraId="0E5C4E11" w14:textId="77777777" w:rsidR="008F2F71" w:rsidRPr="00991CED" w:rsidRDefault="008F2F71" w:rsidP="008F2F71">
      <w:pPr>
        <w:tabs>
          <w:tab w:val="clear" w:pos="567"/>
        </w:tabs>
        <w:spacing w:line="240" w:lineRule="auto"/>
        <w:rPr>
          <w:noProof/>
          <w:szCs w:val="22"/>
        </w:rPr>
      </w:pPr>
    </w:p>
    <w:p w14:paraId="062B9EB9" w14:textId="77777777" w:rsidR="008F2F71" w:rsidRPr="00991CED" w:rsidRDefault="008F2F71" w:rsidP="008F2F71">
      <w:pPr>
        <w:tabs>
          <w:tab w:val="clear" w:pos="567"/>
        </w:tabs>
        <w:spacing w:line="240" w:lineRule="auto"/>
        <w:rPr>
          <w:i/>
          <w:noProof/>
          <w:szCs w:val="22"/>
        </w:rPr>
      </w:pPr>
      <w:r>
        <w:rPr>
          <w:i/>
          <w:szCs w:val="22"/>
        </w:rPr>
        <w:t>Обостряне на миастения гравис</w:t>
      </w:r>
    </w:p>
    <w:p w14:paraId="5274C9B1" w14:textId="77777777" w:rsidR="008F2F71" w:rsidRPr="00991CED" w:rsidRDefault="008F2F71" w:rsidP="008F2F71">
      <w:pPr>
        <w:tabs>
          <w:tab w:val="clear" w:pos="567"/>
        </w:tabs>
        <w:spacing w:line="240" w:lineRule="auto"/>
        <w:rPr>
          <w:noProof/>
          <w:szCs w:val="22"/>
        </w:rPr>
      </w:pPr>
    </w:p>
    <w:p w14:paraId="656A64C3" w14:textId="77777777" w:rsidR="008F2F71" w:rsidRPr="00991CED" w:rsidRDefault="008F2F71" w:rsidP="008F2F71">
      <w:pPr>
        <w:tabs>
          <w:tab w:val="clear" w:pos="567"/>
        </w:tabs>
        <w:spacing w:line="240" w:lineRule="auto"/>
        <w:rPr>
          <w:noProof/>
          <w:szCs w:val="22"/>
        </w:rPr>
      </w:pPr>
      <w:r>
        <w:t>Флуорохинолоните, включително левофлоксацин, притежават действие, блокиращо невромускулната проводимост, и могат да обострят мускулната слабост при пациенти с миастения гравис. Употребата на флуорохинолони при пациенти с миастения гравис е била придружена от постмаркетингови съобщения за сериозни нежелани лекарствени реакции, включително смърт и необходимост от поддържане на дишането. Левофлоксацин не се препоръчва при пациенти с известна анамнеза за миастения гравис.</w:t>
      </w:r>
    </w:p>
    <w:p w14:paraId="3DA88866" w14:textId="77777777" w:rsidR="005F1B9D" w:rsidRDefault="005F1B9D" w:rsidP="008F2F71">
      <w:pPr>
        <w:tabs>
          <w:tab w:val="clear" w:pos="567"/>
        </w:tabs>
        <w:spacing w:line="240" w:lineRule="auto"/>
        <w:rPr>
          <w:i/>
          <w:noProof/>
          <w:szCs w:val="22"/>
        </w:rPr>
      </w:pPr>
    </w:p>
    <w:p w14:paraId="058578B1" w14:textId="77777777" w:rsidR="008F2F71" w:rsidRPr="00991CED" w:rsidRDefault="008F2F71" w:rsidP="008F2F71">
      <w:pPr>
        <w:tabs>
          <w:tab w:val="clear" w:pos="567"/>
        </w:tabs>
        <w:spacing w:line="240" w:lineRule="auto"/>
        <w:rPr>
          <w:i/>
          <w:noProof/>
          <w:szCs w:val="22"/>
        </w:rPr>
      </w:pPr>
      <w:r>
        <w:rPr>
          <w:i/>
          <w:szCs w:val="22"/>
        </w:rPr>
        <w:t>Зрителни нарушения</w:t>
      </w:r>
    </w:p>
    <w:p w14:paraId="6C73C449" w14:textId="77777777" w:rsidR="008F2F71" w:rsidRPr="00991CED" w:rsidRDefault="008F2F71" w:rsidP="008F2F71">
      <w:pPr>
        <w:tabs>
          <w:tab w:val="clear" w:pos="567"/>
        </w:tabs>
        <w:spacing w:line="240" w:lineRule="auto"/>
        <w:rPr>
          <w:noProof/>
          <w:szCs w:val="22"/>
        </w:rPr>
      </w:pPr>
    </w:p>
    <w:p w14:paraId="303E283F" w14:textId="77777777" w:rsidR="008F2F71" w:rsidRPr="00991CED" w:rsidRDefault="008F2F71" w:rsidP="008F2F71">
      <w:pPr>
        <w:tabs>
          <w:tab w:val="clear" w:pos="567"/>
        </w:tabs>
        <w:spacing w:line="240" w:lineRule="auto"/>
        <w:rPr>
          <w:noProof/>
          <w:szCs w:val="22"/>
        </w:rPr>
      </w:pPr>
      <w:r>
        <w:t>Ако зрението бъде увредено или възникнат някакви ефекти върху очите, незабавно трябва да се проведе консултация с офталмолог (вж. точки 4. 7 и 4.8).</w:t>
      </w:r>
    </w:p>
    <w:p w14:paraId="5B9AB8F3" w14:textId="77777777" w:rsidR="008F2F71" w:rsidRPr="00991CED" w:rsidRDefault="008F2F71" w:rsidP="008F2F71">
      <w:pPr>
        <w:tabs>
          <w:tab w:val="clear" w:pos="567"/>
        </w:tabs>
        <w:spacing w:line="240" w:lineRule="auto"/>
        <w:rPr>
          <w:noProof/>
          <w:szCs w:val="22"/>
        </w:rPr>
      </w:pPr>
    </w:p>
    <w:p w14:paraId="59B627BB" w14:textId="77777777" w:rsidR="008F2F71" w:rsidRPr="00991CED" w:rsidRDefault="008F2F71" w:rsidP="008F2F71">
      <w:pPr>
        <w:tabs>
          <w:tab w:val="clear" w:pos="567"/>
        </w:tabs>
        <w:spacing w:line="240" w:lineRule="auto"/>
        <w:rPr>
          <w:i/>
          <w:noProof/>
          <w:szCs w:val="22"/>
        </w:rPr>
      </w:pPr>
      <w:r>
        <w:rPr>
          <w:i/>
          <w:szCs w:val="22"/>
        </w:rPr>
        <w:t>Суперинфекция</w:t>
      </w:r>
    </w:p>
    <w:p w14:paraId="3C1F0886" w14:textId="77777777" w:rsidR="008F2F71" w:rsidRPr="00991CED" w:rsidRDefault="008F2F71" w:rsidP="008F2F71">
      <w:pPr>
        <w:tabs>
          <w:tab w:val="clear" w:pos="567"/>
        </w:tabs>
        <w:spacing w:line="240" w:lineRule="auto"/>
        <w:rPr>
          <w:noProof/>
          <w:szCs w:val="22"/>
        </w:rPr>
      </w:pPr>
    </w:p>
    <w:p w14:paraId="0D96E37C" w14:textId="77777777" w:rsidR="008F2F71" w:rsidRPr="00991CED" w:rsidRDefault="008F2F71" w:rsidP="008F2F71">
      <w:pPr>
        <w:tabs>
          <w:tab w:val="clear" w:pos="567"/>
        </w:tabs>
        <w:spacing w:line="240" w:lineRule="auto"/>
        <w:rPr>
          <w:noProof/>
          <w:szCs w:val="22"/>
        </w:rPr>
      </w:pPr>
      <w:r>
        <w:t>Употребата на левофлоксацин, особено продължителната, може да доведе до свръхрастеж на нечувствителни микроорганизми. Ако по време на лечението се появи суперинфекция, трябва да се предприемат подходящи мерки.</w:t>
      </w:r>
    </w:p>
    <w:p w14:paraId="70A1C79D" w14:textId="77777777" w:rsidR="008F2F71" w:rsidRPr="00991CED" w:rsidRDefault="008F2F71" w:rsidP="008F2F71">
      <w:pPr>
        <w:tabs>
          <w:tab w:val="clear" w:pos="567"/>
        </w:tabs>
        <w:spacing w:line="240" w:lineRule="auto"/>
        <w:rPr>
          <w:noProof/>
          <w:szCs w:val="22"/>
        </w:rPr>
      </w:pPr>
    </w:p>
    <w:p w14:paraId="0973BB63" w14:textId="77777777" w:rsidR="008F2F71" w:rsidRPr="00991CED" w:rsidRDefault="008F2F71" w:rsidP="008F2F71">
      <w:pPr>
        <w:tabs>
          <w:tab w:val="clear" w:pos="567"/>
        </w:tabs>
        <w:spacing w:line="240" w:lineRule="auto"/>
        <w:rPr>
          <w:i/>
          <w:noProof/>
          <w:szCs w:val="22"/>
        </w:rPr>
      </w:pPr>
      <w:r>
        <w:rPr>
          <w:i/>
          <w:szCs w:val="22"/>
        </w:rPr>
        <w:t>Интерференция с лабораторни изследвания</w:t>
      </w:r>
    </w:p>
    <w:p w14:paraId="37E8876D" w14:textId="77777777" w:rsidR="008F2F71" w:rsidRPr="00991CED" w:rsidRDefault="008F2F71" w:rsidP="008F2F71">
      <w:pPr>
        <w:tabs>
          <w:tab w:val="clear" w:pos="567"/>
        </w:tabs>
        <w:spacing w:line="240" w:lineRule="auto"/>
        <w:rPr>
          <w:noProof/>
          <w:szCs w:val="22"/>
        </w:rPr>
      </w:pPr>
    </w:p>
    <w:p w14:paraId="149844BB" w14:textId="40625E2B" w:rsidR="008F2F71" w:rsidRPr="00991CED" w:rsidRDefault="008F2F71" w:rsidP="008F2F71">
      <w:pPr>
        <w:tabs>
          <w:tab w:val="clear" w:pos="567"/>
        </w:tabs>
        <w:spacing w:line="240" w:lineRule="auto"/>
        <w:rPr>
          <w:noProof/>
          <w:szCs w:val="22"/>
        </w:rPr>
      </w:pPr>
      <w:r>
        <w:t>При пациенти, лекувани с левофлоксацин, установяването на опиати в урината може да покаже фалшиво положителни резултати. Може да е необходимо потвърждение на положителните резултати от скрининга за опиати с по-специфичен метод.</w:t>
      </w:r>
    </w:p>
    <w:p w14:paraId="30918670" w14:textId="77777777" w:rsidR="00C53ACC" w:rsidRPr="00991CED" w:rsidRDefault="008F2F71" w:rsidP="008F2F71">
      <w:pPr>
        <w:tabs>
          <w:tab w:val="clear" w:pos="567"/>
        </w:tabs>
        <w:spacing w:line="240" w:lineRule="auto"/>
        <w:rPr>
          <w:noProof/>
          <w:szCs w:val="22"/>
        </w:rPr>
      </w:pPr>
      <w:r>
        <w:lastRenderedPageBreak/>
        <w:t xml:space="preserve">Левофлоксацин може да инхибира растежа на </w:t>
      </w:r>
      <w:r>
        <w:rPr>
          <w:i/>
          <w:szCs w:val="22"/>
        </w:rPr>
        <w:t>Mycobacterium tuberculosis</w:t>
      </w:r>
      <w:r>
        <w:t xml:space="preserve"> и поради това да даде фалшиво отрицателни резултати при бактериологичната диагноза на туберколоза.</w:t>
      </w:r>
    </w:p>
    <w:p w14:paraId="59DF3B9F" w14:textId="77777777" w:rsidR="00D16967" w:rsidRPr="00991CED" w:rsidRDefault="00D16967" w:rsidP="008F2F71">
      <w:pPr>
        <w:tabs>
          <w:tab w:val="clear" w:pos="567"/>
        </w:tabs>
        <w:spacing w:line="240" w:lineRule="auto"/>
        <w:rPr>
          <w:noProof/>
          <w:szCs w:val="22"/>
        </w:rPr>
      </w:pPr>
    </w:p>
    <w:p w14:paraId="63FF20CB" w14:textId="40DC0359" w:rsidR="00D16967" w:rsidRPr="00505065" w:rsidRDefault="00D16967" w:rsidP="00D16967">
      <w:pPr>
        <w:spacing w:line="240" w:lineRule="auto"/>
        <w:rPr>
          <w:i/>
          <w:szCs w:val="22"/>
        </w:rPr>
      </w:pPr>
      <w:r>
        <w:rPr>
          <w:i/>
          <w:szCs w:val="22"/>
        </w:rPr>
        <w:t>Аневризма и дисекация на аортата</w:t>
      </w:r>
      <w:r w:rsidR="00505065">
        <w:rPr>
          <w:i/>
          <w:szCs w:val="22"/>
          <w:lang w:val="en-US"/>
        </w:rPr>
        <w:t xml:space="preserve"> </w:t>
      </w:r>
      <w:r w:rsidR="00505065">
        <w:rPr>
          <w:i/>
          <w:szCs w:val="22"/>
        </w:rPr>
        <w:t>и регургитация/недостатъчност на сърдечните клапи</w:t>
      </w:r>
    </w:p>
    <w:p w14:paraId="4D9A0A60" w14:textId="77777777" w:rsidR="00C95CC1" w:rsidRPr="00991CED" w:rsidRDefault="00C95CC1" w:rsidP="00D16967">
      <w:pPr>
        <w:spacing w:line="240" w:lineRule="auto"/>
        <w:rPr>
          <w:szCs w:val="22"/>
        </w:rPr>
      </w:pPr>
    </w:p>
    <w:p w14:paraId="298CDDAB" w14:textId="4589ECD3" w:rsidR="00D16967" w:rsidRPr="00991CED" w:rsidRDefault="00505065" w:rsidP="00D16967">
      <w:pPr>
        <w:spacing w:line="240" w:lineRule="auto"/>
        <w:rPr>
          <w:szCs w:val="22"/>
        </w:rPr>
      </w:pPr>
      <w:r>
        <w:t>Е</w:t>
      </w:r>
      <w:r w:rsidR="00D16967">
        <w:t>пидемиологични</w:t>
      </w:r>
      <w:r>
        <w:t>те</w:t>
      </w:r>
      <w:r w:rsidR="00D16967">
        <w:t xml:space="preserve"> проучвания </w:t>
      </w:r>
      <w:r>
        <w:t>показват</w:t>
      </w:r>
      <w:r w:rsidR="00D16967">
        <w:t xml:space="preserve"> повишен риск от аневризма и дисекация на аортата</w:t>
      </w:r>
      <w:r>
        <w:t>, особено при пациенти в старческа възраст, както и от регургитация на аортата и митралната клапа</w:t>
      </w:r>
      <w:r w:rsidR="00D16967">
        <w:t xml:space="preserve"> след </w:t>
      </w:r>
      <w:r>
        <w:t>употреба</w:t>
      </w:r>
      <w:r w:rsidR="00D16967">
        <w:t xml:space="preserve"> на флуорохинолони.</w:t>
      </w:r>
    </w:p>
    <w:p w14:paraId="6DBE2665" w14:textId="77777777" w:rsidR="00505065" w:rsidRDefault="00505065" w:rsidP="00D16967">
      <w:pPr>
        <w:spacing w:line="240" w:lineRule="auto"/>
      </w:pPr>
      <w:r w:rsidRPr="00505065">
        <w:t>Съобщени са случаи на аневризма и дисекация на аортата, понякога усложнени поради разкъсване (включително с летален изход) и регургитация/недостатъчност на някои от сърдечните клапи при пациенти, приемащи флуорохинолони (вж. точка 4.8).</w:t>
      </w:r>
    </w:p>
    <w:p w14:paraId="0AC34EB7" w14:textId="5C52D321" w:rsidR="00505065" w:rsidRDefault="00505065" w:rsidP="00D16967">
      <w:pPr>
        <w:spacing w:line="240" w:lineRule="auto"/>
      </w:pPr>
      <w:r>
        <w:t>Следователно</w:t>
      </w:r>
      <w:r w:rsidR="00D16967">
        <w:t xml:space="preserve"> флуорохинолоните трябва да се използват само след внимателна оценка на съотношението полза/риск и след </w:t>
      </w:r>
      <w:r>
        <w:t>обмисляне</w:t>
      </w:r>
      <w:r w:rsidR="00D16967">
        <w:t xml:space="preserve"> на други терапевтични възможности при пациенти с положителна фамилна анамнеза за аневризма или </w:t>
      </w:r>
      <w:r>
        <w:t xml:space="preserve">вродено заболяване на сърдечните клапи, или </w:t>
      </w:r>
      <w:r w:rsidR="00D16967">
        <w:t xml:space="preserve">при пациенти диагностицирани с предшестваща аневризма и/или дисекация на аортата или </w:t>
      </w:r>
      <w:r>
        <w:t xml:space="preserve">заболяване на сърдечните клапи, или </w:t>
      </w:r>
      <w:r w:rsidR="00D16967">
        <w:t xml:space="preserve">при наличие на други рискови фактори или заболявания предразполагащи </w:t>
      </w:r>
    </w:p>
    <w:p w14:paraId="148E6A5D" w14:textId="6F952ED5" w:rsidR="006A0E4A" w:rsidRPr="006A0E4A" w:rsidRDefault="006A0E4A" w:rsidP="00761C27">
      <w:pPr>
        <w:pStyle w:val="ListParagraph"/>
        <w:numPr>
          <w:ilvl w:val="0"/>
          <w:numId w:val="48"/>
        </w:numPr>
        <w:spacing w:line="240" w:lineRule="auto"/>
        <w:rPr>
          <w:szCs w:val="22"/>
        </w:rPr>
      </w:pPr>
      <w:r>
        <w:t>как</w:t>
      </w:r>
      <w:r w:rsidR="00505065">
        <w:t>то за</w:t>
      </w:r>
      <w:r w:rsidR="00D16967">
        <w:t xml:space="preserve"> аневризма</w:t>
      </w:r>
      <w:r w:rsidR="00505065">
        <w:t>, така</w:t>
      </w:r>
      <w:r w:rsidR="00D16967">
        <w:t xml:space="preserve"> и </w:t>
      </w:r>
      <w:r w:rsidR="00505065">
        <w:t xml:space="preserve">за </w:t>
      </w:r>
      <w:r w:rsidR="00D16967">
        <w:t xml:space="preserve">дисекация на аортата </w:t>
      </w:r>
      <w:r w:rsidR="00505065">
        <w:t xml:space="preserve">и за регургитация/недостатъчност на сърдечните клапи </w:t>
      </w:r>
      <w:r w:rsidR="00D16967">
        <w:t>(напр. синдром на Marfan</w:t>
      </w:r>
      <w:r>
        <w:t xml:space="preserve"> или</w:t>
      </w:r>
      <w:r w:rsidR="00D16967">
        <w:t xml:space="preserve"> синдром на Ehlers-Danlos, </w:t>
      </w:r>
      <w:r>
        <w:t xml:space="preserve">синдром на </w:t>
      </w:r>
      <w:r w:rsidRPr="006A0E4A">
        <w:rPr>
          <w:lang w:val="en-US"/>
        </w:rPr>
        <w:t>Turner</w:t>
      </w:r>
      <w:r>
        <w:t xml:space="preserve">, </w:t>
      </w:r>
      <w:r w:rsidR="00D16967">
        <w:t xml:space="preserve">болест на Behcet, хипертония, </w:t>
      </w:r>
      <w:r>
        <w:t>ревматоиден артрит</w:t>
      </w:r>
      <w:r w:rsidR="00D16967">
        <w:t>)</w:t>
      </w:r>
      <w:r>
        <w:t xml:space="preserve"> или допълнително</w:t>
      </w:r>
    </w:p>
    <w:p w14:paraId="55BAD27F" w14:textId="7E69F047" w:rsidR="006A0E4A" w:rsidRDefault="006A0E4A" w:rsidP="00761C27">
      <w:pPr>
        <w:pStyle w:val="ListParagraph"/>
        <w:numPr>
          <w:ilvl w:val="0"/>
          <w:numId w:val="48"/>
        </w:numPr>
        <w:spacing w:line="240" w:lineRule="auto"/>
      </w:pPr>
      <w:r>
        <w:t xml:space="preserve">при аневризма и дисекация на аортата (напр. съдови нарушения, напр. артериит на </w:t>
      </w:r>
      <w:proofErr w:type="spellStart"/>
      <w:r w:rsidRPr="006A0E4A">
        <w:rPr>
          <w:lang w:val="en-US"/>
        </w:rPr>
        <w:t>Takayasu</w:t>
      </w:r>
      <w:proofErr w:type="spellEnd"/>
      <w:r>
        <w:t>, гигантоклетъчен артериит, или известна атеросклероза или синдром на Sjögren), или допълнително</w:t>
      </w:r>
    </w:p>
    <w:p w14:paraId="7B2A48BF" w14:textId="25A7014A" w:rsidR="006A0E4A" w:rsidRDefault="006A0E4A" w:rsidP="00761C27">
      <w:pPr>
        <w:pStyle w:val="ListParagraph"/>
        <w:numPr>
          <w:ilvl w:val="0"/>
          <w:numId w:val="48"/>
        </w:numPr>
        <w:spacing w:line="240" w:lineRule="auto"/>
      </w:pPr>
      <w:r>
        <w:t>при регургитация/недостатъчност на сърдечните клапи (напр. инфекциозен ендокардит).</w:t>
      </w:r>
    </w:p>
    <w:p w14:paraId="1C20A5F7" w14:textId="4932A660" w:rsidR="00D16967" w:rsidRPr="006A0E4A" w:rsidRDefault="006A0E4A" w:rsidP="006A0E4A">
      <w:pPr>
        <w:spacing w:line="240" w:lineRule="auto"/>
        <w:rPr>
          <w:szCs w:val="22"/>
        </w:rPr>
      </w:pPr>
      <w:r>
        <w:t>Рискът от аневризма и дисекация на аортата и тяхното разкъсване може също да се повиши при пациенти, лекувани едновременно със системни кортикостероиди.</w:t>
      </w:r>
    </w:p>
    <w:p w14:paraId="2B8BBB17" w14:textId="37259A9A" w:rsidR="001D29E6" w:rsidRDefault="006A0E4A" w:rsidP="00D16967">
      <w:pPr>
        <w:spacing w:line="240" w:lineRule="auto"/>
        <w:rPr>
          <w:szCs w:val="22"/>
        </w:rPr>
      </w:pPr>
      <w:r>
        <w:t>При</w:t>
      </w:r>
      <w:r w:rsidR="00D16967">
        <w:t xml:space="preserve"> внезапна болка в корема, гръдния кош или гърба пациентите трябва да бъдат посъветвани да се консултират незабавно с лекар в отделение за спешна помощ.</w:t>
      </w:r>
    </w:p>
    <w:p w14:paraId="2A952A56" w14:textId="72668095" w:rsidR="00033EAD" w:rsidRDefault="006A0E4A" w:rsidP="00D16967">
      <w:pPr>
        <w:spacing w:line="240" w:lineRule="auto"/>
        <w:rPr>
          <w:szCs w:val="22"/>
        </w:rPr>
      </w:pPr>
      <w:r w:rsidRPr="006A0E4A">
        <w:rPr>
          <w:szCs w:val="22"/>
        </w:rPr>
        <w:t>Пациентите трябва да бъдат посъветвани да потърсят незабавно медицинска помощ в случай на остра диспнея, поява на сърцебиене (палпитации) или развитие на оток на корема или долните крайници.</w:t>
      </w:r>
    </w:p>
    <w:p w14:paraId="615FBF59" w14:textId="77777777" w:rsidR="006A0E4A" w:rsidRDefault="006A0E4A" w:rsidP="00D16967">
      <w:pPr>
        <w:spacing w:line="240" w:lineRule="auto"/>
        <w:rPr>
          <w:szCs w:val="22"/>
        </w:rPr>
      </w:pPr>
    </w:p>
    <w:p w14:paraId="3785FBEF" w14:textId="77777777" w:rsidR="00C9718C" w:rsidRPr="00991CED" w:rsidRDefault="00A52FC2" w:rsidP="00D16967">
      <w:pPr>
        <w:spacing w:line="240" w:lineRule="auto"/>
        <w:rPr>
          <w:szCs w:val="22"/>
        </w:rPr>
      </w:pPr>
      <w:r>
        <w:t>Фoвeлид съдържа сънсет жълто, което може да причини алергични реакции.</w:t>
      </w:r>
    </w:p>
    <w:p w14:paraId="2A1EDFBC" w14:textId="77777777" w:rsidR="00991CED" w:rsidRDefault="00991CED" w:rsidP="00D16967">
      <w:pPr>
        <w:spacing w:line="240" w:lineRule="auto"/>
        <w:rPr>
          <w:szCs w:val="22"/>
        </w:rPr>
      </w:pPr>
    </w:p>
    <w:p w14:paraId="7D79F5F3" w14:textId="77777777" w:rsidR="000A671A" w:rsidRPr="00991CED" w:rsidRDefault="000A671A" w:rsidP="00D16967">
      <w:pPr>
        <w:spacing w:line="240" w:lineRule="auto"/>
        <w:rPr>
          <w:szCs w:val="22"/>
        </w:rPr>
      </w:pPr>
    </w:p>
    <w:p w14:paraId="4ADD767E" w14:textId="77777777" w:rsidR="001D29E6" w:rsidRPr="00991CED" w:rsidRDefault="001D29E6" w:rsidP="009F4BA4">
      <w:pPr>
        <w:spacing w:line="240" w:lineRule="auto"/>
        <w:ind w:left="567" w:hanging="567"/>
        <w:rPr>
          <w:szCs w:val="22"/>
        </w:rPr>
      </w:pPr>
      <w:r>
        <w:rPr>
          <w:b/>
          <w:szCs w:val="22"/>
        </w:rPr>
        <w:t>4.5</w:t>
      </w:r>
      <w:r>
        <w:rPr>
          <w:b/>
          <w:szCs w:val="22"/>
        </w:rPr>
        <w:tab/>
        <w:t>Взаимодействие с други лекарствени продукти и други форми на взаимодействие</w:t>
      </w:r>
    </w:p>
    <w:p w14:paraId="2D17AC7F" w14:textId="77777777" w:rsidR="001D29E6" w:rsidRPr="00991CED" w:rsidRDefault="001D29E6" w:rsidP="009F4BA4">
      <w:pPr>
        <w:spacing w:line="240" w:lineRule="auto"/>
        <w:rPr>
          <w:szCs w:val="22"/>
        </w:rPr>
      </w:pPr>
    </w:p>
    <w:p w14:paraId="00414D1F" w14:textId="77777777" w:rsidR="007E6AB6" w:rsidRPr="00991CED" w:rsidRDefault="00724F33" w:rsidP="00724F33">
      <w:pPr>
        <w:spacing w:line="240" w:lineRule="auto"/>
        <w:rPr>
          <w:szCs w:val="22"/>
          <w:u w:val="single"/>
        </w:rPr>
      </w:pPr>
      <w:r>
        <w:rPr>
          <w:szCs w:val="22"/>
          <w:u w:val="single"/>
        </w:rPr>
        <w:t>Ефект на други лекарствени продукти върху Фoвeлид</w:t>
      </w:r>
    </w:p>
    <w:p w14:paraId="64384E97" w14:textId="77777777" w:rsidR="007E6AB6" w:rsidRPr="00991CED" w:rsidRDefault="007E6AB6" w:rsidP="00724F33">
      <w:pPr>
        <w:spacing w:line="240" w:lineRule="auto"/>
        <w:rPr>
          <w:szCs w:val="22"/>
        </w:rPr>
      </w:pPr>
    </w:p>
    <w:p w14:paraId="5F2BD6C3" w14:textId="77777777" w:rsidR="00724F33" w:rsidRPr="00991CED" w:rsidRDefault="00724F33" w:rsidP="00724F33">
      <w:pPr>
        <w:spacing w:line="240" w:lineRule="auto"/>
        <w:rPr>
          <w:i/>
          <w:szCs w:val="22"/>
        </w:rPr>
      </w:pPr>
      <w:r>
        <w:t xml:space="preserve"> </w:t>
      </w:r>
      <w:r>
        <w:rPr>
          <w:i/>
          <w:szCs w:val="22"/>
        </w:rPr>
        <w:t>Железни соли, цинкови соли, магнезий- или алуминий-съдържащи антиациди, диданозин</w:t>
      </w:r>
    </w:p>
    <w:p w14:paraId="2FDAF240" w14:textId="77777777" w:rsidR="00724F33" w:rsidRPr="00991CED" w:rsidRDefault="00724F33" w:rsidP="00724F33">
      <w:pPr>
        <w:spacing w:line="240" w:lineRule="auto"/>
        <w:rPr>
          <w:szCs w:val="22"/>
        </w:rPr>
      </w:pPr>
    </w:p>
    <w:p w14:paraId="7D8C3AF1" w14:textId="77777777" w:rsidR="00724F33" w:rsidRPr="00991CED" w:rsidRDefault="00724F33" w:rsidP="00724F33">
      <w:pPr>
        <w:spacing w:line="240" w:lineRule="auto"/>
        <w:rPr>
          <w:szCs w:val="22"/>
        </w:rPr>
      </w:pPr>
      <w:r>
        <w:t>Абсорбцията на левофлоксацин е значително намалена, когато левофлоксацин таблетки се прилага едновременно с железни соли, магнезий- или алуминий-съдържащи антиациди или диданозин (</w:t>
      </w:r>
      <w:r>
        <w:rPr>
          <w:i/>
          <w:szCs w:val="22"/>
        </w:rPr>
        <w:t>само лекарствени форми на диданозин с алуминий- или магнезий-съдържащи буфериращи средства</w:t>
      </w:r>
      <w:r>
        <w:t>).  Изглежда, че едновременното приложение на флурохинолони с мултивитамини, съдържащи цинк, намалява тяхната перорална абсорбция. Препоръчва се препаратите, съдържащи двувалентни или тривалентни катиони като железни соли, цинкови соли магнезий- или алуминий-съдържащи антиациди или диданозин (</w:t>
      </w:r>
      <w:r>
        <w:rPr>
          <w:i/>
          <w:szCs w:val="22"/>
        </w:rPr>
        <w:t>само лекарствени форми на диданозин с алуминий- или магнезий-съдържащи буфериращи средства</w:t>
      </w:r>
      <w:r>
        <w:t xml:space="preserve">), да не бъдат приемани до 2 часа преди или след </w:t>
      </w:r>
      <w:r>
        <w:lastRenderedPageBreak/>
        <w:t>приложението на Фoвeлид таблетки (вж. точка 4.2). Калциевите соли оказват минимален ефект върху пероралната абсорбция на левофлоксацин.</w:t>
      </w:r>
    </w:p>
    <w:p w14:paraId="07BE2A83" w14:textId="77777777" w:rsidR="00724F33" w:rsidRPr="00991CED" w:rsidRDefault="00724F33" w:rsidP="00724F33">
      <w:pPr>
        <w:spacing w:line="240" w:lineRule="auto"/>
        <w:rPr>
          <w:szCs w:val="22"/>
        </w:rPr>
      </w:pPr>
    </w:p>
    <w:p w14:paraId="257199EA" w14:textId="77777777" w:rsidR="00724F33" w:rsidRPr="00991CED" w:rsidRDefault="00724F33" w:rsidP="00724F33">
      <w:pPr>
        <w:spacing w:line="240" w:lineRule="auto"/>
        <w:rPr>
          <w:i/>
          <w:szCs w:val="22"/>
        </w:rPr>
      </w:pPr>
      <w:r>
        <w:rPr>
          <w:i/>
          <w:szCs w:val="22"/>
        </w:rPr>
        <w:t>Сукралфат</w:t>
      </w:r>
    </w:p>
    <w:p w14:paraId="122A73F0" w14:textId="77777777" w:rsidR="00724F33" w:rsidRPr="00991CED" w:rsidRDefault="00724F33" w:rsidP="00724F33">
      <w:pPr>
        <w:spacing w:line="240" w:lineRule="auto"/>
        <w:rPr>
          <w:szCs w:val="22"/>
        </w:rPr>
      </w:pPr>
    </w:p>
    <w:p w14:paraId="01AE6E12" w14:textId="77777777" w:rsidR="00724F33" w:rsidRPr="00991CED" w:rsidRDefault="0035192A" w:rsidP="00724F33">
      <w:pPr>
        <w:spacing w:line="240" w:lineRule="auto"/>
        <w:rPr>
          <w:szCs w:val="22"/>
        </w:rPr>
      </w:pPr>
      <w:r>
        <w:t>Бионаличността на левофлоксацин таблетки намалява значително, когато се прилагат едновременно със сукралфат. Ако пациентите трябва да приемат и сукралфат, и Фoвeлид, най-добре е да приемат сукралфат 2 часа след приложението на Фoвeлид таблетки (вж. точка 4. 2).</w:t>
      </w:r>
    </w:p>
    <w:p w14:paraId="1BC15EA4" w14:textId="77777777" w:rsidR="00724F33" w:rsidRPr="00991CED" w:rsidRDefault="00724F33" w:rsidP="00724F33">
      <w:pPr>
        <w:spacing w:line="240" w:lineRule="auto"/>
        <w:rPr>
          <w:szCs w:val="22"/>
        </w:rPr>
      </w:pPr>
    </w:p>
    <w:p w14:paraId="64587299" w14:textId="77777777" w:rsidR="00724F33" w:rsidRPr="00991CED" w:rsidRDefault="00724F33" w:rsidP="00724F33">
      <w:pPr>
        <w:spacing w:line="240" w:lineRule="auto"/>
        <w:rPr>
          <w:i/>
          <w:szCs w:val="22"/>
        </w:rPr>
      </w:pPr>
      <w:r>
        <w:rPr>
          <w:i/>
          <w:szCs w:val="22"/>
        </w:rPr>
        <w:t>Теофилин, фенбуфен или подобни нестероидни противовъзпалителни лекарства</w:t>
      </w:r>
    </w:p>
    <w:p w14:paraId="30315131" w14:textId="77777777" w:rsidR="00724F33" w:rsidRPr="00991CED" w:rsidRDefault="00724F33" w:rsidP="00724F33">
      <w:pPr>
        <w:spacing w:line="240" w:lineRule="auto"/>
        <w:rPr>
          <w:szCs w:val="22"/>
        </w:rPr>
      </w:pPr>
    </w:p>
    <w:p w14:paraId="6F049712" w14:textId="77777777" w:rsidR="00724F33" w:rsidRPr="00991CED" w:rsidRDefault="00724F33" w:rsidP="00724F33">
      <w:pPr>
        <w:spacing w:line="240" w:lineRule="auto"/>
        <w:rPr>
          <w:szCs w:val="22"/>
        </w:rPr>
      </w:pPr>
      <w:r>
        <w:t>По време на клинично проучване не са били установени фармакокинетични взаимодействия на левофлоксацин с теофилин. Въпреки това може да настъпи изразено снижаване на церебралния гърчов праг при едновременно приложение на хинолони с теофилин, нестероидни противовъзпалителни лекарства или други средства, които снижават гърчовия праг. Концентрациите на левофлоксацин са били с около 13% по-високи при наличие на фенбуфен, отколкото при самостоятелното му приложение.</w:t>
      </w:r>
    </w:p>
    <w:p w14:paraId="1E247850" w14:textId="2A4D7BF4" w:rsidR="00724F33" w:rsidRDefault="00724F33" w:rsidP="00724F33">
      <w:pPr>
        <w:spacing w:line="240" w:lineRule="auto"/>
        <w:rPr>
          <w:szCs w:val="22"/>
        </w:rPr>
      </w:pPr>
    </w:p>
    <w:p w14:paraId="79990CD0" w14:textId="77777777" w:rsidR="00CE100D" w:rsidRPr="00991CED" w:rsidRDefault="00CE100D" w:rsidP="00724F33">
      <w:pPr>
        <w:spacing w:line="240" w:lineRule="auto"/>
        <w:rPr>
          <w:szCs w:val="22"/>
        </w:rPr>
      </w:pPr>
    </w:p>
    <w:p w14:paraId="782868C1" w14:textId="77777777" w:rsidR="00724F33" w:rsidRPr="00991CED" w:rsidRDefault="00724F33" w:rsidP="00724F33">
      <w:pPr>
        <w:spacing w:line="240" w:lineRule="auto"/>
        <w:rPr>
          <w:i/>
          <w:szCs w:val="22"/>
        </w:rPr>
      </w:pPr>
      <w:r>
        <w:rPr>
          <w:i/>
          <w:szCs w:val="22"/>
        </w:rPr>
        <w:t>Пробенецид и циметидин</w:t>
      </w:r>
    </w:p>
    <w:p w14:paraId="4147B032" w14:textId="77777777" w:rsidR="00724F33" w:rsidRPr="00991CED" w:rsidRDefault="00724F33" w:rsidP="00724F33">
      <w:pPr>
        <w:spacing w:line="240" w:lineRule="auto"/>
        <w:rPr>
          <w:szCs w:val="22"/>
        </w:rPr>
      </w:pPr>
    </w:p>
    <w:p w14:paraId="763F4035" w14:textId="77777777" w:rsidR="00724F33" w:rsidRPr="00991CED" w:rsidRDefault="00724F33" w:rsidP="00724F33">
      <w:pPr>
        <w:spacing w:line="240" w:lineRule="auto"/>
        <w:rPr>
          <w:szCs w:val="22"/>
        </w:rPr>
      </w:pPr>
      <w:r>
        <w:t>Пробенецид и циметидин имат статистически значим ефект върху елиминирането на левофлоксацин.  Бъбречният клирънс на левофлоксацин се намалява от циметидин (24%) и пробенецид (34%). Това се дължи на способността на тези две лекарства да блокират бъбречната тубулна секреция на левофлоксацин. Въпреки това при изпитваните в проучването дози е малко вероятно да бъдат установени статистически значими кинетични разлики с клинична значимост.</w:t>
      </w:r>
    </w:p>
    <w:p w14:paraId="738F2D7B" w14:textId="77777777" w:rsidR="00724F33" w:rsidRPr="00991CED" w:rsidRDefault="00724F33" w:rsidP="00724F33">
      <w:pPr>
        <w:spacing w:line="240" w:lineRule="auto"/>
        <w:rPr>
          <w:szCs w:val="22"/>
        </w:rPr>
      </w:pPr>
      <w:r>
        <w:t>Необходимо е повишено внимание при едновременно приложение на левофлоксацин с лекарства, засягащи бъречната тубулна секреция, като пробенецид и циметидин, особено при пациенти с бъбречни увреждания.</w:t>
      </w:r>
    </w:p>
    <w:p w14:paraId="56D0CE2E" w14:textId="77777777" w:rsidR="00C9718C" w:rsidRDefault="00C9718C" w:rsidP="00724F33">
      <w:pPr>
        <w:spacing w:line="240" w:lineRule="auto"/>
        <w:rPr>
          <w:i/>
          <w:szCs w:val="22"/>
        </w:rPr>
      </w:pPr>
    </w:p>
    <w:p w14:paraId="2382965A" w14:textId="77777777" w:rsidR="00C9718C" w:rsidRDefault="00C9718C" w:rsidP="00724F33">
      <w:pPr>
        <w:spacing w:line="240" w:lineRule="auto"/>
        <w:rPr>
          <w:i/>
          <w:szCs w:val="22"/>
        </w:rPr>
      </w:pPr>
    </w:p>
    <w:p w14:paraId="63CEB3CA" w14:textId="77777777" w:rsidR="00724F33" w:rsidRPr="00991CED" w:rsidRDefault="00724F33" w:rsidP="00724F33">
      <w:pPr>
        <w:spacing w:line="240" w:lineRule="auto"/>
        <w:rPr>
          <w:i/>
          <w:szCs w:val="22"/>
        </w:rPr>
      </w:pPr>
      <w:r>
        <w:rPr>
          <w:i/>
          <w:szCs w:val="22"/>
        </w:rPr>
        <w:t>Друга приложима информация</w:t>
      </w:r>
    </w:p>
    <w:p w14:paraId="0BD435F6" w14:textId="77777777" w:rsidR="00724F33" w:rsidRPr="00991CED" w:rsidRDefault="00724F33" w:rsidP="00724F33">
      <w:pPr>
        <w:spacing w:line="240" w:lineRule="auto"/>
        <w:rPr>
          <w:szCs w:val="22"/>
        </w:rPr>
      </w:pPr>
    </w:p>
    <w:p w14:paraId="6726CF38" w14:textId="77777777" w:rsidR="00724F33" w:rsidRPr="00991CED" w:rsidRDefault="00724F33" w:rsidP="00724F33">
      <w:pPr>
        <w:spacing w:line="240" w:lineRule="auto"/>
        <w:rPr>
          <w:szCs w:val="22"/>
        </w:rPr>
      </w:pPr>
      <w:r>
        <w:t>При клинични фармакологични проучвания е показано, че фармакокинетиката на левофлоксацин не е засегната в клиничнозначима степен, когато левофлоксацин се прилага заедно със следните лекарства: калциев карбонат, дигоксин, глибенкламид, ранитидин.</w:t>
      </w:r>
    </w:p>
    <w:p w14:paraId="56E881AA" w14:textId="77777777" w:rsidR="00724F33" w:rsidRPr="00991CED" w:rsidRDefault="00724F33" w:rsidP="00724F33">
      <w:pPr>
        <w:spacing w:line="240" w:lineRule="auto"/>
        <w:rPr>
          <w:szCs w:val="22"/>
        </w:rPr>
      </w:pPr>
    </w:p>
    <w:p w14:paraId="30C34D4C" w14:textId="77777777" w:rsidR="00724F33" w:rsidRPr="00991CED" w:rsidRDefault="00C273AD" w:rsidP="00724F33">
      <w:pPr>
        <w:spacing w:line="240" w:lineRule="auto"/>
        <w:rPr>
          <w:szCs w:val="22"/>
          <w:u w:val="single"/>
        </w:rPr>
      </w:pPr>
      <w:r>
        <w:rPr>
          <w:szCs w:val="22"/>
          <w:u w:val="single"/>
        </w:rPr>
        <w:t>Ефект на Фoвeлид върху други лекарствени продукти</w:t>
      </w:r>
    </w:p>
    <w:p w14:paraId="4F791DB9" w14:textId="77777777" w:rsidR="00724F33" w:rsidRPr="00991CED" w:rsidRDefault="00724F33" w:rsidP="00724F33">
      <w:pPr>
        <w:spacing w:line="240" w:lineRule="auto"/>
        <w:rPr>
          <w:szCs w:val="22"/>
        </w:rPr>
      </w:pPr>
    </w:p>
    <w:p w14:paraId="74761620" w14:textId="77777777" w:rsidR="00724F33" w:rsidRPr="00991CED" w:rsidRDefault="00724F33" w:rsidP="00724F33">
      <w:pPr>
        <w:spacing w:line="240" w:lineRule="auto"/>
        <w:rPr>
          <w:i/>
          <w:szCs w:val="22"/>
        </w:rPr>
      </w:pPr>
      <w:r>
        <w:rPr>
          <w:i/>
          <w:szCs w:val="22"/>
        </w:rPr>
        <w:t>Циклоспорин</w:t>
      </w:r>
    </w:p>
    <w:p w14:paraId="713BB43F" w14:textId="77777777" w:rsidR="00724F33" w:rsidRPr="00991CED" w:rsidRDefault="00724F33" w:rsidP="00724F33">
      <w:pPr>
        <w:spacing w:line="240" w:lineRule="auto"/>
        <w:rPr>
          <w:szCs w:val="22"/>
        </w:rPr>
      </w:pPr>
    </w:p>
    <w:p w14:paraId="1A7EC103" w14:textId="77777777" w:rsidR="00724F33" w:rsidRPr="00991CED" w:rsidRDefault="00724F33" w:rsidP="00724F33">
      <w:pPr>
        <w:spacing w:line="240" w:lineRule="auto"/>
        <w:rPr>
          <w:szCs w:val="22"/>
        </w:rPr>
      </w:pPr>
      <w:r>
        <w:t>Времето на полуживот на циклоспорин се удължава с 33%, когато се прилага заедно с левофлоксацин.</w:t>
      </w:r>
    </w:p>
    <w:p w14:paraId="0BBF47C4" w14:textId="77777777" w:rsidR="00724F33" w:rsidRPr="00991CED" w:rsidRDefault="00724F33" w:rsidP="00724F33">
      <w:pPr>
        <w:spacing w:line="240" w:lineRule="auto"/>
        <w:rPr>
          <w:szCs w:val="22"/>
        </w:rPr>
      </w:pPr>
    </w:p>
    <w:p w14:paraId="4430DC1B" w14:textId="77777777" w:rsidR="00724F33" w:rsidRPr="00991CED" w:rsidRDefault="00724F33" w:rsidP="00724F33">
      <w:pPr>
        <w:spacing w:line="240" w:lineRule="auto"/>
        <w:rPr>
          <w:i/>
          <w:szCs w:val="22"/>
        </w:rPr>
      </w:pPr>
      <w:r>
        <w:rPr>
          <w:i/>
          <w:szCs w:val="22"/>
        </w:rPr>
        <w:t>Антагонисти на витамин K</w:t>
      </w:r>
    </w:p>
    <w:p w14:paraId="2178D09A" w14:textId="77777777" w:rsidR="00724F33" w:rsidRPr="00991CED" w:rsidRDefault="00724F33" w:rsidP="00724F33">
      <w:pPr>
        <w:spacing w:line="240" w:lineRule="auto"/>
        <w:rPr>
          <w:szCs w:val="22"/>
        </w:rPr>
      </w:pPr>
    </w:p>
    <w:p w14:paraId="32E760CA" w14:textId="77777777" w:rsidR="00724F33" w:rsidRPr="00991CED" w:rsidRDefault="00724F33" w:rsidP="00724F33">
      <w:pPr>
        <w:spacing w:line="240" w:lineRule="auto"/>
        <w:rPr>
          <w:szCs w:val="22"/>
        </w:rPr>
      </w:pPr>
      <w:r>
        <w:t>Съобщавани са повишени показатели на коагулационните тестове (PT/INR) и/или кървене, което може да бъде тежко, при пациенти, лекувани с левофлоксацин в комбинация с антагонисти на витамин К (напр. варфарин.) Поради това е необходимо показателите на коагулационните тестове да бъдат наблюдавани при пациенти, лекувани с антагонисти на витамин К (вж. точка 4.4).</w:t>
      </w:r>
    </w:p>
    <w:p w14:paraId="7178EBBD" w14:textId="77777777" w:rsidR="00724F33" w:rsidRPr="00991CED" w:rsidRDefault="00724F33" w:rsidP="00724F33">
      <w:pPr>
        <w:spacing w:line="240" w:lineRule="auto"/>
        <w:rPr>
          <w:szCs w:val="22"/>
        </w:rPr>
      </w:pPr>
    </w:p>
    <w:p w14:paraId="46F8A101" w14:textId="77777777" w:rsidR="00724F33" w:rsidRPr="00991CED" w:rsidRDefault="00724F33" w:rsidP="00724F33">
      <w:pPr>
        <w:spacing w:line="240" w:lineRule="auto"/>
        <w:rPr>
          <w:i/>
          <w:szCs w:val="22"/>
        </w:rPr>
      </w:pPr>
      <w:r>
        <w:rPr>
          <w:i/>
          <w:szCs w:val="22"/>
        </w:rPr>
        <w:lastRenderedPageBreak/>
        <w:t>Лекарства, за които е известно, че удължават QT-интервала</w:t>
      </w:r>
    </w:p>
    <w:p w14:paraId="4B457A34" w14:textId="77777777" w:rsidR="00724F33" w:rsidRPr="00991CED" w:rsidRDefault="00724F33" w:rsidP="00724F33">
      <w:pPr>
        <w:spacing w:line="240" w:lineRule="auto"/>
        <w:rPr>
          <w:szCs w:val="22"/>
        </w:rPr>
      </w:pPr>
    </w:p>
    <w:p w14:paraId="436E0ABC" w14:textId="77777777" w:rsidR="0075748E" w:rsidRPr="00991CED" w:rsidRDefault="00724F33" w:rsidP="00EC0B94">
      <w:pPr>
        <w:spacing w:line="240" w:lineRule="auto"/>
        <w:rPr>
          <w:szCs w:val="22"/>
        </w:rPr>
      </w:pPr>
      <w:r>
        <w:t xml:space="preserve">Левофлоксацин, подобно на останалите флуорохинолони, трябва да бъде използван с повишено внимание при пациенти, приемащи лекарства, за които е известно, че удължават QT-интервала (напр. антиаритмици от клас ІА и ІІІ, трициклични антидепресанти, макролиди, антипсихотици) (вж. точка 4.4 „Удължаване на QT-интервала“). </w:t>
      </w:r>
    </w:p>
    <w:p w14:paraId="6F9EB313" w14:textId="77777777" w:rsidR="0075748E" w:rsidRPr="00991CED" w:rsidRDefault="0075748E" w:rsidP="00EC0B94">
      <w:pPr>
        <w:spacing w:line="240" w:lineRule="auto"/>
        <w:rPr>
          <w:szCs w:val="22"/>
        </w:rPr>
      </w:pPr>
    </w:p>
    <w:p w14:paraId="3648C582" w14:textId="77777777" w:rsidR="00EC0B94" w:rsidRPr="00991CED" w:rsidRDefault="00EC0B94" w:rsidP="00EC0B94">
      <w:pPr>
        <w:spacing w:line="240" w:lineRule="auto"/>
        <w:rPr>
          <w:i/>
          <w:szCs w:val="22"/>
        </w:rPr>
      </w:pPr>
      <w:r>
        <w:rPr>
          <w:i/>
          <w:szCs w:val="22"/>
        </w:rPr>
        <w:t>Друга приложима информация</w:t>
      </w:r>
    </w:p>
    <w:p w14:paraId="20CDCB65" w14:textId="77777777" w:rsidR="00EC0B94" w:rsidRPr="00991CED" w:rsidRDefault="00EC0B94" w:rsidP="00EC0B94">
      <w:pPr>
        <w:spacing w:line="240" w:lineRule="auto"/>
        <w:rPr>
          <w:szCs w:val="22"/>
        </w:rPr>
      </w:pPr>
    </w:p>
    <w:p w14:paraId="120099E4" w14:textId="77777777" w:rsidR="00EC0B94" w:rsidRPr="00991CED" w:rsidRDefault="00C54D71" w:rsidP="00EC0B94">
      <w:pPr>
        <w:spacing w:line="240" w:lineRule="auto"/>
        <w:rPr>
          <w:szCs w:val="22"/>
        </w:rPr>
      </w:pPr>
      <w:r>
        <w:t>В едно проучване за фармакокинетични взаимодействия левофлоксацин не е променил фармакокинетиката на теофилин (който е тестов субстрат на CYP1A2), което показва, че левофлоксацин не е инхибитор на CYP1A2.</w:t>
      </w:r>
    </w:p>
    <w:p w14:paraId="3C1C7C25" w14:textId="77777777" w:rsidR="00EC0B94" w:rsidRPr="00991CED" w:rsidRDefault="00EC0B94" w:rsidP="00EC0B94">
      <w:pPr>
        <w:spacing w:line="240" w:lineRule="auto"/>
        <w:rPr>
          <w:szCs w:val="22"/>
        </w:rPr>
      </w:pPr>
    </w:p>
    <w:p w14:paraId="2BD379C0" w14:textId="77777777" w:rsidR="00EC0B94" w:rsidRPr="00991CED" w:rsidRDefault="00EC0B94" w:rsidP="00EC0B94">
      <w:pPr>
        <w:spacing w:line="240" w:lineRule="auto"/>
        <w:rPr>
          <w:szCs w:val="22"/>
          <w:u w:val="single"/>
        </w:rPr>
      </w:pPr>
      <w:r>
        <w:rPr>
          <w:szCs w:val="22"/>
          <w:u w:val="single"/>
        </w:rPr>
        <w:t>Други форми на взаимодействие</w:t>
      </w:r>
    </w:p>
    <w:p w14:paraId="6AF27A36" w14:textId="77777777" w:rsidR="00EC0B94" w:rsidRPr="00991CED" w:rsidRDefault="00EC0B94" w:rsidP="00EC0B94">
      <w:pPr>
        <w:spacing w:line="240" w:lineRule="auto"/>
        <w:rPr>
          <w:szCs w:val="22"/>
        </w:rPr>
      </w:pPr>
    </w:p>
    <w:p w14:paraId="7347640C" w14:textId="77777777" w:rsidR="00EC0B94" w:rsidRPr="00991CED" w:rsidRDefault="00EC0B94" w:rsidP="00EC0B94">
      <w:pPr>
        <w:spacing w:line="240" w:lineRule="auto"/>
        <w:rPr>
          <w:i/>
          <w:szCs w:val="22"/>
        </w:rPr>
      </w:pPr>
      <w:r>
        <w:rPr>
          <w:i/>
          <w:szCs w:val="22"/>
        </w:rPr>
        <w:t>Храна</w:t>
      </w:r>
    </w:p>
    <w:p w14:paraId="14D61912" w14:textId="77777777" w:rsidR="00EC0B94" w:rsidRPr="00991CED" w:rsidRDefault="00EC0B94" w:rsidP="00EC0B94">
      <w:pPr>
        <w:spacing w:line="240" w:lineRule="auto"/>
        <w:rPr>
          <w:szCs w:val="22"/>
        </w:rPr>
      </w:pPr>
    </w:p>
    <w:p w14:paraId="748C92FD" w14:textId="77777777" w:rsidR="001D29E6" w:rsidRPr="00991CED" w:rsidRDefault="00EC0B94" w:rsidP="00EC0B94">
      <w:pPr>
        <w:spacing w:line="240" w:lineRule="auto"/>
        <w:rPr>
          <w:szCs w:val="22"/>
        </w:rPr>
      </w:pPr>
      <w:r>
        <w:t>Няма клинично значимо взаимодействие с храна. Затова Фoвeлид таблетки могат да се прилагат независимо от приема на храна.</w:t>
      </w:r>
    </w:p>
    <w:p w14:paraId="4FEFF0BD" w14:textId="77777777" w:rsidR="001D29E6" w:rsidRPr="00991CED" w:rsidRDefault="001D29E6" w:rsidP="009F4BA4">
      <w:pPr>
        <w:spacing w:line="240" w:lineRule="auto"/>
        <w:rPr>
          <w:szCs w:val="22"/>
        </w:rPr>
      </w:pPr>
    </w:p>
    <w:p w14:paraId="42F3742D" w14:textId="77777777" w:rsidR="001D29E6" w:rsidRPr="00991CED" w:rsidRDefault="001D29E6" w:rsidP="009F4BA4">
      <w:pPr>
        <w:spacing w:line="240" w:lineRule="auto"/>
        <w:ind w:left="567" w:hanging="567"/>
        <w:rPr>
          <w:szCs w:val="22"/>
        </w:rPr>
      </w:pPr>
      <w:r>
        <w:rPr>
          <w:b/>
          <w:szCs w:val="22"/>
        </w:rPr>
        <w:t>4.6</w:t>
      </w:r>
      <w:r>
        <w:rPr>
          <w:b/>
          <w:szCs w:val="22"/>
        </w:rPr>
        <w:tab/>
        <w:t>Фертилитет, бременност и кърмене</w:t>
      </w:r>
    </w:p>
    <w:p w14:paraId="10BCC34F" w14:textId="77777777" w:rsidR="00C53ACC" w:rsidRPr="00991CED" w:rsidRDefault="00C53ACC" w:rsidP="009F4BA4">
      <w:pPr>
        <w:spacing w:line="240" w:lineRule="auto"/>
        <w:rPr>
          <w:i/>
          <w:szCs w:val="22"/>
        </w:rPr>
      </w:pPr>
    </w:p>
    <w:p w14:paraId="349D62D3" w14:textId="77777777" w:rsidR="00C53ACC" w:rsidRPr="00991CED" w:rsidRDefault="005B34CD" w:rsidP="009F4BA4">
      <w:pPr>
        <w:tabs>
          <w:tab w:val="clear" w:pos="567"/>
        </w:tabs>
        <w:spacing w:line="240" w:lineRule="auto"/>
        <w:rPr>
          <w:noProof/>
          <w:szCs w:val="22"/>
          <w:u w:val="single"/>
        </w:rPr>
      </w:pPr>
      <w:r>
        <w:rPr>
          <w:szCs w:val="22"/>
          <w:u w:val="single"/>
        </w:rPr>
        <w:t>Бременност</w:t>
      </w:r>
    </w:p>
    <w:p w14:paraId="14E50A2D" w14:textId="77777777" w:rsidR="005B34CD" w:rsidRPr="00991CED" w:rsidRDefault="005B34CD" w:rsidP="005B34CD">
      <w:pPr>
        <w:tabs>
          <w:tab w:val="clear" w:pos="567"/>
        </w:tabs>
        <w:spacing w:line="240" w:lineRule="auto"/>
        <w:rPr>
          <w:noProof/>
          <w:szCs w:val="22"/>
        </w:rPr>
      </w:pPr>
      <w:r>
        <w:t>Има ограничени данни от употребата на левофлоксацин при бременни жени. Проучванията при животни не показват преки или непреки вредни ефекти, свързани с репродуктивна токсичност (вж. точка 5.3). Въпреки това, поради липсата на данни при хора и поради това, че експерименталните данни предполагат риск от увреждане на носещите тежестта хрущяли на растящия организъм от флуорохинолоните, левофлоксацин не трябва да се използва при бременни жени (вж. точки 4.3 и 5.3).</w:t>
      </w:r>
    </w:p>
    <w:p w14:paraId="31C42BCD" w14:textId="77777777" w:rsidR="005B34CD" w:rsidRPr="00991CED" w:rsidRDefault="005B34CD" w:rsidP="009F4BA4">
      <w:pPr>
        <w:tabs>
          <w:tab w:val="clear" w:pos="567"/>
        </w:tabs>
        <w:spacing w:line="240" w:lineRule="auto"/>
        <w:rPr>
          <w:noProof/>
          <w:szCs w:val="22"/>
          <w:u w:val="single"/>
        </w:rPr>
      </w:pPr>
    </w:p>
    <w:p w14:paraId="4DD12DF0" w14:textId="77777777" w:rsidR="00C53ACC" w:rsidRPr="00991CED" w:rsidRDefault="00277888" w:rsidP="009F4BA4">
      <w:pPr>
        <w:tabs>
          <w:tab w:val="clear" w:pos="567"/>
        </w:tabs>
        <w:spacing w:line="240" w:lineRule="auto"/>
        <w:rPr>
          <w:noProof/>
          <w:szCs w:val="22"/>
          <w:u w:val="single"/>
        </w:rPr>
      </w:pPr>
      <w:r>
        <w:rPr>
          <w:szCs w:val="22"/>
          <w:u w:val="single"/>
        </w:rPr>
        <w:t>Кърмене</w:t>
      </w:r>
    </w:p>
    <w:p w14:paraId="6CDC418D" w14:textId="77777777" w:rsidR="00277888" w:rsidRPr="00991CED" w:rsidRDefault="00277888" w:rsidP="00277888">
      <w:pPr>
        <w:tabs>
          <w:tab w:val="clear" w:pos="567"/>
        </w:tabs>
        <w:spacing w:line="240" w:lineRule="auto"/>
        <w:rPr>
          <w:noProof/>
          <w:szCs w:val="22"/>
        </w:rPr>
      </w:pPr>
      <w:r>
        <w:t>Фoвeлид е противопоказан при кърмачки. Има недостатъчна информация за екскрецията на левофлоксацин в кърмата, въпреки че останалите флуорохинолони се екскретират в кърмата. Поради липсата на данни при хора и поради това, че експерименталните данни предполагат риск от увреждане на носещите тежестта хрущяли на растящия организъм от флуорохинолоните, левофлоксацин не трябва да се използва при кърмачки (вж. точки 4.3 и 5.3).</w:t>
      </w:r>
    </w:p>
    <w:p w14:paraId="58CBB79B" w14:textId="77777777" w:rsidR="00277888" w:rsidRPr="00991CED" w:rsidRDefault="00277888" w:rsidP="009F4BA4">
      <w:pPr>
        <w:tabs>
          <w:tab w:val="clear" w:pos="567"/>
        </w:tabs>
        <w:spacing w:line="240" w:lineRule="auto"/>
        <w:rPr>
          <w:noProof/>
          <w:szCs w:val="22"/>
        </w:rPr>
      </w:pPr>
    </w:p>
    <w:p w14:paraId="1A4F990A" w14:textId="77777777" w:rsidR="00C53ACC" w:rsidRPr="00995160" w:rsidRDefault="00277888" w:rsidP="009F4BA4">
      <w:pPr>
        <w:tabs>
          <w:tab w:val="clear" w:pos="567"/>
        </w:tabs>
        <w:spacing w:line="240" w:lineRule="auto"/>
        <w:rPr>
          <w:noProof/>
          <w:szCs w:val="22"/>
          <w:u w:val="single"/>
        </w:rPr>
      </w:pPr>
      <w:r w:rsidRPr="00995160">
        <w:rPr>
          <w:szCs w:val="22"/>
          <w:u w:val="single"/>
        </w:rPr>
        <w:t>Фертилитет</w:t>
      </w:r>
    </w:p>
    <w:p w14:paraId="7AAEE567" w14:textId="42CDD826" w:rsidR="001D29E6" w:rsidRPr="00991CED" w:rsidRDefault="00AD74C7" w:rsidP="00995160">
      <w:pPr>
        <w:spacing w:line="240" w:lineRule="auto"/>
        <w:rPr>
          <w:szCs w:val="22"/>
        </w:rPr>
      </w:pPr>
      <w:r w:rsidRPr="00995160">
        <w:t>Левофлоксацин не предизвиква увреждане на фертилитета или репродуктивните способности при</w:t>
      </w:r>
      <w:r w:rsidR="00291AD9" w:rsidRPr="00995160">
        <w:rPr>
          <w:lang w:val="en-US"/>
        </w:rPr>
        <w:t xml:space="preserve"> </w:t>
      </w:r>
      <w:r w:rsidRPr="00995160">
        <w:t>плъхове.</w:t>
      </w:r>
    </w:p>
    <w:p w14:paraId="22A39948" w14:textId="77777777" w:rsidR="00AD74C7" w:rsidRPr="00991CED" w:rsidRDefault="00AD74C7" w:rsidP="009F4BA4">
      <w:pPr>
        <w:spacing w:line="240" w:lineRule="auto"/>
        <w:ind w:left="567" w:hanging="567"/>
        <w:rPr>
          <w:szCs w:val="22"/>
        </w:rPr>
      </w:pPr>
    </w:p>
    <w:p w14:paraId="793C122E" w14:textId="77777777" w:rsidR="001D29E6" w:rsidRPr="00991CED" w:rsidRDefault="001D29E6" w:rsidP="009F4BA4">
      <w:pPr>
        <w:spacing w:line="240" w:lineRule="auto"/>
        <w:ind w:left="567" w:hanging="567"/>
        <w:rPr>
          <w:szCs w:val="22"/>
        </w:rPr>
      </w:pPr>
      <w:r>
        <w:rPr>
          <w:b/>
          <w:szCs w:val="22"/>
        </w:rPr>
        <w:t>4.7</w:t>
      </w:r>
      <w:r>
        <w:rPr>
          <w:b/>
          <w:szCs w:val="22"/>
        </w:rPr>
        <w:tab/>
        <w:t>Ефекти върху способността за шофиране и работа с машини</w:t>
      </w:r>
    </w:p>
    <w:p w14:paraId="1092634D" w14:textId="77777777" w:rsidR="001D29E6" w:rsidRPr="00991CED" w:rsidRDefault="001D29E6" w:rsidP="009F4BA4">
      <w:pPr>
        <w:spacing w:line="240" w:lineRule="auto"/>
        <w:rPr>
          <w:szCs w:val="22"/>
        </w:rPr>
      </w:pPr>
    </w:p>
    <w:p w14:paraId="5AF84CB9" w14:textId="7C72040F" w:rsidR="001D29E6" w:rsidRPr="00991CED" w:rsidRDefault="00E72659" w:rsidP="00796A93">
      <w:pPr>
        <w:spacing w:line="240" w:lineRule="auto"/>
        <w:rPr>
          <w:szCs w:val="22"/>
        </w:rPr>
      </w:pPr>
      <w:r>
        <w:t xml:space="preserve">Фовелид </w:t>
      </w:r>
      <w:r w:rsidRPr="00E72659">
        <w:t>не повлиява или повлиява пренебрежимо способността за шофиране и работа с машини.</w:t>
      </w:r>
      <w:r>
        <w:rPr>
          <w:lang w:val="en-US"/>
        </w:rPr>
        <w:t xml:space="preserve"> </w:t>
      </w:r>
      <w:r w:rsidR="00796A93">
        <w:t>Някои нежелани лекарствени реакции (напр. замаяност/вертиго, сънливост, зрителни смущения) могат да нарушат способността на пациентите да се концентрират и да реагират, поради което е възможно да възникне опасност в ситуации, при които тези способности са от особена важност (напр. шофиране или работа с машини).</w:t>
      </w:r>
    </w:p>
    <w:p w14:paraId="02A4478D" w14:textId="77777777" w:rsidR="00991CED" w:rsidRPr="00991CED" w:rsidRDefault="00991CED" w:rsidP="00796A93">
      <w:pPr>
        <w:spacing w:line="240" w:lineRule="auto"/>
        <w:rPr>
          <w:szCs w:val="22"/>
        </w:rPr>
      </w:pPr>
    </w:p>
    <w:p w14:paraId="7359A6BD" w14:textId="77777777" w:rsidR="001D29E6" w:rsidRPr="00991CED" w:rsidRDefault="001D29E6" w:rsidP="009F4BA4">
      <w:pPr>
        <w:numPr>
          <w:ilvl w:val="1"/>
          <w:numId w:val="10"/>
        </w:numPr>
        <w:spacing w:line="240" w:lineRule="auto"/>
        <w:rPr>
          <w:b/>
          <w:szCs w:val="22"/>
        </w:rPr>
      </w:pPr>
      <w:r>
        <w:rPr>
          <w:b/>
          <w:szCs w:val="22"/>
        </w:rPr>
        <w:t>Нежелани лекарствени реакции</w:t>
      </w:r>
    </w:p>
    <w:p w14:paraId="515E9B8B" w14:textId="77777777" w:rsidR="00C20721" w:rsidRPr="00991CED" w:rsidRDefault="00C20721" w:rsidP="00C20721">
      <w:pPr>
        <w:autoSpaceDE w:val="0"/>
        <w:autoSpaceDN w:val="0"/>
        <w:adjustRightInd w:val="0"/>
        <w:spacing w:line="240" w:lineRule="auto"/>
        <w:rPr>
          <w:szCs w:val="22"/>
        </w:rPr>
      </w:pPr>
    </w:p>
    <w:p w14:paraId="35821038" w14:textId="2126D8FA" w:rsidR="00C20721" w:rsidRPr="00991CED" w:rsidRDefault="00C20721" w:rsidP="00C20721">
      <w:pPr>
        <w:autoSpaceDE w:val="0"/>
        <w:autoSpaceDN w:val="0"/>
        <w:adjustRightInd w:val="0"/>
        <w:spacing w:line="240" w:lineRule="auto"/>
        <w:rPr>
          <w:szCs w:val="22"/>
        </w:rPr>
      </w:pPr>
      <w:r>
        <w:lastRenderedPageBreak/>
        <w:t xml:space="preserve">Представената по-долу информация се основава на данни от клинични проучвания при повече от 8 300 пациенти, както и </w:t>
      </w:r>
      <w:r w:rsidR="00414A6D">
        <w:t xml:space="preserve">от </w:t>
      </w:r>
      <w:r>
        <w:t>продължителен постмаркетингов опит.</w:t>
      </w:r>
    </w:p>
    <w:p w14:paraId="59B4FD53" w14:textId="77777777" w:rsidR="00C20721" w:rsidRPr="00991CED" w:rsidRDefault="00C20721" w:rsidP="00C20721">
      <w:pPr>
        <w:autoSpaceDE w:val="0"/>
        <w:autoSpaceDN w:val="0"/>
        <w:adjustRightInd w:val="0"/>
        <w:spacing w:line="240" w:lineRule="auto"/>
        <w:rPr>
          <w:szCs w:val="22"/>
        </w:rPr>
      </w:pPr>
    </w:p>
    <w:p w14:paraId="0F672FD9" w14:textId="77777777" w:rsidR="00C20721" w:rsidRPr="00991CED" w:rsidRDefault="00C20721" w:rsidP="00C20721">
      <w:pPr>
        <w:autoSpaceDE w:val="0"/>
        <w:autoSpaceDN w:val="0"/>
        <w:adjustRightInd w:val="0"/>
        <w:spacing w:line="240" w:lineRule="auto"/>
        <w:rPr>
          <w:szCs w:val="22"/>
        </w:rPr>
      </w:pPr>
      <w:r>
        <w:t>Честотите са дефинирани съобразно следната конвенция: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04A35162" w14:textId="77777777" w:rsidR="00C20721" w:rsidRPr="00991CED" w:rsidRDefault="00C20721" w:rsidP="00C20721">
      <w:pPr>
        <w:autoSpaceDE w:val="0"/>
        <w:autoSpaceDN w:val="0"/>
        <w:adjustRightInd w:val="0"/>
        <w:spacing w:line="240" w:lineRule="auto"/>
        <w:rPr>
          <w:szCs w:val="22"/>
        </w:rPr>
      </w:pPr>
      <w: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54CC33C8" w14:textId="3E31E685" w:rsidR="00A830D3" w:rsidRDefault="00A830D3" w:rsidP="00C20721">
      <w:pPr>
        <w:autoSpaceDE w:val="0"/>
        <w:autoSpaceDN w:val="0"/>
        <w:adjustRightInd w:val="0"/>
        <w:spacing w:line="240" w:lineRule="auto"/>
        <w:rPr>
          <w:szCs w:val="22"/>
        </w:rPr>
      </w:pPr>
    </w:p>
    <w:p w14:paraId="25DD72F8" w14:textId="786BE839" w:rsidR="00E72659" w:rsidRDefault="00A830D3" w:rsidP="00C20721">
      <w:pPr>
        <w:autoSpaceDE w:val="0"/>
        <w:autoSpaceDN w:val="0"/>
        <w:adjustRightInd w:val="0"/>
        <w:spacing w:line="240" w:lineRule="auto"/>
        <w:rPr>
          <w:szCs w:val="22"/>
          <w:lang w:val="en-US"/>
        </w:rPr>
      </w:pPr>
      <w:proofErr w:type="spellStart"/>
      <w:r w:rsidRPr="00A830D3">
        <w:rPr>
          <w:szCs w:val="22"/>
          <w:lang w:val="en-US"/>
        </w:rPr>
        <w:t>Таблица</w:t>
      </w:r>
      <w:proofErr w:type="spellEnd"/>
      <w:r w:rsidRPr="00A830D3">
        <w:rPr>
          <w:szCs w:val="22"/>
          <w:lang w:val="en-US"/>
        </w:rPr>
        <w:t xml:space="preserve"> с </w:t>
      </w:r>
      <w:proofErr w:type="spellStart"/>
      <w:r w:rsidRPr="00A830D3">
        <w:rPr>
          <w:szCs w:val="22"/>
          <w:lang w:val="en-US"/>
        </w:rPr>
        <w:t>нежелани</w:t>
      </w:r>
      <w:proofErr w:type="spellEnd"/>
      <w:r w:rsidRPr="00A830D3">
        <w:rPr>
          <w:szCs w:val="22"/>
          <w:lang w:val="en-US"/>
        </w:rPr>
        <w:t xml:space="preserve"> </w:t>
      </w:r>
      <w:proofErr w:type="spellStart"/>
      <w:r w:rsidRPr="00A830D3">
        <w:rPr>
          <w:szCs w:val="22"/>
          <w:lang w:val="en-US"/>
        </w:rPr>
        <w:t>реакции</w:t>
      </w:r>
      <w:proofErr w:type="spellEnd"/>
    </w:p>
    <w:p w14:paraId="5EB8C80B" w14:textId="77777777" w:rsidR="00846201" w:rsidRPr="00991CED" w:rsidRDefault="00846201" w:rsidP="00C20721">
      <w:pPr>
        <w:autoSpaceDE w:val="0"/>
        <w:autoSpaceDN w:val="0"/>
        <w:adjustRightInd w:val="0"/>
        <w:spacing w:line="240" w:lineRule="auto"/>
        <w:rPr>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738"/>
        <w:gridCol w:w="1744"/>
        <w:gridCol w:w="2066"/>
        <w:gridCol w:w="2064"/>
      </w:tblGrid>
      <w:tr w:rsidR="00C20721" w:rsidRPr="00991CED" w14:paraId="2E0872A9" w14:textId="77777777" w:rsidTr="007F5D4C">
        <w:trPr>
          <w:tblHeader/>
        </w:trPr>
        <w:tc>
          <w:tcPr>
            <w:tcW w:w="1733" w:type="dxa"/>
            <w:shd w:val="clear" w:color="auto" w:fill="D9D9D9"/>
          </w:tcPr>
          <w:p w14:paraId="27DC820C" w14:textId="77777777" w:rsidR="00C20721" w:rsidRPr="00991CED" w:rsidRDefault="00C20721" w:rsidP="00137770">
            <w:pPr>
              <w:autoSpaceDE w:val="0"/>
              <w:autoSpaceDN w:val="0"/>
              <w:adjustRightInd w:val="0"/>
              <w:rPr>
                <w:rFonts w:eastAsia="Calibri"/>
                <w:b/>
                <w:szCs w:val="22"/>
              </w:rPr>
            </w:pPr>
            <w:r>
              <w:rPr>
                <w:b/>
                <w:szCs w:val="22"/>
              </w:rPr>
              <w:t>Системо-органен клас</w:t>
            </w:r>
          </w:p>
        </w:tc>
        <w:tc>
          <w:tcPr>
            <w:tcW w:w="1738" w:type="dxa"/>
            <w:shd w:val="clear" w:color="auto" w:fill="D9D9D9"/>
          </w:tcPr>
          <w:p w14:paraId="5175CC91" w14:textId="77777777" w:rsidR="00C20721" w:rsidRPr="00991CED" w:rsidRDefault="00C20721" w:rsidP="00137770">
            <w:pPr>
              <w:autoSpaceDE w:val="0"/>
              <w:autoSpaceDN w:val="0"/>
              <w:adjustRightInd w:val="0"/>
              <w:rPr>
                <w:rFonts w:eastAsia="Calibri"/>
                <w:b/>
                <w:szCs w:val="22"/>
              </w:rPr>
            </w:pPr>
            <w:r>
              <w:rPr>
                <w:b/>
                <w:szCs w:val="22"/>
              </w:rPr>
              <w:t>Чести (≥ 1/100 до &lt; 1/10)</w:t>
            </w:r>
          </w:p>
        </w:tc>
        <w:tc>
          <w:tcPr>
            <w:tcW w:w="1744" w:type="dxa"/>
            <w:shd w:val="clear" w:color="auto" w:fill="D9D9D9"/>
          </w:tcPr>
          <w:p w14:paraId="2F35B815" w14:textId="77777777" w:rsidR="00C20721" w:rsidRPr="00991CED" w:rsidRDefault="00C20721" w:rsidP="00137770">
            <w:pPr>
              <w:autoSpaceDE w:val="0"/>
              <w:autoSpaceDN w:val="0"/>
              <w:adjustRightInd w:val="0"/>
              <w:rPr>
                <w:rFonts w:eastAsia="Calibri"/>
                <w:b/>
                <w:szCs w:val="22"/>
              </w:rPr>
            </w:pPr>
            <w:r>
              <w:rPr>
                <w:b/>
                <w:szCs w:val="22"/>
              </w:rPr>
              <w:t>Нечести (≥ 1/1 000 до &lt; 1/100)</w:t>
            </w:r>
          </w:p>
        </w:tc>
        <w:tc>
          <w:tcPr>
            <w:tcW w:w="2066" w:type="dxa"/>
            <w:shd w:val="clear" w:color="auto" w:fill="D9D9D9"/>
          </w:tcPr>
          <w:p w14:paraId="3AE3DC90" w14:textId="77777777" w:rsidR="00C20721" w:rsidRPr="00991CED" w:rsidRDefault="00C20721" w:rsidP="00137770">
            <w:pPr>
              <w:autoSpaceDE w:val="0"/>
              <w:autoSpaceDN w:val="0"/>
              <w:adjustRightInd w:val="0"/>
              <w:rPr>
                <w:rFonts w:eastAsia="Calibri"/>
                <w:b/>
                <w:szCs w:val="22"/>
              </w:rPr>
            </w:pPr>
            <w:r>
              <w:rPr>
                <w:b/>
                <w:szCs w:val="22"/>
              </w:rPr>
              <w:t>Редки (≥ 1/10 000 до &lt; 1/1 000)</w:t>
            </w:r>
          </w:p>
        </w:tc>
        <w:tc>
          <w:tcPr>
            <w:tcW w:w="2064" w:type="dxa"/>
            <w:shd w:val="clear" w:color="auto" w:fill="D9D9D9"/>
          </w:tcPr>
          <w:p w14:paraId="52915F78" w14:textId="77777777" w:rsidR="00C20721" w:rsidRPr="00991CED" w:rsidRDefault="00C20721" w:rsidP="00137770">
            <w:pPr>
              <w:autoSpaceDE w:val="0"/>
              <w:autoSpaceDN w:val="0"/>
              <w:adjustRightInd w:val="0"/>
              <w:rPr>
                <w:rFonts w:eastAsia="Calibri"/>
                <w:b/>
                <w:szCs w:val="22"/>
              </w:rPr>
            </w:pPr>
            <w:r>
              <w:rPr>
                <w:b/>
                <w:szCs w:val="22"/>
              </w:rPr>
              <w:t>С неизвестна честота (от наличните данни не може да бъде направена оценка)</w:t>
            </w:r>
          </w:p>
        </w:tc>
      </w:tr>
      <w:tr w:rsidR="00C20721" w:rsidRPr="00991CED" w14:paraId="7A39F944" w14:textId="77777777" w:rsidTr="007F5D4C">
        <w:tc>
          <w:tcPr>
            <w:tcW w:w="1733" w:type="dxa"/>
            <w:shd w:val="clear" w:color="auto" w:fill="auto"/>
          </w:tcPr>
          <w:p w14:paraId="0DC1B4C3" w14:textId="74227600" w:rsidR="00C20721" w:rsidRPr="00991CED" w:rsidRDefault="00C20721" w:rsidP="00CE100D">
            <w:pPr>
              <w:autoSpaceDE w:val="0"/>
              <w:autoSpaceDN w:val="0"/>
              <w:adjustRightInd w:val="0"/>
              <w:rPr>
                <w:rFonts w:eastAsia="Calibri"/>
                <w:szCs w:val="22"/>
              </w:rPr>
            </w:pPr>
            <w:r>
              <w:t>Инфекции и</w:t>
            </w:r>
            <w:r w:rsidR="00CE100D">
              <w:rPr>
                <w:lang w:val="hr-HR"/>
              </w:rPr>
              <w:t xml:space="preserve"> </w:t>
            </w:r>
            <w:r>
              <w:t>инфестации</w:t>
            </w:r>
          </w:p>
        </w:tc>
        <w:tc>
          <w:tcPr>
            <w:tcW w:w="1738" w:type="dxa"/>
            <w:shd w:val="clear" w:color="auto" w:fill="auto"/>
          </w:tcPr>
          <w:p w14:paraId="5B4054BC"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4DFF9D78" w14:textId="77777777" w:rsidR="00C20721" w:rsidRPr="00991CED" w:rsidRDefault="00C20721" w:rsidP="00137770">
            <w:pPr>
              <w:autoSpaceDE w:val="0"/>
              <w:autoSpaceDN w:val="0"/>
              <w:adjustRightInd w:val="0"/>
              <w:rPr>
                <w:rFonts w:eastAsia="Calibri"/>
                <w:szCs w:val="22"/>
              </w:rPr>
            </w:pPr>
            <w:r>
              <w:t>Гъбични инфекции,</w:t>
            </w:r>
          </w:p>
          <w:p w14:paraId="6248D105" w14:textId="77777777" w:rsidR="00C20721" w:rsidRPr="00991CED" w:rsidRDefault="00C20721" w:rsidP="00137770">
            <w:pPr>
              <w:autoSpaceDE w:val="0"/>
              <w:autoSpaceDN w:val="0"/>
              <w:adjustRightInd w:val="0"/>
              <w:rPr>
                <w:rFonts w:eastAsia="Calibri"/>
                <w:szCs w:val="22"/>
              </w:rPr>
            </w:pPr>
            <w:r>
              <w:t>включително инфекция с Candida</w:t>
            </w:r>
          </w:p>
          <w:p w14:paraId="1E879126" w14:textId="77777777" w:rsidR="00C20721" w:rsidRPr="00991CED" w:rsidRDefault="00C20721" w:rsidP="00137770">
            <w:pPr>
              <w:autoSpaceDE w:val="0"/>
              <w:autoSpaceDN w:val="0"/>
              <w:adjustRightInd w:val="0"/>
              <w:rPr>
                <w:rFonts w:eastAsia="Calibri"/>
                <w:szCs w:val="22"/>
              </w:rPr>
            </w:pPr>
            <w:r>
              <w:t>Резистентност на инфекциозния патоген</w:t>
            </w:r>
          </w:p>
        </w:tc>
        <w:tc>
          <w:tcPr>
            <w:tcW w:w="2066" w:type="dxa"/>
            <w:shd w:val="clear" w:color="auto" w:fill="auto"/>
          </w:tcPr>
          <w:p w14:paraId="51D81A99" w14:textId="77777777" w:rsidR="00C20721" w:rsidRPr="00991CED" w:rsidRDefault="00C20721" w:rsidP="00137770">
            <w:pPr>
              <w:autoSpaceDE w:val="0"/>
              <w:autoSpaceDN w:val="0"/>
              <w:adjustRightInd w:val="0"/>
              <w:rPr>
                <w:rFonts w:eastAsia="Calibri"/>
                <w:szCs w:val="22"/>
                <w:lang w:val="en-US"/>
              </w:rPr>
            </w:pPr>
          </w:p>
        </w:tc>
        <w:tc>
          <w:tcPr>
            <w:tcW w:w="2064" w:type="dxa"/>
            <w:shd w:val="clear" w:color="auto" w:fill="auto"/>
          </w:tcPr>
          <w:p w14:paraId="6A813778" w14:textId="77777777" w:rsidR="00C20721" w:rsidRPr="00991CED" w:rsidRDefault="00C20721" w:rsidP="00137770">
            <w:pPr>
              <w:autoSpaceDE w:val="0"/>
              <w:autoSpaceDN w:val="0"/>
              <w:adjustRightInd w:val="0"/>
              <w:rPr>
                <w:rFonts w:eastAsia="Calibri"/>
                <w:szCs w:val="22"/>
                <w:lang w:val="en-US"/>
              </w:rPr>
            </w:pPr>
          </w:p>
        </w:tc>
      </w:tr>
      <w:tr w:rsidR="00C20721" w:rsidRPr="00991CED" w14:paraId="554459DB" w14:textId="77777777" w:rsidTr="007F5D4C">
        <w:tc>
          <w:tcPr>
            <w:tcW w:w="1733" w:type="dxa"/>
            <w:shd w:val="clear" w:color="auto" w:fill="auto"/>
          </w:tcPr>
          <w:p w14:paraId="691BA425" w14:textId="68E22C9E" w:rsidR="00C20721" w:rsidRPr="00991CED" w:rsidRDefault="00C20721" w:rsidP="00CE100D">
            <w:pPr>
              <w:autoSpaceDE w:val="0"/>
              <w:autoSpaceDN w:val="0"/>
              <w:adjustRightInd w:val="0"/>
              <w:rPr>
                <w:rFonts w:eastAsia="Calibri"/>
                <w:szCs w:val="22"/>
              </w:rPr>
            </w:pPr>
            <w:r>
              <w:t>Нарушения на кръвта</w:t>
            </w:r>
            <w:r w:rsidR="00CE100D">
              <w:rPr>
                <w:lang w:val="hr-HR"/>
              </w:rPr>
              <w:t xml:space="preserve"> </w:t>
            </w:r>
            <w:r>
              <w:t>и лимфната</w:t>
            </w:r>
            <w:r w:rsidR="00CE100D">
              <w:rPr>
                <w:lang w:val="hr-HR"/>
              </w:rPr>
              <w:t xml:space="preserve"> </w:t>
            </w:r>
            <w:r>
              <w:t>система</w:t>
            </w:r>
          </w:p>
        </w:tc>
        <w:tc>
          <w:tcPr>
            <w:tcW w:w="1738" w:type="dxa"/>
            <w:shd w:val="clear" w:color="auto" w:fill="auto"/>
          </w:tcPr>
          <w:p w14:paraId="64750C76"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796BEFB8" w14:textId="77777777" w:rsidR="00C20721" w:rsidRPr="00991CED" w:rsidRDefault="00C20721" w:rsidP="00137770">
            <w:pPr>
              <w:autoSpaceDE w:val="0"/>
              <w:autoSpaceDN w:val="0"/>
              <w:adjustRightInd w:val="0"/>
              <w:rPr>
                <w:rFonts w:eastAsia="Calibri"/>
                <w:szCs w:val="22"/>
              </w:rPr>
            </w:pPr>
            <w:r>
              <w:t>Левкопения</w:t>
            </w:r>
          </w:p>
          <w:p w14:paraId="3CD8526A" w14:textId="77777777" w:rsidR="00C20721" w:rsidRPr="00991CED" w:rsidRDefault="00C20721" w:rsidP="00137770">
            <w:pPr>
              <w:autoSpaceDE w:val="0"/>
              <w:autoSpaceDN w:val="0"/>
              <w:adjustRightInd w:val="0"/>
              <w:rPr>
                <w:rFonts w:eastAsia="Calibri"/>
                <w:szCs w:val="22"/>
              </w:rPr>
            </w:pPr>
            <w:r>
              <w:t>Еозинофилия</w:t>
            </w:r>
          </w:p>
        </w:tc>
        <w:tc>
          <w:tcPr>
            <w:tcW w:w="2066" w:type="dxa"/>
            <w:shd w:val="clear" w:color="auto" w:fill="auto"/>
          </w:tcPr>
          <w:p w14:paraId="51DE8DFD" w14:textId="77777777" w:rsidR="00C20721" w:rsidRPr="00991CED" w:rsidRDefault="00C20721" w:rsidP="00137770">
            <w:pPr>
              <w:autoSpaceDE w:val="0"/>
              <w:autoSpaceDN w:val="0"/>
              <w:adjustRightInd w:val="0"/>
              <w:rPr>
                <w:rFonts w:eastAsia="Calibri"/>
                <w:szCs w:val="22"/>
              </w:rPr>
            </w:pPr>
            <w:r>
              <w:t>Тромбоцитопения</w:t>
            </w:r>
          </w:p>
          <w:p w14:paraId="61FA08D0" w14:textId="77777777" w:rsidR="00C20721" w:rsidRPr="00991CED" w:rsidRDefault="00C20721" w:rsidP="00137770">
            <w:pPr>
              <w:autoSpaceDE w:val="0"/>
              <w:autoSpaceDN w:val="0"/>
              <w:adjustRightInd w:val="0"/>
              <w:rPr>
                <w:rFonts w:eastAsia="Calibri"/>
                <w:szCs w:val="22"/>
              </w:rPr>
            </w:pPr>
            <w:r>
              <w:t>Неутропения</w:t>
            </w:r>
          </w:p>
        </w:tc>
        <w:tc>
          <w:tcPr>
            <w:tcW w:w="2064" w:type="dxa"/>
            <w:shd w:val="clear" w:color="auto" w:fill="auto"/>
          </w:tcPr>
          <w:p w14:paraId="5030EE9A" w14:textId="77777777" w:rsidR="00C20721" w:rsidRPr="00991CED" w:rsidRDefault="00C20721" w:rsidP="00137770">
            <w:pPr>
              <w:autoSpaceDE w:val="0"/>
              <w:autoSpaceDN w:val="0"/>
              <w:adjustRightInd w:val="0"/>
              <w:rPr>
                <w:rFonts w:eastAsia="Calibri"/>
                <w:szCs w:val="22"/>
              </w:rPr>
            </w:pPr>
            <w:r>
              <w:t>Панцитопения</w:t>
            </w:r>
          </w:p>
          <w:p w14:paraId="003E5806" w14:textId="77777777" w:rsidR="00C20721" w:rsidRPr="00991CED" w:rsidRDefault="00C20721" w:rsidP="00137770">
            <w:pPr>
              <w:autoSpaceDE w:val="0"/>
              <w:autoSpaceDN w:val="0"/>
              <w:adjustRightInd w:val="0"/>
              <w:rPr>
                <w:rFonts w:eastAsia="Calibri"/>
                <w:szCs w:val="22"/>
              </w:rPr>
            </w:pPr>
            <w:r>
              <w:t>Агранулоцитоза</w:t>
            </w:r>
          </w:p>
          <w:p w14:paraId="72C39BFE" w14:textId="77777777" w:rsidR="00C20721" w:rsidRPr="00991CED" w:rsidRDefault="00C20721" w:rsidP="00137770">
            <w:pPr>
              <w:autoSpaceDE w:val="0"/>
              <w:autoSpaceDN w:val="0"/>
              <w:adjustRightInd w:val="0"/>
              <w:rPr>
                <w:rFonts w:eastAsia="Calibri"/>
                <w:szCs w:val="22"/>
              </w:rPr>
            </w:pPr>
            <w:r>
              <w:t>Хемолитична анемия</w:t>
            </w:r>
          </w:p>
        </w:tc>
      </w:tr>
      <w:tr w:rsidR="00C20721" w:rsidRPr="00991CED" w14:paraId="0B8D89B3" w14:textId="77777777" w:rsidTr="007F5D4C">
        <w:tc>
          <w:tcPr>
            <w:tcW w:w="1733" w:type="dxa"/>
            <w:shd w:val="clear" w:color="auto" w:fill="auto"/>
          </w:tcPr>
          <w:p w14:paraId="148D7709" w14:textId="0DD131AD" w:rsidR="00C20721" w:rsidRPr="00991CED" w:rsidRDefault="00C20721" w:rsidP="00CE100D">
            <w:pPr>
              <w:autoSpaceDE w:val="0"/>
              <w:autoSpaceDN w:val="0"/>
              <w:adjustRightInd w:val="0"/>
              <w:rPr>
                <w:rFonts w:eastAsia="Calibri"/>
                <w:szCs w:val="22"/>
              </w:rPr>
            </w:pPr>
            <w:r>
              <w:t>Нарушения на имунната</w:t>
            </w:r>
            <w:r w:rsidR="00CE100D">
              <w:rPr>
                <w:lang w:val="hr-HR"/>
              </w:rPr>
              <w:t xml:space="preserve"> </w:t>
            </w:r>
            <w:r>
              <w:t>система</w:t>
            </w:r>
          </w:p>
        </w:tc>
        <w:tc>
          <w:tcPr>
            <w:tcW w:w="1738" w:type="dxa"/>
            <w:shd w:val="clear" w:color="auto" w:fill="auto"/>
          </w:tcPr>
          <w:p w14:paraId="121C54C9"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63ED658E" w14:textId="77777777" w:rsidR="00C20721" w:rsidRPr="00991CED" w:rsidRDefault="00C20721" w:rsidP="00137770">
            <w:pPr>
              <w:autoSpaceDE w:val="0"/>
              <w:autoSpaceDN w:val="0"/>
              <w:adjustRightInd w:val="0"/>
              <w:rPr>
                <w:rFonts w:eastAsia="Calibri"/>
                <w:szCs w:val="22"/>
                <w:lang w:val="en-US"/>
              </w:rPr>
            </w:pPr>
          </w:p>
        </w:tc>
        <w:tc>
          <w:tcPr>
            <w:tcW w:w="2066" w:type="dxa"/>
            <w:shd w:val="clear" w:color="auto" w:fill="auto"/>
          </w:tcPr>
          <w:p w14:paraId="255DDDD1" w14:textId="77777777" w:rsidR="00C20721" w:rsidRPr="00991CED" w:rsidRDefault="00C20721" w:rsidP="00137770">
            <w:pPr>
              <w:autoSpaceDE w:val="0"/>
              <w:autoSpaceDN w:val="0"/>
              <w:adjustRightInd w:val="0"/>
              <w:rPr>
                <w:rFonts w:eastAsia="Calibri"/>
                <w:szCs w:val="22"/>
              </w:rPr>
            </w:pPr>
            <w:r>
              <w:t>Ангиоедем</w:t>
            </w:r>
          </w:p>
          <w:p w14:paraId="1D135D9D" w14:textId="77777777" w:rsidR="00C20721" w:rsidRPr="00991CED" w:rsidRDefault="00C20721" w:rsidP="00137770">
            <w:pPr>
              <w:autoSpaceDE w:val="0"/>
              <w:autoSpaceDN w:val="0"/>
              <w:adjustRightInd w:val="0"/>
              <w:rPr>
                <w:rFonts w:eastAsia="Calibri"/>
                <w:szCs w:val="22"/>
              </w:rPr>
            </w:pPr>
            <w:r>
              <w:t>Свръхчувствителност</w:t>
            </w:r>
          </w:p>
          <w:p w14:paraId="0AFB1CD7" w14:textId="77777777" w:rsidR="00C20721" w:rsidRPr="00991CED" w:rsidRDefault="00C20721" w:rsidP="00137770">
            <w:pPr>
              <w:autoSpaceDE w:val="0"/>
              <w:autoSpaceDN w:val="0"/>
              <w:adjustRightInd w:val="0"/>
              <w:rPr>
                <w:rFonts w:eastAsia="Calibri"/>
                <w:szCs w:val="22"/>
              </w:rPr>
            </w:pPr>
            <w:r>
              <w:t>(вж. точка 4.4)</w:t>
            </w:r>
          </w:p>
        </w:tc>
        <w:tc>
          <w:tcPr>
            <w:tcW w:w="2064" w:type="dxa"/>
            <w:shd w:val="clear" w:color="auto" w:fill="auto"/>
          </w:tcPr>
          <w:p w14:paraId="5E8E1E8C" w14:textId="77777777" w:rsidR="00C20721" w:rsidRPr="00991CED" w:rsidRDefault="00C20721" w:rsidP="00137770">
            <w:pPr>
              <w:autoSpaceDE w:val="0"/>
              <w:autoSpaceDN w:val="0"/>
              <w:adjustRightInd w:val="0"/>
              <w:rPr>
                <w:rFonts w:eastAsia="Calibri"/>
                <w:szCs w:val="22"/>
              </w:rPr>
            </w:pPr>
            <w:r>
              <w:t>Анафилактичен шок</w:t>
            </w:r>
            <w:r>
              <w:rPr>
                <w:szCs w:val="22"/>
                <w:vertAlign w:val="superscript"/>
              </w:rPr>
              <w:t>а</w:t>
            </w:r>
          </w:p>
          <w:p w14:paraId="0D36D4C7" w14:textId="77777777" w:rsidR="00C20721" w:rsidRPr="00991CED" w:rsidRDefault="00C20721" w:rsidP="00137770">
            <w:pPr>
              <w:autoSpaceDE w:val="0"/>
              <w:autoSpaceDN w:val="0"/>
              <w:adjustRightInd w:val="0"/>
              <w:rPr>
                <w:rFonts w:eastAsia="Calibri"/>
                <w:szCs w:val="22"/>
              </w:rPr>
            </w:pPr>
            <w:r>
              <w:t>Анафилактоиден шок</w:t>
            </w:r>
            <w:r>
              <w:rPr>
                <w:szCs w:val="22"/>
                <w:vertAlign w:val="superscript"/>
              </w:rPr>
              <w:t>а</w:t>
            </w:r>
            <w:r>
              <w:t xml:space="preserve"> (вж. точка 4.4)</w:t>
            </w:r>
          </w:p>
        </w:tc>
      </w:tr>
      <w:tr w:rsidR="00C20721" w:rsidRPr="00991CED" w14:paraId="63CD95FB" w14:textId="77777777" w:rsidTr="007F5D4C">
        <w:tc>
          <w:tcPr>
            <w:tcW w:w="1733" w:type="dxa"/>
            <w:shd w:val="clear" w:color="auto" w:fill="auto"/>
          </w:tcPr>
          <w:p w14:paraId="69A5843E" w14:textId="7BAD22D4" w:rsidR="00C20721" w:rsidRPr="00991CED" w:rsidRDefault="00C20721" w:rsidP="00CE100D">
            <w:pPr>
              <w:autoSpaceDE w:val="0"/>
              <w:autoSpaceDN w:val="0"/>
              <w:adjustRightInd w:val="0"/>
              <w:rPr>
                <w:rFonts w:eastAsia="Calibri"/>
                <w:szCs w:val="22"/>
              </w:rPr>
            </w:pPr>
            <w:r>
              <w:t>Нарушения на</w:t>
            </w:r>
            <w:r w:rsidR="00CE100D">
              <w:rPr>
                <w:lang w:val="hr-HR"/>
              </w:rPr>
              <w:t xml:space="preserve"> </w:t>
            </w:r>
            <w:r>
              <w:t>метаболизма и</w:t>
            </w:r>
            <w:r w:rsidR="00CE100D">
              <w:rPr>
                <w:lang w:val="hr-HR"/>
              </w:rPr>
              <w:t xml:space="preserve"> </w:t>
            </w:r>
            <w:r>
              <w:t>храненето</w:t>
            </w:r>
          </w:p>
        </w:tc>
        <w:tc>
          <w:tcPr>
            <w:tcW w:w="1738" w:type="dxa"/>
            <w:shd w:val="clear" w:color="auto" w:fill="auto"/>
          </w:tcPr>
          <w:p w14:paraId="0DCF342A"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6110E97A" w14:textId="77777777" w:rsidR="00C20721" w:rsidRPr="00991CED" w:rsidRDefault="00C20721" w:rsidP="00137770">
            <w:pPr>
              <w:autoSpaceDE w:val="0"/>
              <w:autoSpaceDN w:val="0"/>
              <w:adjustRightInd w:val="0"/>
              <w:rPr>
                <w:rFonts w:eastAsia="Calibri"/>
                <w:szCs w:val="22"/>
              </w:rPr>
            </w:pPr>
            <w:r>
              <w:t>Анорексия</w:t>
            </w:r>
          </w:p>
        </w:tc>
        <w:tc>
          <w:tcPr>
            <w:tcW w:w="2066" w:type="dxa"/>
            <w:shd w:val="clear" w:color="auto" w:fill="auto"/>
          </w:tcPr>
          <w:p w14:paraId="5462C564" w14:textId="27D18E2A" w:rsidR="00C20721" w:rsidRPr="00991CED" w:rsidRDefault="00C20721" w:rsidP="00CE100D">
            <w:pPr>
              <w:autoSpaceDE w:val="0"/>
              <w:autoSpaceDN w:val="0"/>
              <w:adjustRightInd w:val="0"/>
              <w:rPr>
                <w:rFonts w:eastAsia="Calibri"/>
                <w:szCs w:val="22"/>
              </w:rPr>
            </w:pPr>
            <w:r>
              <w:t>Хипогликемия,</w:t>
            </w:r>
            <w:r w:rsidR="00CE100D">
              <w:rPr>
                <w:lang w:val="hr-HR"/>
              </w:rPr>
              <w:t xml:space="preserve"> </w:t>
            </w:r>
            <w:r>
              <w:t>особено при</w:t>
            </w:r>
            <w:r w:rsidR="00CE100D">
              <w:rPr>
                <w:lang w:val="hr-HR"/>
              </w:rPr>
              <w:t xml:space="preserve"> </w:t>
            </w:r>
            <w:r>
              <w:t>пациенти с диабет</w:t>
            </w:r>
            <w:r w:rsidR="00CE100D">
              <w:rPr>
                <w:lang w:val="hr-HR"/>
              </w:rPr>
              <w:t xml:space="preserve"> </w:t>
            </w:r>
            <w:r>
              <w:t>(вж. точка 4.4)</w:t>
            </w:r>
          </w:p>
        </w:tc>
        <w:tc>
          <w:tcPr>
            <w:tcW w:w="2064" w:type="dxa"/>
            <w:shd w:val="clear" w:color="auto" w:fill="auto"/>
          </w:tcPr>
          <w:p w14:paraId="6C3B72A1" w14:textId="77777777" w:rsidR="00C20721" w:rsidRPr="00991CED" w:rsidRDefault="00C20721" w:rsidP="00137770">
            <w:pPr>
              <w:autoSpaceDE w:val="0"/>
              <w:autoSpaceDN w:val="0"/>
              <w:adjustRightInd w:val="0"/>
              <w:rPr>
                <w:rFonts w:eastAsia="Calibri"/>
                <w:szCs w:val="22"/>
              </w:rPr>
            </w:pPr>
            <w:r>
              <w:t>Хипергликемия</w:t>
            </w:r>
          </w:p>
          <w:p w14:paraId="3FA97A82" w14:textId="77777777" w:rsidR="00C20721" w:rsidRPr="00991CED" w:rsidRDefault="00C20721" w:rsidP="00137770">
            <w:pPr>
              <w:autoSpaceDE w:val="0"/>
              <w:autoSpaceDN w:val="0"/>
              <w:adjustRightInd w:val="0"/>
              <w:rPr>
                <w:rFonts w:eastAsia="Calibri"/>
                <w:szCs w:val="22"/>
              </w:rPr>
            </w:pPr>
            <w:r>
              <w:t>Хипогликемична кома (вж. точка 4.4)</w:t>
            </w:r>
          </w:p>
        </w:tc>
      </w:tr>
      <w:tr w:rsidR="00CA64FC" w:rsidRPr="00991CED" w14:paraId="3C001CC5" w14:textId="77777777" w:rsidTr="007F5D4C">
        <w:tc>
          <w:tcPr>
            <w:tcW w:w="1733" w:type="dxa"/>
            <w:shd w:val="clear" w:color="auto" w:fill="auto"/>
          </w:tcPr>
          <w:p w14:paraId="60FFA655" w14:textId="77777777" w:rsidR="00CA64FC" w:rsidRPr="00991CED" w:rsidRDefault="00CA64FC" w:rsidP="00137770">
            <w:pPr>
              <w:autoSpaceDE w:val="0"/>
              <w:autoSpaceDN w:val="0"/>
              <w:adjustRightInd w:val="0"/>
              <w:rPr>
                <w:rFonts w:eastAsia="Calibri"/>
                <w:szCs w:val="22"/>
              </w:rPr>
            </w:pPr>
            <w:r>
              <w:t>Нарушения на ендокринната система</w:t>
            </w:r>
          </w:p>
        </w:tc>
        <w:tc>
          <w:tcPr>
            <w:tcW w:w="1738" w:type="dxa"/>
            <w:shd w:val="clear" w:color="auto" w:fill="auto"/>
          </w:tcPr>
          <w:p w14:paraId="4A9CF726" w14:textId="77777777" w:rsidR="00CA64FC" w:rsidRPr="00991CED" w:rsidRDefault="00CA64FC" w:rsidP="00137770">
            <w:pPr>
              <w:autoSpaceDE w:val="0"/>
              <w:autoSpaceDN w:val="0"/>
              <w:adjustRightInd w:val="0"/>
              <w:rPr>
                <w:rFonts w:eastAsia="Calibri"/>
                <w:szCs w:val="22"/>
                <w:lang w:val="en-US"/>
              </w:rPr>
            </w:pPr>
          </w:p>
        </w:tc>
        <w:tc>
          <w:tcPr>
            <w:tcW w:w="1744" w:type="dxa"/>
            <w:shd w:val="clear" w:color="auto" w:fill="auto"/>
          </w:tcPr>
          <w:p w14:paraId="02C258B5" w14:textId="77777777" w:rsidR="00CA64FC" w:rsidRPr="00991CED" w:rsidRDefault="00CA64FC" w:rsidP="00137770">
            <w:pPr>
              <w:autoSpaceDE w:val="0"/>
              <w:autoSpaceDN w:val="0"/>
              <w:adjustRightInd w:val="0"/>
              <w:rPr>
                <w:rFonts w:eastAsia="Calibri"/>
                <w:szCs w:val="22"/>
                <w:lang w:val="en-US"/>
              </w:rPr>
            </w:pPr>
          </w:p>
        </w:tc>
        <w:tc>
          <w:tcPr>
            <w:tcW w:w="2066" w:type="dxa"/>
            <w:shd w:val="clear" w:color="auto" w:fill="auto"/>
          </w:tcPr>
          <w:p w14:paraId="74D1BA71" w14:textId="64148577" w:rsidR="00CA64FC" w:rsidRPr="00CA64FC" w:rsidRDefault="00CA64FC" w:rsidP="00137770">
            <w:pPr>
              <w:autoSpaceDE w:val="0"/>
              <w:autoSpaceDN w:val="0"/>
              <w:adjustRightInd w:val="0"/>
              <w:rPr>
                <w:rFonts w:eastAsia="Calibri"/>
                <w:szCs w:val="22"/>
              </w:rPr>
            </w:pPr>
            <w:r>
              <w:t>Синдром на неадекватна секреция на антидиуретичен хормон (</w:t>
            </w:r>
            <w:r w:rsidR="00414A6D" w:rsidRPr="00CA64FC">
              <w:rPr>
                <w:rFonts w:eastAsia="Calibri"/>
                <w:bCs/>
                <w:szCs w:val="22"/>
                <w:lang w:val="en-US"/>
              </w:rPr>
              <w:t>SIADH</w:t>
            </w:r>
            <w:r>
              <w:t>)</w:t>
            </w:r>
          </w:p>
        </w:tc>
        <w:tc>
          <w:tcPr>
            <w:tcW w:w="2064" w:type="dxa"/>
            <w:shd w:val="clear" w:color="auto" w:fill="auto"/>
          </w:tcPr>
          <w:p w14:paraId="2CEA8514" w14:textId="77777777" w:rsidR="00CA64FC" w:rsidRPr="00991CED" w:rsidRDefault="00CA64FC" w:rsidP="00137770">
            <w:pPr>
              <w:autoSpaceDE w:val="0"/>
              <w:autoSpaceDN w:val="0"/>
              <w:adjustRightInd w:val="0"/>
              <w:rPr>
                <w:rFonts w:eastAsia="Calibri"/>
                <w:szCs w:val="22"/>
                <w:lang w:val="en-US"/>
              </w:rPr>
            </w:pPr>
          </w:p>
        </w:tc>
      </w:tr>
      <w:tr w:rsidR="00C20721" w:rsidRPr="00991CED" w14:paraId="57ABF4CD" w14:textId="77777777" w:rsidTr="007F5D4C">
        <w:tc>
          <w:tcPr>
            <w:tcW w:w="1733" w:type="dxa"/>
            <w:shd w:val="clear" w:color="auto" w:fill="auto"/>
          </w:tcPr>
          <w:p w14:paraId="553AEA89" w14:textId="317D3B4D" w:rsidR="00C20721" w:rsidRPr="00991CED" w:rsidRDefault="00C20721" w:rsidP="00CE100D">
            <w:pPr>
              <w:autoSpaceDE w:val="0"/>
              <w:autoSpaceDN w:val="0"/>
              <w:adjustRightInd w:val="0"/>
              <w:rPr>
                <w:rFonts w:eastAsia="Calibri"/>
                <w:szCs w:val="22"/>
              </w:rPr>
            </w:pPr>
            <w:r>
              <w:t>Психични</w:t>
            </w:r>
            <w:r w:rsidR="00CE100D">
              <w:rPr>
                <w:lang w:val="hr-HR"/>
              </w:rPr>
              <w:t xml:space="preserve"> </w:t>
            </w:r>
            <w:r w:rsidR="00906B69">
              <w:t>нарушения*</w:t>
            </w:r>
          </w:p>
        </w:tc>
        <w:tc>
          <w:tcPr>
            <w:tcW w:w="1738" w:type="dxa"/>
            <w:shd w:val="clear" w:color="auto" w:fill="auto"/>
          </w:tcPr>
          <w:p w14:paraId="5044621C" w14:textId="77777777" w:rsidR="00C20721" w:rsidRPr="00991CED" w:rsidRDefault="00C20721" w:rsidP="00137770">
            <w:pPr>
              <w:autoSpaceDE w:val="0"/>
              <w:autoSpaceDN w:val="0"/>
              <w:adjustRightInd w:val="0"/>
              <w:rPr>
                <w:rFonts w:eastAsia="Calibri"/>
                <w:szCs w:val="22"/>
              </w:rPr>
            </w:pPr>
            <w:r>
              <w:t>Безсъние</w:t>
            </w:r>
          </w:p>
        </w:tc>
        <w:tc>
          <w:tcPr>
            <w:tcW w:w="1744" w:type="dxa"/>
            <w:shd w:val="clear" w:color="auto" w:fill="auto"/>
          </w:tcPr>
          <w:p w14:paraId="6A74ABEE" w14:textId="77777777" w:rsidR="00C20721" w:rsidRPr="00991CED" w:rsidRDefault="00C20721" w:rsidP="00137770">
            <w:pPr>
              <w:autoSpaceDE w:val="0"/>
              <w:autoSpaceDN w:val="0"/>
              <w:adjustRightInd w:val="0"/>
              <w:rPr>
                <w:rFonts w:eastAsia="Calibri"/>
                <w:szCs w:val="22"/>
              </w:rPr>
            </w:pPr>
            <w:r>
              <w:t>Тревожност</w:t>
            </w:r>
          </w:p>
          <w:p w14:paraId="7CF2C997" w14:textId="65DBAFE6" w:rsidR="00C20721" w:rsidRPr="00991CED" w:rsidRDefault="00C20721" w:rsidP="00137770">
            <w:pPr>
              <w:autoSpaceDE w:val="0"/>
              <w:autoSpaceDN w:val="0"/>
              <w:adjustRightInd w:val="0"/>
              <w:rPr>
                <w:rFonts w:eastAsia="Calibri"/>
                <w:szCs w:val="22"/>
              </w:rPr>
            </w:pPr>
            <w:r>
              <w:t>Състояние на</w:t>
            </w:r>
            <w:r w:rsidR="00CE100D">
              <w:rPr>
                <w:lang w:val="hr-HR"/>
              </w:rPr>
              <w:t xml:space="preserve"> </w:t>
            </w:r>
            <w:r>
              <w:t>обърканост</w:t>
            </w:r>
          </w:p>
          <w:p w14:paraId="092C91AE" w14:textId="77777777" w:rsidR="00C20721" w:rsidRPr="00991CED" w:rsidRDefault="00C20721" w:rsidP="00137770">
            <w:pPr>
              <w:autoSpaceDE w:val="0"/>
              <w:autoSpaceDN w:val="0"/>
              <w:adjustRightInd w:val="0"/>
              <w:rPr>
                <w:rFonts w:eastAsia="Calibri"/>
                <w:szCs w:val="22"/>
              </w:rPr>
            </w:pPr>
            <w:r>
              <w:t>Нервност</w:t>
            </w:r>
          </w:p>
        </w:tc>
        <w:tc>
          <w:tcPr>
            <w:tcW w:w="2066" w:type="dxa"/>
            <w:shd w:val="clear" w:color="auto" w:fill="auto"/>
          </w:tcPr>
          <w:p w14:paraId="3E5F65C8" w14:textId="792D669E" w:rsidR="00C20721" w:rsidRPr="00991CED" w:rsidRDefault="00C20721" w:rsidP="00137770">
            <w:pPr>
              <w:autoSpaceDE w:val="0"/>
              <w:autoSpaceDN w:val="0"/>
              <w:adjustRightInd w:val="0"/>
              <w:rPr>
                <w:rFonts w:eastAsia="Calibri"/>
                <w:szCs w:val="22"/>
              </w:rPr>
            </w:pPr>
            <w:r>
              <w:t>Психотични</w:t>
            </w:r>
            <w:r w:rsidR="00CE100D">
              <w:rPr>
                <w:lang w:val="hr-HR"/>
              </w:rPr>
              <w:t xml:space="preserve"> </w:t>
            </w:r>
            <w:r>
              <w:t>реакции (напр. с</w:t>
            </w:r>
            <w:r w:rsidR="00CE100D">
              <w:rPr>
                <w:lang w:val="hr-HR"/>
              </w:rPr>
              <w:t xml:space="preserve"> </w:t>
            </w:r>
            <w:r>
              <w:t>халюцинации,</w:t>
            </w:r>
            <w:r w:rsidR="00CE100D">
              <w:rPr>
                <w:lang w:val="hr-HR"/>
              </w:rPr>
              <w:t xml:space="preserve"> </w:t>
            </w:r>
            <w:r>
              <w:t>параноя)</w:t>
            </w:r>
          </w:p>
          <w:p w14:paraId="6CD075B5" w14:textId="77777777" w:rsidR="00C20721" w:rsidRPr="00991CED" w:rsidRDefault="00C20721" w:rsidP="00137770">
            <w:pPr>
              <w:autoSpaceDE w:val="0"/>
              <w:autoSpaceDN w:val="0"/>
              <w:adjustRightInd w:val="0"/>
              <w:rPr>
                <w:rFonts w:eastAsia="Calibri"/>
                <w:szCs w:val="22"/>
              </w:rPr>
            </w:pPr>
            <w:r>
              <w:t>Депресия</w:t>
            </w:r>
          </w:p>
          <w:p w14:paraId="1440889C" w14:textId="77777777" w:rsidR="00C20721" w:rsidRPr="00991CED" w:rsidRDefault="00C20721" w:rsidP="00137770">
            <w:pPr>
              <w:autoSpaceDE w:val="0"/>
              <w:autoSpaceDN w:val="0"/>
              <w:adjustRightInd w:val="0"/>
              <w:rPr>
                <w:rFonts w:eastAsia="Calibri"/>
                <w:szCs w:val="22"/>
              </w:rPr>
            </w:pPr>
            <w:r>
              <w:t>Ажитация</w:t>
            </w:r>
          </w:p>
          <w:p w14:paraId="0AC572DC" w14:textId="71B851F1" w:rsidR="00C20721" w:rsidRPr="00991CED" w:rsidRDefault="00C20721" w:rsidP="00137770">
            <w:pPr>
              <w:autoSpaceDE w:val="0"/>
              <w:autoSpaceDN w:val="0"/>
              <w:adjustRightInd w:val="0"/>
              <w:rPr>
                <w:rFonts w:eastAsia="Calibri"/>
                <w:szCs w:val="22"/>
              </w:rPr>
            </w:pPr>
            <w:r>
              <w:lastRenderedPageBreak/>
              <w:t>Необичайни сънища</w:t>
            </w:r>
          </w:p>
          <w:p w14:paraId="6D9CD9AF" w14:textId="5301832B" w:rsidR="00C20721" w:rsidRDefault="00C20721" w:rsidP="00137770">
            <w:pPr>
              <w:autoSpaceDE w:val="0"/>
              <w:autoSpaceDN w:val="0"/>
              <w:adjustRightInd w:val="0"/>
            </w:pPr>
            <w:r>
              <w:t>Кошмари</w:t>
            </w:r>
          </w:p>
          <w:p w14:paraId="53D41F83" w14:textId="5AA3EFC0" w:rsidR="00846201" w:rsidRPr="000D1848" w:rsidRDefault="000D1848" w:rsidP="00137770">
            <w:pPr>
              <w:autoSpaceDE w:val="0"/>
              <w:autoSpaceDN w:val="0"/>
              <w:adjustRightInd w:val="0"/>
              <w:rPr>
                <w:rFonts w:eastAsia="Calibri"/>
                <w:szCs w:val="22"/>
              </w:rPr>
            </w:pPr>
            <w:r>
              <w:t>Делириум</w:t>
            </w:r>
          </w:p>
        </w:tc>
        <w:tc>
          <w:tcPr>
            <w:tcW w:w="2064" w:type="dxa"/>
            <w:shd w:val="clear" w:color="auto" w:fill="auto"/>
          </w:tcPr>
          <w:p w14:paraId="0BC9CA45" w14:textId="77777777" w:rsidR="00C20721" w:rsidRPr="00991CED" w:rsidRDefault="00C20721" w:rsidP="00137770">
            <w:pPr>
              <w:autoSpaceDE w:val="0"/>
              <w:autoSpaceDN w:val="0"/>
              <w:adjustRightInd w:val="0"/>
              <w:rPr>
                <w:rFonts w:eastAsia="Calibri"/>
                <w:szCs w:val="22"/>
              </w:rPr>
            </w:pPr>
            <w:r>
              <w:lastRenderedPageBreak/>
              <w:t>Психотични нарушения</w:t>
            </w:r>
          </w:p>
          <w:p w14:paraId="57617F33" w14:textId="77777777" w:rsidR="00C20721" w:rsidRPr="00991CED" w:rsidRDefault="00C20721" w:rsidP="00137770">
            <w:pPr>
              <w:autoSpaceDE w:val="0"/>
              <w:autoSpaceDN w:val="0"/>
              <w:adjustRightInd w:val="0"/>
              <w:rPr>
                <w:rFonts w:eastAsia="Calibri"/>
                <w:szCs w:val="22"/>
              </w:rPr>
            </w:pPr>
            <w:r>
              <w:t>със самозастрашаващо</w:t>
            </w:r>
          </w:p>
          <w:p w14:paraId="5259A1F7" w14:textId="77777777" w:rsidR="00C20721" w:rsidRPr="00991CED" w:rsidRDefault="00C20721" w:rsidP="00137770">
            <w:pPr>
              <w:autoSpaceDE w:val="0"/>
              <w:autoSpaceDN w:val="0"/>
              <w:adjustRightInd w:val="0"/>
              <w:rPr>
                <w:rFonts w:eastAsia="Calibri"/>
                <w:szCs w:val="22"/>
              </w:rPr>
            </w:pPr>
            <w:r>
              <w:t>поведение, включващи</w:t>
            </w:r>
          </w:p>
          <w:p w14:paraId="53A763C9" w14:textId="77777777" w:rsidR="00C20721" w:rsidRPr="00991CED" w:rsidRDefault="00C20721" w:rsidP="00137770">
            <w:pPr>
              <w:autoSpaceDE w:val="0"/>
              <w:autoSpaceDN w:val="0"/>
              <w:adjustRightInd w:val="0"/>
              <w:rPr>
                <w:rFonts w:eastAsia="Calibri"/>
                <w:szCs w:val="22"/>
              </w:rPr>
            </w:pPr>
            <w:r>
              <w:lastRenderedPageBreak/>
              <w:t>суицидна идеация или опит за самоубийство (вж. точка 4.4)</w:t>
            </w:r>
          </w:p>
        </w:tc>
      </w:tr>
      <w:tr w:rsidR="00C20721" w:rsidRPr="00991CED" w14:paraId="49EF3B90" w14:textId="77777777" w:rsidTr="007F5D4C">
        <w:tc>
          <w:tcPr>
            <w:tcW w:w="1733" w:type="dxa"/>
            <w:shd w:val="clear" w:color="auto" w:fill="auto"/>
          </w:tcPr>
          <w:p w14:paraId="4B349964" w14:textId="0071D1F7" w:rsidR="00C20721" w:rsidRPr="00991CED" w:rsidRDefault="00C20721" w:rsidP="00CE100D">
            <w:pPr>
              <w:autoSpaceDE w:val="0"/>
              <w:autoSpaceDN w:val="0"/>
              <w:adjustRightInd w:val="0"/>
              <w:rPr>
                <w:rFonts w:eastAsia="Calibri"/>
                <w:szCs w:val="22"/>
              </w:rPr>
            </w:pPr>
            <w:r>
              <w:lastRenderedPageBreak/>
              <w:t>Нарушения на нервната</w:t>
            </w:r>
            <w:r w:rsidR="00CE100D">
              <w:rPr>
                <w:lang w:val="hr-HR"/>
              </w:rPr>
              <w:t xml:space="preserve"> </w:t>
            </w:r>
            <w:r w:rsidR="00906B69">
              <w:t>нарушения*</w:t>
            </w:r>
          </w:p>
        </w:tc>
        <w:tc>
          <w:tcPr>
            <w:tcW w:w="1738" w:type="dxa"/>
            <w:shd w:val="clear" w:color="auto" w:fill="auto"/>
          </w:tcPr>
          <w:p w14:paraId="3BED785B" w14:textId="77777777" w:rsidR="00C20721" w:rsidRPr="00991CED" w:rsidRDefault="00C20721" w:rsidP="00137770">
            <w:pPr>
              <w:autoSpaceDE w:val="0"/>
              <w:autoSpaceDN w:val="0"/>
              <w:adjustRightInd w:val="0"/>
              <w:rPr>
                <w:rFonts w:eastAsia="Calibri"/>
                <w:szCs w:val="22"/>
              </w:rPr>
            </w:pPr>
            <w:r>
              <w:t>Главоболие</w:t>
            </w:r>
          </w:p>
          <w:p w14:paraId="202F0B89" w14:textId="77777777" w:rsidR="00C20721" w:rsidRPr="00991CED" w:rsidRDefault="00C20721" w:rsidP="00137770">
            <w:pPr>
              <w:autoSpaceDE w:val="0"/>
              <w:autoSpaceDN w:val="0"/>
              <w:adjustRightInd w:val="0"/>
              <w:rPr>
                <w:rFonts w:eastAsia="Calibri"/>
                <w:szCs w:val="22"/>
              </w:rPr>
            </w:pPr>
            <w:r>
              <w:t>Замаяност</w:t>
            </w:r>
          </w:p>
        </w:tc>
        <w:tc>
          <w:tcPr>
            <w:tcW w:w="1744" w:type="dxa"/>
            <w:shd w:val="clear" w:color="auto" w:fill="auto"/>
          </w:tcPr>
          <w:p w14:paraId="47DA3D64" w14:textId="77777777" w:rsidR="00C20721" w:rsidRPr="00991CED" w:rsidRDefault="00C20721" w:rsidP="00137770">
            <w:pPr>
              <w:autoSpaceDE w:val="0"/>
              <w:autoSpaceDN w:val="0"/>
              <w:adjustRightInd w:val="0"/>
              <w:rPr>
                <w:rFonts w:eastAsia="Calibri"/>
                <w:szCs w:val="22"/>
              </w:rPr>
            </w:pPr>
            <w:r>
              <w:t>Сомнолентност</w:t>
            </w:r>
          </w:p>
          <w:p w14:paraId="1A720F21" w14:textId="77777777" w:rsidR="00C20721" w:rsidRPr="00991CED" w:rsidRDefault="00C20721" w:rsidP="00137770">
            <w:pPr>
              <w:autoSpaceDE w:val="0"/>
              <w:autoSpaceDN w:val="0"/>
              <w:adjustRightInd w:val="0"/>
              <w:rPr>
                <w:rFonts w:eastAsia="Calibri"/>
                <w:szCs w:val="22"/>
              </w:rPr>
            </w:pPr>
            <w:r>
              <w:t>Треперене</w:t>
            </w:r>
          </w:p>
          <w:p w14:paraId="24BB2AC0" w14:textId="77777777" w:rsidR="00C20721" w:rsidRPr="00991CED" w:rsidRDefault="00C20721" w:rsidP="00137770">
            <w:pPr>
              <w:autoSpaceDE w:val="0"/>
              <w:autoSpaceDN w:val="0"/>
              <w:adjustRightInd w:val="0"/>
              <w:rPr>
                <w:rFonts w:eastAsia="Calibri"/>
                <w:szCs w:val="22"/>
              </w:rPr>
            </w:pPr>
            <w:r>
              <w:t>Дисгеузия</w:t>
            </w:r>
          </w:p>
        </w:tc>
        <w:tc>
          <w:tcPr>
            <w:tcW w:w="2066" w:type="dxa"/>
            <w:shd w:val="clear" w:color="auto" w:fill="auto"/>
          </w:tcPr>
          <w:p w14:paraId="1BC31F67" w14:textId="196CB329" w:rsidR="00C20721" w:rsidRPr="00991CED" w:rsidRDefault="00C20721" w:rsidP="00137770">
            <w:pPr>
              <w:autoSpaceDE w:val="0"/>
              <w:autoSpaceDN w:val="0"/>
              <w:adjustRightInd w:val="0"/>
              <w:rPr>
                <w:rFonts w:eastAsia="Calibri"/>
                <w:szCs w:val="22"/>
              </w:rPr>
            </w:pPr>
            <w:r>
              <w:t>Конвулсия (вж.</w:t>
            </w:r>
            <w:r w:rsidR="00CE100D">
              <w:rPr>
                <w:lang w:val="hr-HR"/>
              </w:rPr>
              <w:t xml:space="preserve"> </w:t>
            </w:r>
            <w:r>
              <w:t>точки 4.3 и</w:t>
            </w:r>
            <w:r w:rsidR="00CE100D">
              <w:rPr>
                <w:lang w:val="hr-HR"/>
              </w:rPr>
              <w:t xml:space="preserve"> </w:t>
            </w:r>
            <w:r>
              <w:t>4.4)</w:t>
            </w:r>
          </w:p>
          <w:p w14:paraId="27986EE3" w14:textId="45E78FB6" w:rsidR="00C20721" w:rsidRPr="00991CED" w:rsidRDefault="00C20721" w:rsidP="00137770">
            <w:pPr>
              <w:autoSpaceDE w:val="0"/>
              <w:autoSpaceDN w:val="0"/>
              <w:adjustRightInd w:val="0"/>
              <w:rPr>
                <w:rFonts w:eastAsia="Calibri"/>
                <w:szCs w:val="22"/>
              </w:rPr>
            </w:pPr>
            <w:r>
              <w:t>Парестезия</w:t>
            </w:r>
            <w:r w:rsidR="00E72659">
              <w:t xml:space="preserve">, </w:t>
            </w:r>
            <w:r w:rsidR="00E72659" w:rsidRPr="00E72659">
              <w:t>Нарушение на паметта</w:t>
            </w:r>
          </w:p>
        </w:tc>
        <w:tc>
          <w:tcPr>
            <w:tcW w:w="2064" w:type="dxa"/>
            <w:shd w:val="clear" w:color="auto" w:fill="auto"/>
          </w:tcPr>
          <w:p w14:paraId="1F93418E" w14:textId="2ADBEF3E" w:rsidR="00C20721" w:rsidRPr="00991CED" w:rsidRDefault="00C20721" w:rsidP="00137770">
            <w:pPr>
              <w:autoSpaceDE w:val="0"/>
              <w:autoSpaceDN w:val="0"/>
              <w:adjustRightInd w:val="0"/>
              <w:rPr>
                <w:rFonts w:eastAsia="Calibri"/>
                <w:szCs w:val="22"/>
              </w:rPr>
            </w:pPr>
            <w:r>
              <w:t>Периферна сензорна</w:t>
            </w:r>
            <w:r w:rsidR="00CE100D">
              <w:rPr>
                <w:lang w:val="hr-HR"/>
              </w:rPr>
              <w:t xml:space="preserve"> </w:t>
            </w:r>
            <w:r>
              <w:t>невропатия (вж. точка 4.4)</w:t>
            </w:r>
          </w:p>
          <w:p w14:paraId="6F46B967" w14:textId="77777777" w:rsidR="00C20721" w:rsidRPr="00991CED" w:rsidRDefault="00C20721" w:rsidP="00137770">
            <w:pPr>
              <w:autoSpaceDE w:val="0"/>
              <w:autoSpaceDN w:val="0"/>
              <w:adjustRightInd w:val="0"/>
              <w:rPr>
                <w:rFonts w:eastAsia="Calibri"/>
                <w:szCs w:val="22"/>
              </w:rPr>
            </w:pPr>
            <w:r>
              <w:t>Периферна сензорна</w:t>
            </w:r>
          </w:p>
          <w:p w14:paraId="074395F0" w14:textId="77777777" w:rsidR="00C20721" w:rsidRPr="00991CED" w:rsidRDefault="00C20721" w:rsidP="00137770">
            <w:pPr>
              <w:autoSpaceDE w:val="0"/>
              <w:autoSpaceDN w:val="0"/>
              <w:adjustRightInd w:val="0"/>
              <w:rPr>
                <w:rFonts w:eastAsia="Calibri"/>
                <w:szCs w:val="22"/>
              </w:rPr>
            </w:pPr>
            <w:r>
              <w:t>моторна невропатия (вж. точка 4.4)</w:t>
            </w:r>
          </w:p>
          <w:p w14:paraId="7A34FE03" w14:textId="0FA72EAB" w:rsidR="00C20721" w:rsidRPr="00991CED" w:rsidRDefault="00C20721" w:rsidP="00137770">
            <w:pPr>
              <w:autoSpaceDE w:val="0"/>
              <w:autoSpaceDN w:val="0"/>
              <w:adjustRightInd w:val="0"/>
              <w:rPr>
                <w:rFonts w:eastAsia="Calibri"/>
                <w:szCs w:val="22"/>
              </w:rPr>
            </w:pPr>
            <w:r>
              <w:t>Паросмия, включително</w:t>
            </w:r>
            <w:r w:rsidR="00CE100D">
              <w:rPr>
                <w:lang w:val="hr-HR"/>
              </w:rPr>
              <w:t xml:space="preserve"> </w:t>
            </w:r>
            <w:r>
              <w:t>аносмия</w:t>
            </w:r>
          </w:p>
          <w:p w14:paraId="5E01ACDA" w14:textId="77777777" w:rsidR="00C20721" w:rsidRPr="00991CED" w:rsidRDefault="00C20721" w:rsidP="00137770">
            <w:pPr>
              <w:autoSpaceDE w:val="0"/>
              <w:autoSpaceDN w:val="0"/>
              <w:adjustRightInd w:val="0"/>
              <w:rPr>
                <w:rFonts w:eastAsia="Calibri"/>
                <w:szCs w:val="22"/>
              </w:rPr>
            </w:pPr>
            <w:r>
              <w:t>Дискинезия</w:t>
            </w:r>
          </w:p>
          <w:p w14:paraId="1F4A9DC9" w14:textId="543D2023" w:rsidR="00C20721" w:rsidRPr="00991CED" w:rsidRDefault="00C20721" w:rsidP="00137770">
            <w:pPr>
              <w:autoSpaceDE w:val="0"/>
              <w:autoSpaceDN w:val="0"/>
              <w:adjustRightInd w:val="0"/>
              <w:rPr>
                <w:rFonts w:eastAsia="Calibri"/>
                <w:szCs w:val="22"/>
              </w:rPr>
            </w:pPr>
            <w:r>
              <w:t>Екстрапирамидно</w:t>
            </w:r>
            <w:r w:rsidR="00CE100D">
              <w:rPr>
                <w:lang w:val="hr-HR"/>
              </w:rPr>
              <w:t xml:space="preserve"> </w:t>
            </w:r>
            <w:r>
              <w:t>нарушение</w:t>
            </w:r>
          </w:p>
          <w:p w14:paraId="0C93DA4D" w14:textId="77777777" w:rsidR="00C20721" w:rsidRPr="00991CED" w:rsidRDefault="00C20721" w:rsidP="00137770">
            <w:pPr>
              <w:autoSpaceDE w:val="0"/>
              <w:autoSpaceDN w:val="0"/>
              <w:adjustRightInd w:val="0"/>
              <w:rPr>
                <w:rFonts w:eastAsia="Calibri"/>
                <w:szCs w:val="22"/>
              </w:rPr>
            </w:pPr>
            <w:r>
              <w:t>Агеузия</w:t>
            </w:r>
          </w:p>
          <w:p w14:paraId="1F2A7662" w14:textId="77777777" w:rsidR="00C20721" w:rsidRPr="00991CED" w:rsidRDefault="00C20721" w:rsidP="00137770">
            <w:pPr>
              <w:autoSpaceDE w:val="0"/>
              <w:autoSpaceDN w:val="0"/>
              <w:adjustRightInd w:val="0"/>
              <w:rPr>
                <w:rFonts w:eastAsia="Calibri"/>
                <w:szCs w:val="22"/>
              </w:rPr>
            </w:pPr>
            <w:r>
              <w:t>Синкоп</w:t>
            </w:r>
          </w:p>
          <w:p w14:paraId="60AC380D" w14:textId="47A5D644" w:rsidR="00C20721" w:rsidRPr="00991CED" w:rsidRDefault="00C20721" w:rsidP="00CE100D">
            <w:pPr>
              <w:autoSpaceDE w:val="0"/>
              <w:autoSpaceDN w:val="0"/>
              <w:adjustRightInd w:val="0"/>
              <w:rPr>
                <w:rFonts w:eastAsia="Calibri"/>
                <w:szCs w:val="22"/>
              </w:rPr>
            </w:pPr>
            <w:r>
              <w:t>Доброкачествена вътречерепна</w:t>
            </w:r>
            <w:r w:rsidR="00CE100D">
              <w:rPr>
                <w:lang w:val="hr-HR"/>
              </w:rPr>
              <w:t xml:space="preserve"> </w:t>
            </w:r>
            <w:r>
              <w:t>хипертония</w:t>
            </w:r>
          </w:p>
        </w:tc>
      </w:tr>
      <w:tr w:rsidR="00C20721" w:rsidRPr="00991CED" w14:paraId="00D911F0" w14:textId="77777777" w:rsidTr="007F5D4C">
        <w:tc>
          <w:tcPr>
            <w:tcW w:w="1733" w:type="dxa"/>
            <w:shd w:val="clear" w:color="auto" w:fill="auto"/>
          </w:tcPr>
          <w:p w14:paraId="79CCF247" w14:textId="77777777" w:rsidR="00C20721" w:rsidRPr="00991CED" w:rsidRDefault="00C20721" w:rsidP="00137770">
            <w:pPr>
              <w:autoSpaceDE w:val="0"/>
              <w:autoSpaceDN w:val="0"/>
              <w:adjustRightInd w:val="0"/>
              <w:rPr>
                <w:rFonts w:eastAsia="Calibri"/>
                <w:szCs w:val="22"/>
              </w:rPr>
            </w:pPr>
            <w:r>
              <w:t>Нарушения на очите*</w:t>
            </w:r>
          </w:p>
        </w:tc>
        <w:tc>
          <w:tcPr>
            <w:tcW w:w="1738" w:type="dxa"/>
            <w:shd w:val="clear" w:color="auto" w:fill="auto"/>
          </w:tcPr>
          <w:p w14:paraId="46778E5F"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739DA0A9" w14:textId="77777777" w:rsidR="00C20721" w:rsidRPr="00991CED" w:rsidRDefault="00C20721" w:rsidP="00137770">
            <w:pPr>
              <w:autoSpaceDE w:val="0"/>
              <w:autoSpaceDN w:val="0"/>
              <w:adjustRightInd w:val="0"/>
              <w:rPr>
                <w:rFonts w:eastAsia="Calibri"/>
                <w:szCs w:val="22"/>
                <w:lang w:val="en-US"/>
              </w:rPr>
            </w:pPr>
          </w:p>
        </w:tc>
        <w:tc>
          <w:tcPr>
            <w:tcW w:w="2066" w:type="dxa"/>
            <w:shd w:val="clear" w:color="auto" w:fill="auto"/>
          </w:tcPr>
          <w:p w14:paraId="6F2FDBE4" w14:textId="181EC97E" w:rsidR="00C20721" w:rsidRPr="00991CED" w:rsidRDefault="00C20721" w:rsidP="00CE100D">
            <w:pPr>
              <w:autoSpaceDE w:val="0"/>
              <w:autoSpaceDN w:val="0"/>
              <w:adjustRightInd w:val="0"/>
              <w:rPr>
                <w:rFonts w:eastAsia="Calibri"/>
                <w:szCs w:val="22"/>
              </w:rPr>
            </w:pPr>
            <w:r>
              <w:t>Зрителни</w:t>
            </w:r>
            <w:r w:rsidR="00CE100D">
              <w:rPr>
                <w:lang w:val="hr-HR"/>
              </w:rPr>
              <w:t xml:space="preserve"> </w:t>
            </w:r>
            <w:r>
              <w:t>смущения като</w:t>
            </w:r>
            <w:r w:rsidR="00CE100D">
              <w:rPr>
                <w:lang w:val="hr-HR"/>
              </w:rPr>
              <w:t xml:space="preserve"> </w:t>
            </w:r>
            <w:r>
              <w:t>замъглено зрение</w:t>
            </w:r>
            <w:r w:rsidR="00CE100D">
              <w:rPr>
                <w:lang w:val="hr-HR"/>
              </w:rPr>
              <w:t xml:space="preserve"> </w:t>
            </w:r>
            <w:r>
              <w:t>(вж. точка 4.4)</w:t>
            </w:r>
          </w:p>
        </w:tc>
        <w:tc>
          <w:tcPr>
            <w:tcW w:w="2064" w:type="dxa"/>
            <w:shd w:val="clear" w:color="auto" w:fill="auto"/>
          </w:tcPr>
          <w:p w14:paraId="1A13B37A" w14:textId="77777777" w:rsidR="00C20721" w:rsidRPr="00991CED" w:rsidRDefault="00C20721" w:rsidP="00137770">
            <w:pPr>
              <w:autoSpaceDE w:val="0"/>
              <w:autoSpaceDN w:val="0"/>
              <w:adjustRightInd w:val="0"/>
              <w:rPr>
                <w:rFonts w:eastAsia="Calibri"/>
                <w:szCs w:val="22"/>
              </w:rPr>
            </w:pPr>
            <w:r>
              <w:t>Преходна загуба на зрение (вж. точка 4.4), увеит</w:t>
            </w:r>
          </w:p>
        </w:tc>
      </w:tr>
      <w:tr w:rsidR="00C20721" w:rsidRPr="00991CED" w14:paraId="663C145A" w14:textId="77777777" w:rsidTr="007F5D4C">
        <w:tc>
          <w:tcPr>
            <w:tcW w:w="1733" w:type="dxa"/>
            <w:shd w:val="clear" w:color="auto" w:fill="auto"/>
          </w:tcPr>
          <w:p w14:paraId="5CF4FE0B" w14:textId="12AF4B3E" w:rsidR="00C20721" w:rsidRPr="00991CED" w:rsidRDefault="00C20721" w:rsidP="00CE100D">
            <w:pPr>
              <w:autoSpaceDE w:val="0"/>
              <w:autoSpaceDN w:val="0"/>
              <w:adjustRightInd w:val="0"/>
              <w:rPr>
                <w:rFonts w:eastAsia="Calibri"/>
                <w:szCs w:val="22"/>
              </w:rPr>
            </w:pPr>
            <w:r>
              <w:t>Нарушения на</w:t>
            </w:r>
            <w:r w:rsidR="00CE100D">
              <w:rPr>
                <w:lang w:val="hr-HR"/>
              </w:rPr>
              <w:t xml:space="preserve"> </w:t>
            </w:r>
            <w:r>
              <w:t>ухото и</w:t>
            </w:r>
            <w:r w:rsidR="00CE100D">
              <w:rPr>
                <w:lang w:val="hr-HR"/>
              </w:rPr>
              <w:t xml:space="preserve"> </w:t>
            </w:r>
            <w:r w:rsidR="00906B69">
              <w:t>лабиринта*</w:t>
            </w:r>
          </w:p>
        </w:tc>
        <w:tc>
          <w:tcPr>
            <w:tcW w:w="1738" w:type="dxa"/>
            <w:shd w:val="clear" w:color="auto" w:fill="auto"/>
          </w:tcPr>
          <w:p w14:paraId="3DC2D7E5"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76E1353E" w14:textId="77777777" w:rsidR="00C20721" w:rsidRPr="00991CED" w:rsidRDefault="00C20721" w:rsidP="00137770">
            <w:pPr>
              <w:autoSpaceDE w:val="0"/>
              <w:autoSpaceDN w:val="0"/>
              <w:adjustRightInd w:val="0"/>
              <w:rPr>
                <w:rFonts w:eastAsia="Calibri"/>
                <w:szCs w:val="22"/>
              </w:rPr>
            </w:pPr>
            <w:r>
              <w:t>Вертиго</w:t>
            </w:r>
          </w:p>
        </w:tc>
        <w:tc>
          <w:tcPr>
            <w:tcW w:w="2066" w:type="dxa"/>
            <w:shd w:val="clear" w:color="auto" w:fill="auto"/>
          </w:tcPr>
          <w:p w14:paraId="38C48F8C" w14:textId="77777777" w:rsidR="00C20721" w:rsidRPr="00991CED" w:rsidRDefault="00C20721" w:rsidP="00137770">
            <w:pPr>
              <w:autoSpaceDE w:val="0"/>
              <w:autoSpaceDN w:val="0"/>
              <w:adjustRightInd w:val="0"/>
              <w:rPr>
                <w:rFonts w:eastAsia="Calibri"/>
                <w:szCs w:val="22"/>
              </w:rPr>
            </w:pPr>
            <w:r>
              <w:t>Тинитус</w:t>
            </w:r>
          </w:p>
        </w:tc>
        <w:tc>
          <w:tcPr>
            <w:tcW w:w="2064" w:type="dxa"/>
            <w:shd w:val="clear" w:color="auto" w:fill="auto"/>
          </w:tcPr>
          <w:p w14:paraId="67C3C9CB" w14:textId="77777777" w:rsidR="00C20721" w:rsidRPr="00991CED" w:rsidRDefault="00C20721" w:rsidP="00137770">
            <w:pPr>
              <w:autoSpaceDE w:val="0"/>
              <w:autoSpaceDN w:val="0"/>
              <w:adjustRightInd w:val="0"/>
              <w:rPr>
                <w:rFonts w:eastAsia="Calibri"/>
                <w:szCs w:val="22"/>
              </w:rPr>
            </w:pPr>
            <w:r>
              <w:t>Загуба на слуха</w:t>
            </w:r>
          </w:p>
          <w:p w14:paraId="5D216C14" w14:textId="77777777" w:rsidR="00C20721" w:rsidRPr="00991CED" w:rsidRDefault="00C20721" w:rsidP="00137770">
            <w:pPr>
              <w:autoSpaceDE w:val="0"/>
              <w:autoSpaceDN w:val="0"/>
              <w:adjustRightInd w:val="0"/>
              <w:rPr>
                <w:rFonts w:eastAsia="Calibri"/>
                <w:szCs w:val="22"/>
              </w:rPr>
            </w:pPr>
            <w:r>
              <w:t>Нарушен слух</w:t>
            </w:r>
          </w:p>
        </w:tc>
      </w:tr>
      <w:tr w:rsidR="00C20721" w:rsidRPr="00991CED" w14:paraId="5EFDC448" w14:textId="77777777" w:rsidTr="007F5D4C">
        <w:tc>
          <w:tcPr>
            <w:tcW w:w="1733" w:type="dxa"/>
            <w:shd w:val="clear" w:color="auto" w:fill="auto"/>
          </w:tcPr>
          <w:p w14:paraId="6DFAEB2A" w14:textId="5C44E9DB" w:rsidR="00C20721" w:rsidRPr="00991CED" w:rsidRDefault="00C20721" w:rsidP="00CE100D">
            <w:pPr>
              <w:autoSpaceDE w:val="0"/>
              <w:autoSpaceDN w:val="0"/>
              <w:adjustRightInd w:val="0"/>
              <w:rPr>
                <w:rFonts w:eastAsia="Calibri"/>
                <w:szCs w:val="22"/>
              </w:rPr>
            </w:pPr>
            <w:r>
              <w:t>Сърдечни</w:t>
            </w:r>
            <w:r w:rsidR="00CE100D">
              <w:rPr>
                <w:lang w:val="hr-HR"/>
              </w:rPr>
              <w:t xml:space="preserve"> </w:t>
            </w:r>
            <w:r>
              <w:t>система</w:t>
            </w:r>
            <w:r w:rsidR="006A0E4A">
              <w:t>**</w:t>
            </w:r>
          </w:p>
        </w:tc>
        <w:tc>
          <w:tcPr>
            <w:tcW w:w="1738" w:type="dxa"/>
            <w:shd w:val="clear" w:color="auto" w:fill="auto"/>
          </w:tcPr>
          <w:p w14:paraId="4E1C9B19"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3A76FD34" w14:textId="77777777" w:rsidR="00C20721" w:rsidRPr="00991CED" w:rsidRDefault="00C20721" w:rsidP="00137770">
            <w:pPr>
              <w:autoSpaceDE w:val="0"/>
              <w:autoSpaceDN w:val="0"/>
              <w:adjustRightInd w:val="0"/>
              <w:rPr>
                <w:rFonts w:eastAsia="Calibri"/>
                <w:szCs w:val="22"/>
                <w:lang w:val="en-US"/>
              </w:rPr>
            </w:pPr>
          </w:p>
        </w:tc>
        <w:tc>
          <w:tcPr>
            <w:tcW w:w="2066" w:type="dxa"/>
            <w:shd w:val="clear" w:color="auto" w:fill="auto"/>
          </w:tcPr>
          <w:p w14:paraId="01DC75AF" w14:textId="77777777" w:rsidR="00C20721" w:rsidRPr="00991CED" w:rsidRDefault="00C20721" w:rsidP="00137770">
            <w:pPr>
              <w:autoSpaceDE w:val="0"/>
              <w:autoSpaceDN w:val="0"/>
              <w:adjustRightInd w:val="0"/>
              <w:rPr>
                <w:rFonts w:eastAsia="Calibri"/>
                <w:szCs w:val="22"/>
              </w:rPr>
            </w:pPr>
            <w:r>
              <w:t>Тахикардия</w:t>
            </w:r>
          </w:p>
          <w:p w14:paraId="019B5A20" w14:textId="77777777" w:rsidR="00C20721" w:rsidRPr="00991CED" w:rsidRDefault="00C20721" w:rsidP="00137770">
            <w:pPr>
              <w:autoSpaceDE w:val="0"/>
              <w:autoSpaceDN w:val="0"/>
              <w:adjustRightInd w:val="0"/>
              <w:rPr>
                <w:rFonts w:eastAsia="Calibri"/>
                <w:szCs w:val="22"/>
              </w:rPr>
            </w:pPr>
            <w:r>
              <w:t>Палпитации</w:t>
            </w:r>
          </w:p>
        </w:tc>
        <w:tc>
          <w:tcPr>
            <w:tcW w:w="2064" w:type="dxa"/>
            <w:shd w:val="clear" w:color="auto" w:fill="auto"/>
          </w:tcPr>
          <w:p w14:paraId="20A69E2A" w14:textId="38E745E4" w:rsidR="00C20721" w:rsidRPr="00991CED" w:rsidRDefault="00C20721" w:rsidP="00137770">
            <w:pPr>
              <w:autoSpaceDE w:val="0"/>
              <w:autoSpaceDN w:val="0"/>
              <w:adjustRightInd w:val="0"/>
              <w:rPr>
                <w:rFonts w:eastAsia="Calibri"/>
                <w:szCs w:val="22"/>
              </w:rPr>
            </w:pPr>
            <w:r>
              <w:t>Вентрикуларна тахикардия,</w:t>
            </w:r>
            <w:r w:rsidR="00CE100D">
              <w:rPr>
                <w:lang w:val="hr-HR"/>
              </w:rPr>
              <w:t xml:space="preserve"> </w:t>
            </w:r>
            <w:r>
              <w:t>която може да доведе до сърдечен арест</w:t>
            </w:r>
          </w:p>
          <w:p w14:paraId="562E6561" w14:textId="072CE279" w:rsidR="00C20721" w:rsidRPr="00991CED" w:rsidRDefault="00C20721" w:rsidP="00137770">
            <w:pPr>
              <w:autoSpaceDE w:val="0"/>
              <w:autoSpaceDN w:val="0"/>
              <w:adjustRightInd w:val="0"/>
              <w:rPr>
                <w:rFonts w:eastAsia="Calibri"/>
                <w:szCs w:val="22"/>
              </w:rPr>
            </w:pPr>
            <w:r>
              <w:t>Вентрикуларна аритмия</w:t>
            </w:r>
            <w:r w:rsidR="00CE100D">
              <w:rPr>
                <w:lang w:val="hr-HR"/>
              </w:rPr>
              <w:t xml:space="preserve"> </w:t>
            </w:r>
            <w:r>
              <w:t>и torsade de pointes</w:t>
            </w:r>
            <w:r w:rsidR="00CE100D">
              <w:rPr>
                <w:lang w:val="hr-HR"/>
              </w:rPr>
              <w:t xml:space="preserve"> </w:t>
            </w:r>
            <w:r>
              <w:t>(съобщавани</w:t>
            </w:r>
            <w:r w:rsidR="00CE100D">
              <w:rPr>
                <w:lang w:val="hr-HR"/>
              </w:rPr>
              <w:t xml:space="preserve"> </w:t>
            </w:r>
            <w:r>
              <w:t>предимно при</w:t>
            </w:r>
            <w:r w:rsidR="00CE100D">
              <w:rPr>
                <w:lang w:val="hr-HR"/>
              </w:rPr>
              <w:t xml:space="preserve"> </w:t>
            </w:r>
            <w:r>
              <w:t>пациенти с рискови</w:t>
            </w:r>
            <w:r w:rsidR="00CE100D">
              <w:rPr>
                <w:lang w:val="hr-HR"/>
              </w:rPr>
              <w:t xml:space="preserve"> </w:t>
            </w:r>
            <w:r>
              <w:t>фактори за удължаване на</w:t>
            </w:r>
            <w:r w:rsidR="00CE100D">
              <w:rPr>
                <w:lang w:val="hr-HR"/>
              </w:rPr>
              <w:t xml:space="preserve"> </w:t>
            </w:r>
            <w:r>
              <w:t>QT-интервала)</w:t>
            </w:r>
          </w:p>
          <w:p w14:paraId="4AEF7239" w14:textId="699962EE" w:rsidR="00C20721" w:rsidRPr="00991CED" w:rsidRDefault="00C20721" w:rsidP="00CE100D">
            <w:pPr>
              <w:autoSpaceDE w:val="0"/>
              <w:autoSpaceDN w:val="0"/>
              <w:adjustRightInd w:val="0"/>
              <w:rPr>
                <w:rFonts w:eastAsia="Calibri"/>
                <w:szCs w:val="22"/>
              </w:rPr>
            </w:pPr>
            <w:r>
              <w:lastRenderedPageBreak/>
              <w:t>Удължен QT-интервал при електрокардиограма (вж. точки</w:t>
            </w:r>
            <w:r w:rsidR="00CE100D">
              <w:rPr>
                <w:lang w:val="hr-HR"/>
              </w:rPr>
              <w:t xml:space="preserve"> </w:t>
            </w:r>
            <w:r>
              <w:t>4.4 и 4.9)</w:t>
            </w:r>
          </w:p>
        </w:tc>
      </w:tr>
      <w:tr w:rsidR="00C20721" w:rsidRPr="00991CED" w14:paraId="0A5F322F" w14:textId="77777777" w:rsidTr="007F5D4C">
        <w:tc>
          <w:tcPr>
            <w:tcW w:w="1733" w:type="dxa"/>
            <w:shd w:val="clear" w:color="auto" w:fill="auto"/>
          </w:tcPr>
          <w:p w14:paraId="1F5E69C7" w14:textId="3F94A62B" w:rsidR="00C20721" w:rsidRPr="00991CED" w:rsidRDefault="00C20721" w:rsidP="00CE100D">
            <w:pPr>
              <w:autoSpaceDE w:val="0"/>
              <w:autoSpaceDN w:val="0"/>
              <w:adjustRightInd w:val="0"/>
              <w:rPr>
                <w:rFonts w:eastAsia="Calibri"/>
                <w:szCs w:val="22"/>
              </w:rPr>
            </w:pPr>
            <w:r>
              <w:lastRenderedPageBreak/>
              <w:t>Съдови</w:t>
            </w:r>
            <w:r w:rsidR="00CE100D">
              <w:rPr>
                <w:lang w:val="hr-HR"/>
              </w:rPr>
              <w:t xml:space="preserve"> </w:t>
            </w:r>
            <w:r>
              <w:t>система</w:t>
            </w:r>
            <w:r w:rsidR="006A0E4A">
              <w:t>**</w:t>
            </w:r>
          </w:p>
        </w:tc>
        <w:tc>
          <w:tcPr>
            <w:tcW w:w="1738" w:type="dxa"/>
            <w:shd w:val="clear" w:color="auto" w:fill="auto"/>
          </w:tcPr>
          <w:p w14:paraId="77110170" w14:textId="5CD0AF0C" w:rsidR="00C20721" w:rsidRPr="00991CED" w:rsidRDefault="00C20721" w:rsidP="00137770">
            <w:pPr>
              <w:autoSpaceDE w:val="0"/>
              <w:autoSpaceDN w:val="0"/>
              <w:adjustRightInd w:val="0"/>
              <w:rPr>
                <w:rFonts w:eastAsia="Calibri"/>
                <w:i/>
                <w:iCs/>
                <w:szCs w:val="22"/>
                <w:u w:val="single"/>
              </w:rPr>
            </w:pPr>
            <w:r>
              <w:rPr>
                <w:i/>
                <w:iCs/>
                <w:szCs w:val="22"/>
                <w:u w:val="single"/>
              </w:rPr>
              <w:t>Отнася се само за интравенозната</w:t>
            </w:r>
            <w:r w:rsidR="00CE100D">
              <w:rPr>
                <w:i/>
                <w:iCs/>
                <w:szCs w:val="22"/>
                <w:u w:val="single"/>
                <w:lang w:val="hr-HR"/>
              </w:rPr>
              <w:t xml:space="preserve"> </w:t>
            </w:r>
            <w:r>
              <w:rPr>
                <w:i/>
                <w:iCs/>
                <w:szCs w:val="22"/>
                <w:u w:val="single"/>
              </w:rPr>
              <w:t>лекарствена форма:</w:t>
            </w:r>
          </w:p>
          <w:p w14:paraId="62712E6E" w14:textId="77777777" w:rsidR="00C20721" w:rsidRPr="00991CED" w:rsidRDefault="00C20721" w:rsidP="00137770">
            <w:pPr>
              <w:autoSpaceDE w:val="0"/>
              <w:autoSpaceDN w:val="0"/>
              <w:adjustRightInd w:val="0"/>
              <w:rPr>
                <w:rFonts w:eastAsia="Calibri"/>
                <w:szCs w:val="22"/>
              </w:rPr>
            </w:pPr>
            <w:r>
              <w:t>Флебит</w:t>
            </w:r>
          </w:p>
        </w:tc>
        <w:tc>
          <w:tcPr>
            <w:tcW w:w="1744" w:type="dxa"/>
            <w:shd w:val="clear" w:color="auto" w:fill="auto"/>
          </w:tcPr>
          <w:p w14:paraId="2B0F1ED5" w14:textId="77777777" w:rsidR="00C20721" w:rsidRPr="00991CED" w:rsidRDefault="00C20721" w:rsidP="00137770">
            <w:pPr>
              <w:autoSpaceDE w:val="0"/>
              <w:autoSpaceDN w:val="0"/>
              <w:adjustRightInd w:val="0"/>
              <w:rPr>
                <w:rFonts w:eastAsia="Calibri"/>
                <w:szCs w:val="22"/>
                <w:lang w:val="en-US"/>
              </w:rPr>
            </w:pPr>
          </w:p>
        </w:tc>
        <w:tc>
          <w:tcPr>
            <w:tcW w:w="2066" w:type="dxa"/>
            <w:shd w:val="clear" w:color="auto" w:fill="auto"/>
          </w:tcPr>
          <w:p w14:paraId="7E1EA84B" w14:textId="77777777" w:rsidR="00C20721" w:rsidRPr="00991CED" w:rsidRDefault="00C20721" w:rsidP="00137770">
            <w:pPr>
              <w:autoSpaceDE w:val="0"/>
              <w:autoSpaceDN w:val="0"/>
              <w:adjustRightInd w:val="0"/>
              <w:rPr>
                <w:rFonts w:eastAsia="Calibri"/>
                <w:szCs w:val="22"/>
              </w:rPr>
            </w:pPr>
            <w:r>
              <w:t>Хипотония</w:t>
            </w:r>
          </w:p>
        </w:tc>
        <w:tc>
          <w:tcPr>
            <w:tcW w:w="2064" w:type="dxa"/>
            <w:shd w:val="clear" w:color="auto" w:fill="auto"/>
          </w:tcPr>
          <w:p w14:paraId="792B3A0E" w14:textId="77777777" w:rsidR="00C20721" w:rsidRPr="00991CED" w:rsidRDefault="00C20721" w:rsidP="00137770">
            <w:pPr>
              <w:autoSpaceDE w:val="0"/>
              <w:autoSpaceDN w:val="0"/>
              <w:adjustRightInd w:val="0"/>
              <w:rPr>
                <w:rFonts w:eastAsia="Calibri"/>
                <w:szCs w:val="22"/>
              </w:rPr>
            </w:pPr>
          </w:p>
        </w:tc>
      </w:tr>
      <w:tr w:rsidR="00C20721" w:rsidRPr="00991CED" w14:paraId="1844B6A0" w14:textId="77777777" w:rsidTr="007F5D4C">
        <w:tc>
          <w:tcPr>
            <w:tcW w:w="1733" w:type="dxa"/>
            <w:shd w:val="clear" w:color="auto" w:fill="auto"/>
          </w:tcPr>
          <w:p w14:paraId="0114FBBC" w14:textId="77777777" w:rsidR="00C20721" w:rsidRPr="00991CED" w:rsidRDefault="00C20721" w:rsidP="00137770">
            <w:pPr>
              <w:autoSpaceDE w:val="0"/>
              <w:autoSpaceDN w:val="0"/>
              <w:adjustRightInd w:val="0"/>
              <w:rPr>
                <w:rFonts w:eastAsia="Calibri"/>
                <w:szCs w:val="22"/>
              </w:rPr>
            </w:pPr>
            <w:r>
              <w:t>Респираторни,</w:t>
            </w:r>
          </w:p>
          <w:p w14:paraId="1D0A19CA" w14:textId="77777777" w:rsidR="00C20721" w:rsidRPr="00991CED" w:rsidRDefault="00C20721" w:rsidP="00137770">
            <w:pPr>
              <w:autoSpaceDE w:val="0"/>
              <w:autoSpaceDN w:val="0"/>
              <w:adjustRightInd w:val="0"/>
              <w:rPr>
                <w:rFonts w:eastAsia="Calibri"/>
                <w:szCs w:val="22"/>
              </w:rPr>
            </w:pPr>
            <w:r>
              <w:t>гръдни и</w:t>
            </w:r>
          </w:p>
          <w:p w14:paraId="278C2098" w14:textId="77777777" w:rsidR="00C20721" w:rsidRPr="00991CED" w:rsidRDefault="00C20721" w:rsidP="00137770">
            <w:pPr>
              <w:autoSpaceDE w:val="0"/>
              <w:autoSpaceDN w:val="0"/>
              <w:adjustRightInd w:val="0"/>
              <w:rPr>
                <w:rFonts w:eastAsia="Calibri"/>
                <w:szCs w:val="22"/>
              </w:rPr>
            </w:pPr>
            <w:r>
              <w:t>медиастинални</w:t>
            </w:r>
          </w:p>
          <w:p w14:paraId="45CB2DC4" w14:textId="77777777" w:rsidR="00C20721" w:rsidRPr="00991CED" w:rsidRDefault="00C20721" w:rsidP="00137770">
            <w:pPr>
              <w:autoSpaceDE w:val="0"/>
              <w:autoSpaceDN w:val="0"/>
              <w:adjustRightInd w:val="0"/>
              <w:rPr>
                <w:rFonts w:eastAsia="Calibri"/>
                <w:szCs w:val="22"/>
              </w:rPr>
            </w:pPr>
            <w:r>
              <w:t>система</w:t>
            </w:r>
          </w:p>
        </w:tc>
        <w:tc>
          <w:tcPr>
            <w:tcW w:w="1738" w:type="dxa"/>
            <w:shd w:val="clear" w:color="auto" w:fill="auto"/>
          </w:tcPr>
          <w:p w14:paraId="1EA77F6D"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1AD031D8" w14:textId="77777777" w:rsidR="00C20721" w:rsidRPr="00991CED" w:rsidRDefault="00C20721" w:rsidP="00137770">
            <w:pPr>
              <w:autoSpaceDE w:val="0"/>
              <w:autoSpaceDN w:val="0"/>
              <w:adjustRightInd w:val="0"/>
              <w:rPr>
                <w:rFonts w:eastAsia="Calibri"/>
                <w:szCs w:val="22"/>
              </w:rPr>
            </w:pPr>
            <w:r>
              <w:t>Диспнея</w:t>
            </w:r>
          </w:p>
        </w:tc>
        <w:tc>
          <w:tcPr>
            <w:tcW w:w="2066" w:type="dxa"/>
            <w:shd w:val="clear" w:color="auto" w:fill="auto"/>
          </w:tcPr>
          <w:p w14:paraId="4014FC9E" w14:textId="77777777" w:rsidR="00C20721" w:rsidRPr="00991CED" w:rsidRDefault="00C20721" w:rsidP="00137770">
            <w:pPr>
              <w:autoSpaceDE w:val="0"/>
              <w:autoSpaceDN w:val="0"/>
              <w:adjustRightInd w:val="0"/>
              <w:rPr>
                <w:rFonts w:eastAsia="Calibri"/>
                <w:szCs w:val="22"/>
                <w:lang w:val="en-US"/>
              </w:rPr>
            </w:pPr>
          </w:p>
        </w:tc>
        <w:tc>
          <w:tcPr>
            <w:tcW w:w="2064" w:type="dxa"/>
            <w:shd w:val="clear" w:color="auto" w:fill="auto"/>
          </w:tcPr>
          <w:p w14:paraId="002C0861" w14:textId="77777777" w:rsidR="00C20721" w:rsidRPr="00991CED" w:rsidRDefault="00C20721" w:rsidP="00137770">
            <w:pPr>
              <w:autoSpaceDE w:val="0"/>
              <w:autoSpaceDN w:val="0"/>
              <w:adjustRightInd w:val="0"/>
              <w:rPr>
                <w:rFonts w:eastAsia="Calibri"/>
                <w:szCs w:val="22"/>
              </w:rPr>
            </w:pPr>
            <w:r>
              <w:t>Бронхоспазъм</w:t>
            </w:r>
          </w:p>
          <w:p w14:paraId="344A0F96" w14:textId="77777777" w:rsidR="00C20721" w:rsidRPr="00991CED" w:rsidRDefault="00C20721" w:rsidP="00137770">
            <w:pPr>
              <w:autoSpaceDE w:val="0"/>
              <w:autoSpaceDN w:val="0"/>
              <w:adjustRightInd w:val="0"/>
              <w:rPr>
                <w:rFonts w:eastAsia="Calibri"/>
                <w:szCs w:val="22"/>
              </w:rPr>
            </w:pPr>
            <w:r>
              <w:t>Алергичен пневмонит</w:t>
            </w:r>
          </w:p>
        </w:tc>
      </w:tr>
      <w:tr w:rsidR="00C20721" w:rsidRPr="00991CED" w14:paraId="2B64B438" w14:textId="77777777" w:rsidTr="007F5D4C">
        <w:tc>
          <w:tcPr>
            <w:tcW w:w="1733" w:type="dxa"/>
            <w:shd w:val="clear" w:color="auto" w:fill="auto"/>
          </w:tcPr>
          <w:p w14:paraId="7F3B7929" w14:textId="04913596" w:rsidR="00C20721" w:rsidRPr="00991CED" w:rsidRDefault="00C20721" w:rsidP="00CE100D">
            <w:pPr>
              <w:autoSpaceDE w:val="0"/>
              <w:autoSpaceDN w:val="0"/>
              <w:adjustRightInd w:val="0"/>
              <w:rPr>
                <w:rFonts w:eastAsia="Calibri"/>
                <w:szCs w:val="22"/>
              </w:rPr>
            </w:pPr>
            <w:r>
              <w:t>Стомашно-чревни</w:t>
            </w:r>
            <w:r w:rsidR="00CE100D">
              <w:rPr>
                <w:lang w:val="hr-HR"/>
              </w:rPr>
              <w:t xml:space="preserve"> </w:t>
            </w:r>
            <w:r>
              <w:t>храненето</w:t>
            </w:r>
          </w:p>
        </w:tc>
        <w:tc>
          <w:tcPr>
            <w:tcW w:w="1738" w:type="dxa"/>
            <w:shd w:val="clear" w:color="auto" w:fill="auto"/>
          </w:tcPr>
          <w:p w14:paraId="27A4160D" w14:textId="77777777" w:rsidR="00C20721" w:rsidRPr="00991CED" w:rsidRDefault="00C20721" w:rsidP="00137770">
            <w:pPr>
              <w:autoSpaceDE w:val="0"/>
              <w:autoSpaceDN w:val="0"/>
              <w:adjustRightInd w:val="0"/>
              <w:rPr>
                <w:rFonts w:eastAsia="Calibri"/>
                <w:szCs w:val="22"/>
              </w:rPr>
            </w:pPr>
            <w:r>
              <w:t>Диария</w:t>
            </w:r>
          </w:p>
          <w:p w14:paraId="5CEEC9D0" w14:textId="77777777" w:rsidR="00C20721" w:rsidRPr="00991CED" w:rsidRDefault="00C20721" w:rsidP="00137770">
            <w:pPr>
              <w:autoSpaceDE w:val="0"/>
              <w:autoSpaceDN w:val="0"/>
              <w:adjustRightInd w:val="0"/>
              <w:rPr>
                <w:rFonts w:eastAsia="Calibri"/>
                <w:szCs w:val="22"/>
              </w:rPr>
            </w:pPr>
            <w:r>
              <w:t>Повръщане</w:t>
            </w:r>
          </w:p>
          <w:p w14:paraId="4FC10947" w14:textId="77777777" w:rsidR="00C20721" w:rsidRPr="00991CED" w:rsidRDefault="00C20721" w:rsidP="00137770">
            <w:pPr>
              <w:autoSpaceDE w:val="0"/>
              <w:autoSpaceDN w:val="0"/>
              <w:adjustRightInd w:val="0"/>
              <w:rPr>
                <w:rFonts w:eastAsia="Calibri"/>
                <w:szCs w:val="22"/>
              </w:rPr>
            </w:pPr>
            <w:r>
              <w:t>Гадене</w:t>
            </w:r>
          </w:p>
        </w:tc>
        <w:tc>
          <w:tcPr>
            <w:tcW w:w="1744" w:type="dxa"/>
            <w:shd w:val="clear" w:color="auto" w:fill="auto"/>
          </w:tcPr>
          <w:p w14:paraId="48CC8E62" w14:textId="22CB9504" w:rsidR="00C20721" w:rsidRPr="00991CED" w:rsidRDefault="00C20721" w:rsidP="00137770">
            <w:pPr>
              <w:autoSpaceDE w:val="0"/>
              <w:autoSpaceDN w:val="0"/>
              <w:adjustRightInd w:val="0"/>
              <w:rPr>
                <w:rFonts w:eastAsia="Calibri"/>
                <w:szCs w:val="22"/>
              </w:rPr>
            </w:pPr>
            <w:r>
              <w:t>Коремна</w:t>
            </w:r>
            <w:r w:rsidR="00CE100D">
              <w:rPr>
                <w:lang w:val="hr-HR"/>
              </w:rPr>
              <w:t xml:space="preserve"> </w:t>
            </w:r>
            <w:r>
              <w:t>болка</w:t>
            </w:r>
          </w:p>
          <w:p w14:paraId="6A7F3491" w14:textId="77777777" w:rsidR="00C20721" w:rsidRPr="00991CED" w:rsidRDefault="00C20721" w:rsidP="00137770">
            <w:pPr>
              <w:autoSpaceDE w:val="0"/>
              <w:autoSpaceDN w:val="0"/>
              <w:adjustRightInd w:val="0"/>
              <w:rPr>
                <w:rFonts w:eastAsia="Calibri"/>
                <w:szCs w:val="22"/>
              </w:rPr>
            </w:pPr>
            <w:r>
              <w:t>Диспепсия</w:t>
            </w:r>
          </w:p>
          <w:p w14:paraId="2D109F41" w14:textId="77777777" w:rsidR="00C20721" w:rsidRPr="00991CED" w:rsidRDefault="00C20721" w:rsidP="00137770">
            <w:pPr>
              <w:autoSpaceDE w:val="0"/>
              <w:autoSpaceDN w:val="0"/>
              <w:adjustRightInd w:val="0"/>
              <w:rPr>
                <w:rFonts w:eastAsia="Calibri"/>
                <w:szCs w:val="22"/>
              </w:rPr>
            </w:pPr>
            <w:r>
              <w:t>Флатуленция</w:t>
            </w:r>
          </w:p>
          <w:p w14:paraId="71BA4EC3" w14:textId="77777777" w:rsidR="00C20721" w:rsidRPr="00991CED" w:rsidRDefault="00C20721" w:rsidP="00137770">
            <w:pPr>
              <w:autoSpaceDE w:val="0"/>
              <w:autoSpaceDN w:val="0"/>
              <w:adjustRightInd w:val="0"/>
              <w:rPr>
                <w:rFonts w:eastAsia="Calibri"/>
                <w:szCs w:val="22"/>
              </w:rPr>
            </w:pPr>
            <w:r>
              <w:t>Запек</w:t>
            </w:r>
          </w:p>
        </w:tc>
        <w:tc>
          <w:tcPr>
            <w:tcW w:w="2066" w:type="dxa"/>
            <w:shd w:val="clear" w:color="auto" w:fill="auto"/>
          </w:tcPr>
          <w:p w14:paraId="136C79FE" w14:textId="77777777" w:rsidR="00C20721" w:rsidRPr="00991CED" w:rsidRDefault="00C20721" w:rsidP="00137770">
            <w:pPr>
              <w:autoSpaceDE w:val="0"/>
              <w:autoSpaceDN w:val="0"/>
              <w:adjustRightInd w:val="0"/>
              <w:rPr>
                <w:rFonts w:eastAsia="Calibri"/>
                <w:szCs w:val="22"/>
                <w:lang w:val="en-US"/>
              </w:rPr>
            </w:pPr>
          </w:p>
        </w:tc>
        <w:tc>
          <w:tcPr>
            <w:tcW w:w="2064" w:type="dxa"/>
            <w:shd w:val="clear" w:color="auto" w:fill="auto"/>
          </w:tcPr>
          <w:p w14:paraId="586EBD65" w14:textId="29789DBA" w:rsidR="00C20721" w:rsidRPr="00991CED" w:rsidRDefault="00C20721" w:rsidP="00CE100D">
            <w:pPr>
              <w:autoSpaceDE w:val="0"/>
              <w:autoSpaceDN w:val="0"/>
              <w:adjustRightInd w:val="0"/>
              <w:rPr>
                <w:rFonts w:eastAsia="Calibri"/>
                <w:szCs w:val="22"/>
              </w:rPr>
            </w:pPr>
            <w:r>
              <w:t>Диария –</w:t>
            </w:r>
            <w:r w:rsidR="00CE100D">
              <w:rPr>
                <w:lang w:val="hr-HR"/>
              </w:rPr>
              <w:t xml:space="preserve"> </w:t>
            </w:r>
            <w:r w:rsidR="004B5A07">
              <w:t>хеморагична, която в много редки случаи може да бъде показателна за ентероколит, включително</w:t>
            </w:r>
            <w:r w:rsidR="00CE100D">
              <w:rPr>
                <w:lang w:val="hr-HR"/>
              </w:rPr>
              <w:t xml:space="preserve"> </w:t>
            </w:r>
            <w:r>
              <w:t>псевдомембранозен</w:t>
            </w:r>
            <w:r w:rsidR="00CE100D">
              <w:rPr>
                <w:lang w:val="hr-HR"/>
              </w:rPr>
              <w:t xml:space="preserve"> </w:t>
            </w:r>
            <w:r>
              <w:t>колит (вж. точка 4.4) Панкреатит</w:t>
            </w:r>
          </w:p>
        </w:tc>
      </w:tr>
      <w:tr w:rsidR="00C20721" w:rsidRPr="00991CED" w14:paraId="42DAEB58" w14:textId="77777777" w:rsidTr="007F5D4C">
        <w:tc>
          <w:tcPr>
            <w:tcW w:w="1733" w:type="dxa"/>
            <w:shd w:val="clear" w:color="auto" w:fill="auto"/>
          </w:tcPr>
          <w:p w14:paraId="4C70FF3A" w14:textId="3E260AEE" w:rsidR="00C20721" w:rsidRPr="00991CED" w:rsidRDefault="00C20721" w:rsidP="00CE100D">
            <w:pPr>
              <w:autoSpaceDE w:val="0"/>
              <w:autoSpaceDN w:val="0"/>
              <w:adjustRightInd w:val="0"/>
              <w:rPr>
                <w:rFonts w:eastAsia="Calibri"/>
                <w:szCs w:val="22"/>
              </w:rPr>
            </w:pPr>
            <w:r>
              <w:t>Хепатобилиарни</w:t>
            </w:r>
            <w:r w:rsidR="00CE100D">
              <w:rPr>
                <w:lang w:val="hr-HR"/>
              </w:rPr>
              <w:t xml:space="preserve"> </w:t>
            </w:r>
            <w:r>
              <w:t>система</w:t>
            </w:r>
          </w:p>
        </w:tc>
        <w:tc>
          <w:tcPr>
            <w:tcW w:w="1738" w:type="dxa"/>
            <w:shd w:val="clear" w:color="auto" w:fill="auto"/>
          </w:tcPr>
          <w:p w14:paraId="25FC1F00" w14:textId="77777777" w:rsidR="00C20721" w:rsidRPr="00991CED" w:rsidRDefault="00C20721" w:rsidP="00137770">
            <w:pPr>
              <w:autoSpaceDE w:val="0"/>
              <w:autoSpaceDN w:val="0"/>
              <w:adjustRightInd w:val="0"/>
              <w:rPr>
                <w:rFonts w:eastAsia="Calibri"/>
                <w:szCs w:val="22"/>
              </w:rPr>
            </w:pPr>
            <w:r>
              <w:t>Повишени чернодробни</w:t>
            </w:r>
          </w:p>
          <w:p w14:paraId="4AB0D0CD" w14:textId="4ABE0287" w:rsidR="00C20721" w:rsidRPr="00991CED" w:rsidRDefault="00C20721" w:rsidP="00CE100D">
            <w:pPr>
              <w:autoSpaceDE w:val="0"/>
              <w:autoSpaceDN w:val="0"/>
              <w:adjustRightInd w:val="0"/>
              <w:rPr>
                <w:rFonts w:eastAsia="Calibri"/>
                <w:szCs w:val="22"/>
              </w:rPr>
            </w:pPr>
            <w:r>
              <w:t>ензими (ALT/AST,</w:t>
            </w:r>
            <w:r w:rsidR="00CE100D">
              <w:rPr>
                <w:lang w:val="hr-HR"/>
              </w:rPr>
              <w:t xml:space="preserve"> </w:t>
            </w:r>
            <w:r>
              <w:t>алкална фосфатаза,</w:t>
            </w:r>
            <w:r w:rsidR="00CE100D">
              <w:rPr>
                <w:lang w:val="hr-HR"/>
              </w:rPr>
              <w:t xml:space="preserve"> </w:t>
            </w:r>
            <w:r>
              <w:t>GGT)</w:t>
            </w:r>
          </w:p>
        </w:tc>
        <w:tc>
          <w:tcPr>
            <w:tcW w:w="1744" w:type="dxa"/>
            <w:shd w:val="clear" w:color="auto" w:fill="auto"/>
          </w:tcPr>
          <w:p w14:paraId="0DF2DF28" w14:textId="5BE64F90" w:rsidR="00C20721" w:rsidRPr="00991CED" w:rsidRDefault="00C20721" w:rsidP="00CE100D">
            <w:pPr>
              <w:autoSpaceDE w:val="0"/>
              <w:autoSpaceDN w:val="0"/>
              <w:adjustRightInd w:val="0"/>
              <w:rPr>
                <w:rFonts w:eastAsia="Calibri"/>
                <w:szCs w:val="22"/>
              </w:rPr>
            </w:pPr>
            <w:r>
              <w:t>Повишен</w:t>
            </w:r>
            <w:r w:rsidR="00CE100D">
              <w:rPr>
                <w:lang w:val="hr-HR"/>
              </w:rPr>
              <w:t xml:space="preserve"> </w:t>
            </w:r>
            <w:r>
              <w:t>билирубин</w:t>
            </w:r>
            <w:r w:rsidR="00CE100D">
              <w:rPr>
                <w:lang w:val="hr-HR"/>
              </w:rPr>
              <w:t xml:space="preserve"> </w:t>
            </w:r>
            <w:r>
              <w:t>в кръвта</w:t>
            </w:r>
          </w:p>
        </w:tc>
        <w:tc>
          <w:tcPr>
            <w:tcW w:w="2066" w:type="dxa"/>
            <w:shd w:val="clear" w:color="auto" w:fill="auto"/>
          </w:tcPr>
          <w:p w14:paraId="3967BD06" w14:textId="77777777" w:rsidR="00C20721" w:rsidRPr="00991CED" w:rsidRDefault="00C20721" w:rsidP="00137770">
            <w:pPr>
              <w:autoSpaceDE w:val="0"/>
              <w:autoSpaceDN w:val="0"/>
              <w:adjustRightInd w:val="0"/>
              <w:rPr>
                <w:rFonts w:eastAsia="Calibri"/>
                <w:szCs w:val="22"/>
                <w:lang w:val="en-US"/>
              </w:rPr>
            </w:pPr>
          </w:p>
        </w:tc>
        <w:tc>
          <w:tcPr>
            <w:tcW w:w="2064" w:type="dxa"/>
            <w:shd w:val="clear" w:color="auto" w:fill="auto"/>
          </w:tcPr>
          <w:p w14:paraId="7765F6D8" w14:textId="1A744624" w:rsidR="00C20721" w:rsidRPr="00991CED" w:rsidRDefault="00C20721" w:rsidP="00137770">
            <w:pPr>
              <w:autoSpaceDE w:val="0"/>
              <w:autoSpaceDN w:val="0"/>
              <w:adjustRightInd w:val="0"/>
              <w:rPr>
                <w:rFonts w:eastAsia="Calibri"/>
                <w:szCs w:val="22"/>
              </w:rPr>
            </w:pPr>
            <w:r>
              <w:t>Жълтеница и тежко</w:t>
            </w:r>
            <w:r w:rsidR="00CE100D">
              <w:rPr>
                <w:lang w:val="hr-HR"/>
              </w:rPr>
              <w:t xml:space="preserve"> </w:t>
            </w:r>
            <w:r>
              <w:t>чернодробно увреждане, включително случаи на фатална остра</w:t>
            </w:r>
            <w:r w:rsidR="00CE100D">
              <w:rPr>
                <w:lang w:val="hr-HR"/>
              </w:rPr>
              <w:t xml:space="preserve"> </w:t>
            </w:r>
            <w:r>
              <w:t>чернодробна недостатъчност, предимно при пациенти с тежки</w:t>
            </w:r>
            <w:r w:rsidR="00CE100D">
              <w:rPr>
                <w:lang w:val="hr-HR"/>
              </w:rPr>
              <w:t xml:space="preserve"> </w:t>
            </w:r>
            <w:r>
              <w:t>основни заболявания</w:t>
            </w:r>
            <w:r w:rsidR="00CE100D">
              <w:rPr>
                <w:lang w:val="hr-HR"/>
              </w:rPr>
              <w:t xml:space="preserve"> </w:t>
            </w:r>
            <w:r>
              <w:t>(вж. точка 4.4)</w:t>
            </w:r>
          </w:p>
          <w:p w14:paraId="1DBBA5F8" w14:textId="77777777" w:rsidR="00C20721" w:rsidRPr="00991CED" w:rsidRDefault="00C20721" w:rsidP="00137770">
            <w:pPr>
              <w:autoSpaceDE w:val="0"/>
              <w:autoSpaceDN w:val="0"/>
              <w:adjustRightInd w:val="0"/>
              <w:rPr>
                <w:rFonts w:eastAsia="Calibri"/>
                <w:szCs w:val="22"/>
              </w:rPr>
            </w:pPr>
            <w:r>
              <w:t>Хепатит</w:t>
            </w:r>
          </w:p>
        </w:tc>
      </w:tr>
      <w:tr w:rsidR="00C20721" w:rsidRPr="00991CED" w14:paraId="18BBE5B0" w14:textId="77777777" w:rsidTr="007F5D4C">
        <w:tc>
          <w:tcPr>
            <w:tcW w:w="1733" w:type="dxa"/>
            <w:shd w:val="clear" w:color="auto" w:fill="auto"/>
          </w:tcPr>
          <w:p w14:paraId="22A3A251" w14:textId="437B9FA8" w:rsidR="00C20721" w:rsidRPr="00991CED" w:rsidRDefault="00C20721" w:rsidP="00CE100D">
            <w:pPr>
              <w:autoSpaceDE w:val="0"/>
              <w:autoSpaceDN w:val="0"/>
              <w:adjustRightInd w:val="0"/>
              <w:rPr>
                <w:rFonts w:eastAsia="Calibri"/>
                <w:szCs w:val="22"/>
              </w:rPr>
            </w:pPr>
            <w:r>
              <w:t>Нарушения на кожата и</w:t>
            </w:r>
            <w:r w:rsidR="00CE100D">
              <w:rPr>
                <w:lang w:val="hr-HR"/>
              </w:rPr>
              <w:t xml:space="preserve"> </w:t>
            </w:r>
            <w:r>
              <w:t>подкожната</w:t>
            </w:r>
            <w:r w:rsidR="00CE100D">
              <w:rPr>
                <w:lang w:val="hr-HR"/>
              </w:rPr>
              <w:t xml:space="preserve"> </w:t>
            </w:r>
            <w:r>
              <w:t>тъкан</w:t>
            </w:r>
            <w:r>
              <w:rPr>
                <w:szCs w:val="22"/>
                <w:vertAlign w:val="superscript"/>
              </w:rPr>
              <w:t>б</w:t>
            </w:r>
          </w:p>
        </w:tc>
        <w:tc>
          <w:tcPr>
            <w:tcW w:w="1738" w:type="dxa"/>
            <w:shd w:val="clear" w:color="auto" w:fill="auto"/>
          </w:tcPr>
          <w:p w14:paraId="7A96BF96"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0440C63F" w14:textId="77777777" w:rsidR="00C20721" w:rsidRPr="00991CED" w:rsidRDefault="00E20011" w:rsidP="00137770">
            <w:pPr>
              <w:autoSpaceDE w:val="0"/>
              <w:autoSpaceDN w:val="0"/>
              <w:adjustRightInd w:val="0"/>
              <w:rPr>
                <w:rFonts w:eastAsia="Calibri"/>
                <w:szCs w:val="22"/>
              </w:rPr>
            </w:pPr>
            <w:r>
              <w:t>Екзантема Пруритус</w:t>
            </w:r>
          </w:p>
          <w:p w14:paraId="44020FF7" w14:textId="77777777" w:rsidR="00C20721" w:rsidRPr="00991CED" w:rsidRDefault="00C20721" w:rsidP="00137770">
            <w:pPr>
              <w:autoSpaceDE w:val="0"/>
              <w:autoSpaceDN w:val="0"/>
              <w:adjustRightInd w:val="0"/>
              <w:rPr>
                <w:rFonts w:eastAsia="Calibri"/>
                <w:szCs w:val="22"/>
              </w:rPr>
            </w:pPr>
            <w:r>
              <w:t>Уртикария</w:t>
            </w:r>
          </w:p>
          <w:p w14:paraId="1E2B4F99" w14:textId="77777777" w:rsidR="00C20721" w:rsidRPr="00991CED" w:rsidRDefault="00C20721" w:rsidP="00137770">
            <w:pPr>
              <w:autoSpaceDE w:val="0"/>
              <w:autoSpaceDN w:val="0"/>
              <w:adjustRightInd w:val="0"/>
              <w:rPr>
                <w:rFonts w:eastAsia="Calibri"/>
                <w:szCs w:val="22"/>
              </w:rPr>
            </w:pPr>
            <w:r>
              <w:t>Хиперхидроза</w:t>
            </w:r>
          </w:p>
        </w:tc>
        <w:tc>
          <w:tcPr>
            <w:tcW w:w="2066" w:type="dxa"/>
            <w:shd w:val="clear" w:color="auto" w:fill="auto"/>
          </w:tcPr>
          <w:p w14:paraId="7E996463" w14:textId="77777777" w:rsidR="00C20721" w:rsidRPr="00CA64FC" w:rsidRDefault="00CA64FC" w:rsidP="00137770">
            <w:pPr>
              <w:autoSpaceDE w:val="0"/>
              <w:autoSpaceDN w:val="0"/>
              <w:adjustRightInd w:val="0"/>
              <w:rPr>
                <w:rFonts w:eastAsia="Calibri"/>
                <w:szCs w:val="22"/>
              </w:rPr>
            </w:pPr>
            <w:r>
              <w:t xml:space="preserve">Лекарствени реакции с еозинофилия и системни симптоми (DRESS) </w:t>
            </w:r>
            <w:r>
              <w:lastRenderedPageBreak/>
              <w:t>(вж. точка 4.4), фиксирана лекарствена ерупция</w:t>
            </w:r>
          </w:p>
        </w:tc>
        <w:tc>
          <w:tcPr>
            <w:tcW w:w="2064" w:type="dxa"/>
            <w:shd w:val="clear" w:color="auto" w:fill="auto"/>
          </w:tcPr>
          <w:p w14:paraId="596DCBD1" w14:textId="7D1ECFA6" w:rsidR="00C20721" w:rsidRPr="00991CED" w:rsidRDefault="00C20721" w:rsidP="00137770">
            <w:pPr>
              <w:autoSpaceDE w:val="0"/>
              <w:autoSpaceDN w:val="0"/>
              <w:adjustRightInd w:val="0"/>
              <w:rPr>
                <w:rFonts w:eastAsia="Calibri"/>
                <w:szCs w:val="22"/>
              </w:rPr>
            </w:pPr>
            <w:r>
              <w:lastRenderedPageBreak/>
              <w:t>Токсична епидермална</w:t>
            </w:r>
            <w:r w:rsidR="00CE100D">
              <w:rPr>
                <w:lang w:val="hr-HR"/>
              </w:rPr>
              <w:t xml:space="preserve"> </w:t>
            </w:r>
            <w:r>
              <w:t>некролиза</w:t>
            </w:r>
          </w:p>
          <w:p w14:paraId="42AB5E63" w14:textId="01D04EE1" w:rsidR="00C20721" w:rsidRPr="00991CED" w:rsidRDefault="00C20721" w:rsidP="00137770">
            <w:pPr>
              <w:autoSpaceDE w:val="0"/>
              <w:autoSpaceDN w:val="0"/>
              <w:adjustRightInd w:val="0"/>
              <w:rPr>
                <w:rFonts w:eastAsia="Calibri"/>
                <w:szCs w:val="22"/>
              </w:rPr>
            </w:pPr>
            <w:r>
              <w:t>Синдром на</w:t>
            </w:r>
            <w:r w:rsidR="00CE100D">
              <w:rPr>
                <w:lang w:val="hr-HR"/>
              </w:rPr>
              <w:t xml:space="preserve"> </w:t>
            </w:r>
            <w:r>
              <w:t>Stevens-Johnson</w:t>
            </w:r>
          </w:p>
          <w:p w14:paraId="4350C47F" w14:textId="77777777" w:rsidR="00C20721" w:rsidRPr="00991CED" w:rsidRDefault="00C20721" w:rsidP="00137770">
            <w:pPr>
              <w:autoSpaceDE w:val="0"/>
              <w:autoSpaceDN w:val="0"/>
              <w:adjustRightInd w:val="0"/>
              <w:rPr>
                <w:rFonts w:eastAsia="Calibri"/>
                <w:szCs w:val="22"/>
              </w:rPr>
            </w:pPr>
            <w:r>
              <w:lastRenderedPageBreak/>
              <w:t>Еритема мултиформе</w:t>
            </w:r>
          </w:p>
          <w:p w14:paraId="674DF4DF" w14:textId="442B6CDB" w:rsidR="00C20721" w:rsidRPr="00991CED" w:rsidRDefault="00C20721" w:rsidP="00137770">
            <w:pPr>
              <w:autoSpaceDE w:val="0"/>
              <w:autoSpaceDN w:val="0"/>
              <w:adjustRightInd w:val="0"/>
              <w:rPr>
                <w:rFonts w:eastAsia="Calibri"/>
                <w:szCs w:val="22"/>
              </w:rPr>
            </w:pPr>
            <w:r>
              <w:t>Реакция на</w:t>
            </w:r>
            <w:r w:rsidR="00CE100D">
              <w:rPr>
                <w:lang w:val="hr-HR"/>
              </w:rPr>
              <w:t xml:space="preserve"> </w:t>
            </w:r>
            <w:r>
              <w:t>фоточувствителност (вж. точка 4.4)</w:t>
            </w:r>
          </w:p>
          <w:p w14:paraId="10F667A5" w14:textId="6CD76F7B" w:rsidR="00C20721" w:rsidRPr="00991CED" w:rsidRDefault="00C20721" w:rsidP="00137770">
            <w:pPr>
              <w:autoSpaceDE w:val="0"/>
              <w:autoSpaceDN w:val="0"/>
              <w:adjustRightInd w:val="0"/>
              <w:rPr>
                <w:rFonts w:eastAsia="Calibri"/>
                <w:szCs w:val="22"/>
              </w:rPr>
            </w:pPr>
            <w:r>
              <w:t>Левкоцитокластен</w:t>
            </w:r>
            <w:r w:rsidR="00CE100D">
              <w:rPr>
                <w:lang w:val="hr-HR"/>
              </w:rPr>
              <w:t xml:space="preserve"> </w:t>
            </w:r>
            <w:r>
              <w:t>васкулит</w:t>
            </w:r>
          </w:p>
          <w:p w14:paraId="57F2CD54" w14:textId="77777777" w:rsidR="00C20721" w:rsidRPr="00991CED" w:rsidRDefault="00C20721" w:rsidP="00137770">
            <w:pPr>
              <w:autoSpaceDE w:val="0"/>
              <w:autoSpaceDN w:val="0"/>
              <w:adjustRightInd w:val="0"/>
              <w:rPr>
                <w:rFonts w:eastAsia="Calibri"/>
                <w:szCs w:val="22"/>
              </w:rPr>
            </w:pPr>
            <w:r>
              <w:t>Стоматит</w:t>
            </w:r>
          </w:p>
        </w:tc>
      </w:tr>
      <w:tr w:rsidR="00C20721" w:rsidRPr="00991CED" w14:paraId="5CAFBB55" w14:textId="77777777" w:rsidTr="007F5D4C">
        <w:tc>
          <w:tcPr>
            <w:tcW w:w="1733" w:type="dxa"/>
            <w:shd w:val="clear" w:color="auto" w:fill="auto"/>
          </w:tcPr>
          <w:p w14:paraId="188D8872" w14:textId="14CF743C" w:rsidR="00C20721" w:rsidRPr="00991CED" w:rsidRDefault="00C20721" w:rsidP="00CE100D">
            <w:pPr>
              <w:autoSpaceDE w:val="0"/>
              <w:autoSpaceDN w:val="0"/>
              <w:adjustRightInd w:val="0"/>
              <w:rPr>
                <w:rFonts w:eastAsia="Calibri"/>
                <w:szCs w:val="22"/>
              </w:rPr>
            </w:pPr>
            <w:r>
              <w:lastRenderedPageBreak/>
              <w:t>Нарушения на мускулно-скелетната</w:t>
            </w:r>
            <w:r w:rsidR="00CE100D">
              <w:rPr>
                <w:lang w:val="hr-HR"/>
              </w:rPr>
              <w:t xml:space="preserve"> </w:t>
            </w:r>
            <w:r>
              <w:t>система и съединителната</w:t>
            </w:r>
            <w:r w:rsidR="00CE100D">
              <w:rPr>
                <w:lang w:val="hr-HR"/>
              </w:rPr>
              <w:t xml:space="preserve"> </w:t>
            </w:r>
            <w:r>
              <w:t>тъкан*</w:t>
            </w:r>
          </w:p>
        </w:tc>
        <w:tc>
          <w:tcPr>
            <w:tcW w:w="1738" w:type="dxa"/>
            <w:shd w:val="clear" w:color="auto" w:fill="auto"/>
          </w:tcPr>
          <w:p w14:paraId="08B835EA"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1DF903D6" w14:textId="77777777" w:rsidR="00C20721" w:rsidRPr="00991CED" w:rsidRDefault="00C20721" w:rsidP="00137770">
            <w:pPr>
              <w:autoSpaceDE w:val="0"/>
              <w:autoSpaceDN w:val="0"/>
              <w:adjustRightInd w:val="0"/>
              <w:rPr>
                <w:rFonts w:eastAsia="Calibri"/>
                <w:szCs w:val="22"/>
              </w:rPr>
            </w:pPr>
            <w:r>
              <w:t>Артралгия</w:t>
            </w:r>
          </w:p>
          <w:p w14:paraId="7514FA90" w14:textId="77777777" w:rsidR="00C20721" w:rsidRPr="00991CED" w:rsidRDefault="00C20721" w:rsidP="00137770">
            <w:pPr>
              <w:autoSpaceDE w:val="0"/>
              <w:autoSpaceDN w:val="0"/>
              <w:adjustRightInd w:val="0"/>
              <w:rPr>
                <w:rFonts w:eastAsia="Calibri"/>
                <w:szCs w:val="22"/>
              </w:rPr>
            </w:pPr>
            <w:r>
              <w:t>Миалгия</w:t>
            </w:r>
          </w:p>
        </w:tc>
        <w:tc>
          <w:tcPr>
            <w:tcW w:w="2066" w:type="dxa"/>
            <w:shd w:val="clear" w:color="auto" w:fill="auto"/>
          </w:tcPr>
          <w:p w14:paraId="06891E2A" w14:textId="31B834C2" w:rsidR="00C20721" w:rsidRPr="00991CED" w:rsidRDefault="00C20721" w:rsidP="00137770">
            <w:pPr>
              <w:autoSpaceDE w:val="0"/>
              <w:autoSpaceDN w:val="0"/>
              <w:adjustRightInd w:val="0"/>
              <w:rPr>
                <w:rFonts w:eastAsia="Calibri"/>
                <w:szCs w:val="22"/>
              </w:rPr>
            </w:pPr>
            <w:r>
              <w:t>Нарушение на сухожилията</w:t>
            </w:r>
            <w:r w:rsidR="00CE100D">
              <w:rPr>
                <w:lang w:val="hr-HR"/>
              </w:rPr>
              <w:t xml:space="preserve"> </w:t>
            </w:r>
            <w:r>
              <w:t>(вж. точки 4.3</w:t>
            </w:r>
            <w:r w:rsidR="00CE100D">
              <w:rPr>
                <w:lang w:val="hr-HR"/>
              </w:rPr>
              <w:t xml:space="preserve"> </w:t>
            </w:r>
            <w:r>
              <w:t>и 4.4), включително</w:t>
            </w:r>
            <w:r w:rsidR="00CE100D">
              <w:rPr>
                <w:lang w:val="hr-HR"/>
              </w:rPr>
              <w:t xml:space="preserve"> </w:t>
            </w:r>
            <w:r>
              <w:t>тендинит (напр.</w:t>
            </w:r>
            <w:r w:rsidR="00CE100D">
              <w:rPr>
                <w:lang w:val="hr-HR"/>
              </w:rPr>
              <w:t xml:space="preserve"> </w:t>
            </w:r>
            <w:r>
              <w:t>на ахилесовото сухожилие)</w:t>
            </w:r>
          </w:p>
          <w:p w14:paraId="291F3D9A" w14:textId="169FDFD6" w:rsidR="00C20721" w:rsidRPr="00991CED" w:rsidRDefault="00C20721" w:rsidP="00137770">
            <w:pPr>
              <w:autoSpaceDE w:val="0"/>
              <w:autoSpaceDN w:val="0"/>
              <w:adjustRightInd w:val="0"/>
              <w:rPr>
                <w:rFonts w:eastAsia="Calibri"/>
                <w:szCs w:val="22"/>
              </w:rPr>
            </w:pPr>
            <w:r>
              <w:t>Мускулна</w:t>
            </w:r>
            <w:r w:rsidR="00CE100D">
              <w:rPr>
                <w:lang w:val="hr-HR"/>
              </w:rPr>
              <w:t xml:space="preserve"> </w:t>
            </w:r>
            <w:r>
              <w:t>слабост, която</w:t>
            </w:r>
            <w:r w:rsidR="00CE100D">
              <w:rPr>
                <w:lang w:val="hr-HR"/>
              </w:rPr>
              <w:t xml:space="preserve"> </w:t>
            </w:r>
            <w:r>
              <w:t>може да е от</w:t>
            </w:r>
            <w:r w:rsidR="00CE100D">
              <w:rPr>
                <w:lang w:val="hr-HR"/>
              </w:rPr>
              <w:t xml:space="preserve"> </w:t>
            </w:r>
            <w:r>
              <w:t>особено значение при</w:t>
            </w:r>
            <w:r w:rsidR="00CE100D">
              <w:rPr>
                <w:lang w:val="hr-HR"/>
              </w:rPr>
              <w:t xml:space="preserve"> </w:t>
            </w:r>
            <w:r>
              <w:t>пациенти с</w:t>
            </w:r>
            <w:r w:rsidR="00CE100D">
              <w:rPr>
                <w:lang w:val="hr-HR"/>
              </w:rPr>
              <w:t xml:space="preserve"> </w:t>
            </w:r>
            <w:r>
              <w:t>миастения гравис</w:t>
            </w:r>
          </w:p>
          <w:p w14:paraId="2E8B0241" w14:textId="77777777" w:rsidR="00C20721" w:rsidRPr="00991CED" w:rsidRDefault="00C20721" w:rsidP="00137770">
            <w:pPr>
              <w:autoSpaceDE w:val="0"/>
              <w:autoSpaceDN w:val="0"/>
              <w:adjustRightInd w:val="0"/>
              <w:rPr>
                <w:rFonts w:eastAsia="Calibri"/>
                <w:szCs w:val="22"/>
              </w:rPr>
            </w:pPr>
            <w:r>
              <w:t>(вж. точка 4.4)</w:t>
            </w:r>
          </w:p>
        </w:tc>
        <w:tc>
          <w:tcPr>
            <w:tcW w:w="2064" w:type="dxa"/>
            <w:shd w:val="clear" w:color="auto" w:fill="auto"/>
          </w:tcPr>
          <w:p w14:paraId="25E25221" w14:textId="77777777" w:rsidR="00C20721" w:rsidRPr="00991CED" w:rsidRDefault="00C20721" w:rsidP="00137770">
            <w:pPr>
              <w:autoSpaceDE w:val="0"/>
              <w:autoSpaceDN w:val="0"/>
              <w:adjustRightInd w:val="0"/>
              <w:rPr>
                <w:rFonts w:eastAsia="Calibri"/>
                <w:szCs w:val="22"/>
              </w:rPr>
            </w:pPr>
            <w:r>
              <w:t>Рабдомиолиза</w:t>
            </w:r>
          </w:p>
          <w:p w14:paraId="14AEDDF9" w14:textId="4C835539" w:rsidR="00C20721" w:rsidRPr="00991CED" w:rsidRDefault="00C20721" w:rsidP="00137770">
            <w:pPr>
              <w:autoSpaceDE w:val="0"/>
              <w:autoSpaceDN w:val="0"/>
              <w:adjustRightInd w:val="0"/>
              <w:rPr>
                <w:rFonts w:eastAsia="Calibri"/>
                <w:szCs w:val="22"/>
              </w:rPr>
            </w:pPr>
            <w:r>
              <w:t>Руптура на сухожилие (напр. на ахилесовото сухожилие) (вж.</w:t>
            </w:r>
            <w:r w:rsidR="00CE100D">
              <w:rPr>
                <w:lang w:val="hr-HR"/>
              </w:rPr>
              <w:t xml:space="preserve"> </w:t>
            </w:r>
            <w:r>
              <w:t xml:space="preserve">точки 4.3 и 4.4) </w:t>
            </w:r>
          </w:p>
          <w:p w14:paraId="138644D8" w14:textId="77777777" w:rsidR="00C20721" w:rsidRPr="00991CED" w:rsidRDefault="00C20721" w:rsidP="00137770">
            <w:pPr>
              <w:autoSpaceDE w:val="0"/>
              <w:autoSpaceDN w:val="0"/>
              <w:adjustRightInd w:val="0"/>
              <w:rPr>
                <w:rFonts w:eastAsia="Calibri"/>
                <w:szCs w:val="22"/>
              </w:rPr>
            </w:pPr>
            <w:r>
              <w:t>Руптура на лигамент Руптура на мускул</w:t>
            </w:r>
          </w:p>
          <w:p w14:paraId="210BCC77" w14:textId="77777777" w:rsidR="00C20721" w:rsidRPr="00991CED" w:rsidRDefault="00C20721" w:rsidP="00137770">
            <w:pPr>
              <w:autoSpaceDE w:val="0"/>
              <w:autoSpaceDN w:val="0"/>
              <w:adjustRightInd w:val="0"/>
              <w:rPr>
                <w:rFonts w:eastAsia="Calibri"/>
                <w:szCs w:val="22"/>
              </w:rPr>
            </w:pPr>
            <w:r>
              <w:t>Артрит</w:t>
            </w:r>
          </w:p>
        </w:tc>
      </w:tr>
      <w:tr w:rsidR="00C20721" w:rsidRPr="00991CED" w14:paraId="748BA48F" w14:textId="77777777" w:rsidTr="007F5D4C">
        <w:tc>
          <w:tcPr>
            <w:tcW w:w="1733" w:type="dxa"/>
            <w:shd w:val="clear" w:color="auto" w:fill="auto"/>
          </w:tcPr>
          <w:p w14:paraId="4B726AF8" w14:textId="0F55D0C6" w:rsidR="00C20721" w:rsidRPr="00991CED" w:rsidRDefault="00C20721" w:rsidP="00CE100D">
            <w:pPr>
              <w:autoSpaceDE w:val="0"/>
              <w:autoSpaceDN w:val="0"/>
              <w:adjustRightInd w:val="0"/>
              <w:rPr>
                <w:rFonts w:eastAsia="Calibri"/>
                <w:szCs w:val="22"/>
              </w:rPr>
            </w:pPr>
            <w:r>
              <w:t>Нарушения на бъбреците и</w:t>
            </w:r>
            <w:r w:rsidR="00CE100D">
              <w:rPr>
                <w:lang w:val="hr-HR"/>
              </w:rPr>
              <w:t xml:space="preserve"> </w:t>
            </w:r>
            <w:r>
              <w:t>пикочните пътища</w:t>
            </w:r>
          </w:p>
        </w:tc>
        <w:tc>
          <w:tcPr>
            <w:tcW w:w="1738" w:type="dxa"/>
            <w:shd w:val="clear" w:color="auto" w:fill="auto"/>
          </w:tcPr>
          <w:p w14:paraId="7F7E785E" w14:textId="77777777" w:rsidR="00C20721" w:rsidRPr="00991CED" w:rsidRDefault="00C20721" w:rsidP="00137770">
            <w:pPr>
              <w:autoSpaceDE w:val="0"/>
              <w:autoSpaceDN w:val="0"/>
              <w:adjustRightInd w:val="0"/>
              <w:rPr>
                <w:rFonts w:eastAsia="Calibri"/>
                <w:szCs w:val="22"/>
                <w:lang w:val="en-US"/>
              </w:rPr>
            </w:pPr>
          </w:p>
        </w:tc>
        <w:tc>
          <w:tcPr>
            <w:tcW w:w="1744" w:type="dxa"/>
            <w:shd w:val="clear" w:color="auto" w:fill="auto"/>
          </w:tcPr>
          <w:p w14:paraId="6F53BC6F" w14:textId="54BD0505" w:rsidR="00C20721" w:rsidRPr="00991CED" w:rsidRDefault="00C20721" w:rsidP="00CE100D">
            <w:pPr>
              <w:autoSpaceDE w:val="0"/>
              <w:autoSpaceDN w:val="0"/>
              <w:adjustRightInd w:val="0"/>
              <w:rPr>
                <w:rFonts w:eastAsia="Calibri"/>
                <w:szCs w:val="22"/>
              </w:rPr>
            </w:pPr>
            <w:r>
              <w:t>Повишен</w:t>
            </w:r>
            <w:r w:rsidR="00CE100D">
              <w:rPr>
                <w:lang w:val="hr-HR"/>
              </w:rPr>
              <w:t xml:space="preserve"> </w:t>
            </w:r>
            <w:r>
              <w:t>креатинин</w:t>
            </w:r>
            <w:r w:rsidR="00CE100D">
              <w:rPr>
                <w:lang w:val="hr-HR"/>
              </w:rPr>
              <w:t xml:space="preserve"> </w:t>
            </w:r>
            <w:r>
              <w:t>в кръвта</w:t>
            </w:r>
          </w:p>
        </w:tc>
        <w:tc>
          <w:tcPr>
            <w:tcW w:w="2066" w:type="dxa"/>
            <w:shd w:val="clear" w:color="auto" w:fill="auto"/>
          </w:tcPr>
          <w:p w14:paraId="3DC03499" w14:textId="4B5B6D7F" w:rsidR="00C20721" w:rsidRPr="00991CED" w:rsidRDefault="00C20721" w:rsidP="00CE100D">
            <w:pPr>
              <w:autoSpaceDE w:val="0"/>
              <w:autoSpaceDN w:val="0"/>
              <w:adjustRightInd w:val="0"/>
              <w:rPr>
                <w:rFonts w:eastAsia="Calibri"/>
                <w:szCs w:val="22"/>
              </w:rPr>
            </w:pPr>
            <w:r>
              <w:t>Остра бъбречна недостатъчност</w:t>
            </w:r>
            <w:r w:rsidR="00CE100D">
              <w:rPr>
                <w:lang w:val="hr-HR"/>
              </w:rPr>
              <w:t xml:space="preserve"> </w:t>
            </w:r>
            <w:r>
              <w:t>(напр. поради</w:t>
            </w:r>
            <w:r w:rsidR="00CE100D">
              <w:rPr>
                <w:lang w:val="hr-HR"/>
              </w:rPr>
              <w:t xml:space="preserve"> </w:t>
            </w:r>
            <w:r>
              <w:t>интерстициален</w:t>
            </w:r>
            <w:r w:rsidR="00CE100D">
              <w:rPr>
                <w:lang w:val="hr-HR"/>
              </w:rPr>
              <w:t xml:space="preserve"> </w:t>
            </w:r>
            <w:r>
              <w:t>нефрит)</w:t>
            </w:r>
          </w:p>
        </w:tc>
        <w:tc>
          <w:tcPr>
            <w:tcW w:w="2064" w:type="dxa"/>
            <w:shd w:val="clear" w:color="auto" w:fill="auto"/>
          </w:tcPr>
          <w:p w14:paraId="11AEA8BA" w14:textId="77777777" w:rsidR="00C20721" w:rsidRPr="00991CED" w:rsidRDefault="00C20721" w:rsidP="00137770">
            <w:pPr>
              <w:autoSpaceDE w:val="0"/>
              <w:autoSpaceDN w:val="0"/>
              <w:adjustRightInd w:val="0"/>
              <w:rPr>
                <w:rFonts w:eastAsia="Calibri"/>
                <w:szCs w:val="22"/>
              </w:rPr>
            </w:pPr>
          </w:p>
        </w:tc>
      </w:tr>
      <w:tr w:rsidR="00C20721" w:rsidRPr="00991CED" w14:paraId="135C9ACB" w14:textId="77777777" w:rsidTr="007F5D4C">
        <w:tc>
          <w:tcPr>
            <w:tcW w:w="1733" w:type="dxa"/>
            <w:shd w:val="clear" w:color="auto" w:fill="auto"/>
          </w:tcPr>
          <w:p w14:paraId="3140F940" w14:textId="2884FB34" w:rsidR="00C20721" w:rsidRPr="00991CED" w:rsidRDefault="00C20721" w:rsidP="00CE100D">
            <w:pPr>
              <w:autoSpaceDE w:val="0"/>
              <w:autoSpaceDN w:val="0"/>
              <w:adjustRightInd w:val="0"/>
              <w:rPr>
                <w:rFonts w:eastAsia="Calibri"/>
                <w:szCs w:val="22"/>
              </w:rPr>
            </w:pPr>
            <w:r>
              <w:t>Общи</w:t>
            </w:r>
            <w:r w:rsidR="00CE100D">
              <w:rPr>
                <w:lang w:val="hr-HR"/>
              </w:rPr>
              <w:t xml:space="preserve"> </w:t>
            </w:r>
            <w:r>
              <w:t>нарушения и</w:t>
            </w:r>
            <w:r w:rsidR="00CE100D">
              <w:rPr>
                <w:lang w:val="hr-HR"/>
              </w:rPr>
              <w:t xml:space="preserve"> </w:t>
            </w:r>
            <w:r>
              <w:t>ефекти на</w:t>
            </w:r>
            <w:r w:rsidR="00CE100D">
              <w:rPr>
                <w:lang w:val="hr-HR"/>
              </w:rPr>
              <w:t xml:space="preserve"> </w:t>
            </w:r>
            <w:r>
              <w:t>мястото на приложение*</w:t>
            </w:r>
          </w:p>
        </w:tc>
        <w:tc>
          <w:tcPr>
            <w:tcW w:w="1738" w:type="dxa"/>
            <w:shd w:val="clear" w:color="auto" w:fill="auto"/>
          </w:tcPr>
          <w:p w14:paraId="2E971767" w14:textId="44C3FE17" w:rsidR="00C20721" w:rsidRPr="00991CED" w:rsidRDefault="00C20721" w:rsidP="00137770">
            <w:pPr>
              <w:autoSpaceDE w:val="0"/>
              <w:autoSpaceDN w:val="0"/>
              <w:adjustRightInd w:val="0"/>
              <w:rPr>
                <w:rFonts w:eastAsia="Calibri"/>
                <w:i/>
                <w:iCs/>
                <w:szCs w:val="22"/>
                <w:u w:val="single"/>
              </w:rPr>
            </w:pPr>
            <w:r>
              <w:rPr>
                <w:i/>
                <w:iCs/>
                <w:szCs w:val="22"/>
                <w:u w:val="single"/>
              </w:rPr>
              <w:t>Отнася се само за интравенозната</w:t>
            </w:r>
            <w:r w:rsidR="00CE100D">
              <w:rPr>
                <w:i/>
                <w:iCs/>
                <w:szCs w:val="22"/>
                <w:u w:val="single"/>
                <w:lang w:val="hr-HR"/>
              </w:rPr>
              <w:t xml:space="preserve"> </w:t>
            </w:r>
            <w:r>
              <w:rPr>
                <w:i/>
                <w:iCs/>
                <w:szCs w:val="22"/>
                <w:u w:val="single"/>
              </w:rPr>
              <w:t>лекарствена форма:</w:t>
            </w:r>
          </w:p>
          <w:p w14:paraId="5C0B3448" w14:textId="609FF470" w:rsidR="00C20721" w:rsidRPr="00991CED" w:rsidRDefault="00C20721" w:rsidP="00CE100D">
            <w:pPr>
              <w:autoSpaceDE w:val="0"/>
              <w:autoSpaceDN w:val="0"/>
              <w:adjustRightInd w:val="0"/>
              <w:rPr>
                <w:rFonts w:eastAsia="Calibri"/>
                <w:szCs w:val="22"/>
              </w:rPr>
            </w:pPr>
            <w:r>
              <w:t>Реакция на мястото</w:t>
            </w:r>
            <w:r w:rsidR="00CE100D">
              <w:rPr>
                <w:lang w:val="hr-HR"/>
              </w:rPr>
              <w:t xml:space="preserve"> </w:t>
            </w:r>
            <w:r>
              <w:t>на инфузия</w:t>
            </w:r>
            <w:r w:rsidR="00CE100D">
              <w:rPr>
                <w:lang w:val="hr-HR"/>
              </w:rPr>
              <w:t xml:space="preserve"> </w:t>
            </w:r>
            <w:r>
              <w:t>(болка,</w:t>
            </w:r>
            <w:r w:rsidR="00CE100D">
              <w:rPr>
                <w:lang w:val="hr-HR"/>
              </w:rPr>
              <w:t xml:space="preserve"> </w:t>
            </w:r>
            <w:r>
              <w:t>зачервяване)</w:t>
            </w:r>
          </w:p>
        </w:tc>
        <w:tc>
          <w:tcPr>
            <w:tcW w:w="1744" w:type="dxa"/>
            <w:shd w:val="clear" w:color="auto" w:fill="auto"/>
          </w:tcPr>
          <w:p w14:paraId="34E18D9E" w14:textId="77777777" w:rsidR="00C20721" w:rsidRPr="00991CED" w:rsidRDefault="00C20721" w:rsidP="00137770">
            <w:pPr>
              <w:autoSpaceDE w:val="0"/>
              <w:autoSpaceDN w:val="0"/>
              <w:adjustRightInd w:val="0"/>
              <w:rPr>
                <w:rFonts w:eastAsia="Calibri"/>
                <w:szCs w:val="22"/>
              </w:rPr>
            </w:pPr>
            <w:r>
              <w:t>Астения</w:t>
            </w:r>
          </w:p>
        </w:tc>
        <w:tc>
          <w:tcPr>
            <w:tcW w:w="2066" w:type="dxa"/>
            <w:shd w:val="clear" w:color="auto" w:fill="auto"/>
          </w:tcPr>
          <w:p w14:paraId="4C02A99C" w14:textId="77777777" w:rsidR="00C20721" w:rsidRPr="00991CED" w:rsidRDefault="006B58B6" w:rsidP="00137770">
            <w:pPr>
              <w:autoSpaceDE w:val="0"/>
              <w:autoSpaceDN w:val="0"/>
              <w:adjustRightInd w:val="0"/>
              <w:rPr>
                <w:rFonts w:eastAsia="Calibri"/>
                <w:szCs w:val="22"/>
              </w:rPr>
            </w:pPr>
            <w:r>
              <w:t>Висока температура</w:t>
            </w:r>
          </w:p>
        </w:tc>
        <w:tc>
          <w:tcPr>
            <w:tcW w:w="2064" w:type="dxa"/>
            <w:shd w:val="clear" w:color="auto" w:fill="auto"/>
          </w:tcPr>
          <w:p w14:paraId="1D319CE4" w14:textId="77777777" w:rsidR="00C20721" w:rsidRPr="00991CED" w:rsidRDefault="00C20721" w:rsidP="00137770">
            <w:pPr>
              <w:autoSpaceDE w:val="0"/>
              <w:autoSpaceDN w:val="0"/>
              <w:adjustRightInd w:val="0"/>
              <w:rPr>
                <w:rFonts w:eastAsia="Calibri"/>
                <w:szCs w:val="22"/>
              </w:rPr>
            </w:pPr>
            <w:r>
              <w:t>Болка (включително болка в гърба, гръдния кош и крайниците)</w:t>
            </w:r>
          </w:p>
        </w:tc>
      </w:tr>
    </w:tbl>
    <w:p w14:paraId="62AB078E" w14:textId="351530E6" w:rsidR="00C20721" w:rsidRPr="00991CED" w:rsidRDefault="00C20721" w:rsidP="00C20721">
      <w:pPr>
        <w:autoSpaceDE w:val="0"/>
        <w:autoSpaceDN w:val="0"/>
        <w:adjustRightInd w:val="0"/>
        <w:spacing w:line="240" w:lineRule="auto"/>
        <w:rPr>
          <w:szCs w:val="22"/>
        </w:rPr>
      </w:pPr>
      <w:r>
        <w:rPr>
          <w:szCs w:val="22"/>
          <w:vertAlign w:val="superscript"/>
        </w:rPr>
        <w:t>а</w:t>
      </w:r>
      <w:r>
        <w:t xml:space="preserve"> Анафилактични и анафилактоидни реакции понякога могат да възникнат дори след първата доза</w:t>
      </w:r>
    </w:p>
    <w:p w14:paraId="564DBA10" w14:textId="0901B3E9" w:rsidR="00C20721" w:rsidRPr="00991CED" w:rsidRDefault="00C20721" w:rsidP="00C20721">
      <w:pPr>
        <w:autoSpaceDE w:val="0"/>
        <w:autoSpaceDN w:val="0"/>
        <w:adjustRightInd w:val="0"/>
        <w:spacing w:line="240" w:lineRule="auto"/>
        <w:rPr>
          <w:szCs w:val="22"/>
        </w:rPr>
      </w:pPr>
      <w:r>
        <w:rPr>
          <w:szCs w:val="22"/>
          <w:vertAlign w:val="superscript"/>
        </w:rPr>
        <w:t>б</w:t>
      </w:r>
      <w:r>
        <w:t xml:space="preserve"> Кожно-лигавични реакции понякога могат да възникнат дори след първата доза</w:t>
      </w:r>
    </w:p>
    <w:p w14:paraId="7EE7CBBB" w14:textId="77777777" w:rsidR="00C20721" w:rsidRPr="00991CED" w:rsidRDefault="00C20721" w:rsidP="00C20721">
      <w:pPr>
        <w:autoSpaceDE w:val="0"/>
        <w:autoSpaceDN w:val="0"/>
        <w:adjustRightInd w:val="0"/>
        <w:spacing w:line="240" w:lineRule="auto"/>
        <w:rPr>
          <w:szCs w:val="22"/>
          <w:lang w:val="en-US"/>
        </w:rPr>
      </w:pPr>
    </w:p>
    <w:p w14:paraId="1D7FAF8F" w14:textId="77777777" w:rsidR="00C20721" w:rsidRPr="00991CED" w:rsidRDefault="00C20721" w:rsidP="00C20721">
      <w:pPr>
        <w:autoSpaceDE w:val="0"/>
        <w:autoSpaceDN w:val="0"/>
        <w:adjustRightInd w:val="0"/>
        <w:spacing w:line="240" w:lineRule="auto"/>
        <w:rPr>
          <w:szCs w:val="22"/>
        </w:rPr>
      </w:pPr>
      <w:r>
        <w:t>Други нежелани реакции, свързани с приложението на флурохинолони, включват:</w:t>
      </w:r>
    </w:p>
    <w:p w14:paraId="467EC6B5" w14:textId="77777777" w:rsidR="00C20721" w:rsidRPr="00991CED" w:rsidRDefault="00C20721" w:rsidP="00C20721">
      <w:pPr>
        <w:autoSpaceDE w:val="0"/>
        <w:autoSpaceDN w:val="0"/>
        <w:adjustRightInd w:val="0"/>
        <w:spacing w:line="240" w:lineRule="auto"/>
        <w:rPr>
          <w:szCs w:val="22"/>
        </w:rPr>
      </w:pPr>
      <w:r>
        <w:t>• пристъпи на порфирия при пациенти с порфирия.</w:t>
      </w:r>
    </w:p>
    <w:p w14:paraId="0899EBB8" w14:textId="77777777" w:rsidR="001D29E6" w:rsidRPr="00991CED" w:rsidRDefault="001D29E6" w:rsidP="009F4BA4">
      <w:pPr>
        <w:spacing w:line="240" w:lineRule="auto"/>
        <w:rPr>
          <w:szCs w:val="22"/>
        </w:rPr>
      </w:pPr>
    </w:p>
    <w:p w14:paraId="13F49CC8" w14:textId="4A898E18" w:rsidR="00906B69" w:rsidRPr="00991CED" w:rsidRDefault="00906B69" w:rsidP="009F4BA4">
      <w:pPr>
        <w:spacing w:line="240" w:lineRule="auto"/>
        <w:rPr>
          <w:szCs w:val="22"/>
        </w:rPr>
      </w:pPr>
      <w:r>
        <w:t xml:space="preserve">*Съобщава се за много редки случаи на продължителни (до месеци или години), инвалидизиращи и потенциално необратими сериозни лекарствени реакции, засягащи няколко, понякога много, системо-органни класове и сетива (включително реакции като тендинит, руптура на сухожилие, </w:t>
      </w:r>
      <w:r>
        <w:lastRenderedPageBreak/>
        <w:t>артралгия, болка в крайниците, нарушение на походката, невропатии, свързани с парестезии, депресия, умора, нарушение на паметта, нарушения на съня и увреждане на слуха, зрението, вкуса и обонянието) във връзка с употребата на хинолони и флуорохинолони, в някои случаи независимо от вече съществуващите рискови фактори (вж. точка 4.4).</w:t>
      </w:r>
    </w:p>
    <w:p w14:paraId="25902FB7" w14:textId="77777777" w:rsidR="006A0E4A" w:rsidRDefault="006A0E4A" w:rsidP="009F4BA4">
      <w:pPr>
        <w:spacing w:line="240" w:lineRule="auto"/>
        <w:rPr>
          <w:szCs w:val="22"/>
          <w:u w:val="single"/>
        </w:rPr>
      </w:pPr>
    </w:p>
    <w:p w14:paraId="2A2F5B35" w14:textId="5DF54620" w:rsidR="00324A74" w:rsidRPr="00761C27" w:rsidRDefault="006A0E4A" w:rsidP="009F4BA4">
      <w:pPr>
        <w:spacing w:line="240" w:lineRule="auto"/>
        <w:rPr>
          <w:szCs w:val="22"/>
        </w:rPr>
      </w:pPr>
      <w:r w:rsidRPr="00761C27">
        <w:rPr>
          <w:szCs w:val="22"/>
        </w:rPr>
        <w:t>** При пациентите, приемащи флуорохинолони, са съобщени случаи на аневризма и дисекация на аортата, понякога усложнени поради разкъсване (включително с летален изход) и регургитация/недостатъчност на някои от сърдечните клапи (вж. точка 4.4).</w:t>
      </w:r>
    </w:p>
    <w:p w14:paraId="3C2D6DAA" w14:textId="77777777" w:rsidR="006A0E4A" w:rsidRPr="00991CED" w:rsidRDefault="006A0E4A" w:rsidP="009F4BA4">
      <w:pPr>
        <w:spacing w:line="240" w:lineRule="auto"/>
        <w:rPr>
          <w:szCs w:val="22"/>
          <w:u w:val="single"/>
        </w:rPr>
      </w:pPr>
    </w:p>
    <w:p w14:paraId="75CABCB8" w14:textId="77777777" w:rsidR="00F00876" w:rsidRPr="00991CED" w:rsidRDefault="00F00876" w:rsidP="009F4BA4">
      <w:pPr>
        <w:autoSpaceDE w:val="0"/>
        <w:autoSpaceDN w:val="0"/>
        <w:adjustRightInd w:val="0"/>
        <w:spacing w:line="240" w:lineRule="auto"/>
        <w:rPr>
          <w:szCs w:val="22"/>
          <w:u w:val="single"/>
        </w:rPr>
      </w:pPr>
      <w:r>
        <w:rPr>
          <w:szCs w:val="22"/>
          <w:u w:val="single"/>
        </w:rPr>
        <w:t>Съобщаване на подозирани нежелани реакции</w:t>
      </w:r>
    </w:p>
    <w:p w14:paraId="0B32862B" w14:textId="77777777" w:rsidR="00E029F8" w:rsidRDefault="00F00876" w:rsidP="009F4BA4">
      <w:pPr>
        <w:autoSpaceDE w:val="0"/>
        <w:autoSpaceDN w:val="0"/>
        <w:adjustRightInd w:val="0"/>
        <w:spacing w:line="240" w:lineRule="auto"/>
      </w:pPr>
      <w: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E029F8">
        <w:t>:</w:t>
      </w:r>
    </w:p>
    <w:p w14:paraId="112FC3FA" w14:textId="77777777" w:rsidR="00E029F8" w:rsidRPr="001062C2" w:rsidRDefault="00E029F8" w:rsidP="00E029F8">
      <w:pPr>
        <w:ind w:right="-2"/>
        <w:rPr>
          <w:szCs w:val="22"/>
        </w:rPr>
      </w:pPr>
      <w:r w:rsidRPr="001062C2">
        <w:rPr>
          <w:szCs w:val="22"/>
        </w:rPr>
        <w:t>Изпълнителна агенция по лекарствата</w:t>
      </w:r>
    </w:p>
    <w:p w14:paraId="707DF6F4" w14:textId="77777777" w:rsidR="00E029F8" w:rsidRPr="001062C2" w:rsidRDefault="00E029F8" w:rsidP="00E029F8">
      <w:pPr>
        <w:ind w:right="-2"/>
        <w:rPr>
          <w:szCs w:val="22"/>
        </w:rPr>
      </w:pPr>
      <w:r w:rsidRPr="001062C2">
        <w:rPr>
          <w:szCs w:val="22"/>
        </w:rPr>
        <w:t xml:space="preserve">ул. „Дамян Груев“ № 8 </w:t>
      </w:r>
    </w:p>
    <w:p w14:paraId="2B77E421" w14:textId="77777777" w:rsidR="00E029F8" w:rsidRPr="001062C2" w:rsidRDefault="00E029F8" w:rsidP="00E029F8">
      <w:pPr>
        <w:ind w:right="-2"/>
        <w:rPr>
          <w:szCs w:val="22"/>
        </w:rPr>
      </w:pPr>
      <w:r w:rsidRPr="001062C2">
        <w:rPr>
          <w:szCs w:val="22"/>
        </w:rPr>
        <w:t xml:space="preserve">1303 София </w:t>
      </w:r>
    </w:p>
    <w:p w14:paraId="317798A3" w14:textId="77777777" w:rsidR="00E029F8" w:rsidRPr="001062C2" w:rsidRDefault="00E029F8" w:rsidP="00E029F8">
      <w:pPr>
        <w:ind w:right="-2"/>
        <w:rPr>
          <w:szCs w:val="22"/>
        </w:rPr>
      </w:pPr>
      <w:r w:rsidRPr="001062C2">
        <w:rPr>
          <w:szCs w:val="22"/>
        </w:rPr>
        <w:t>Teл.: +359 2 8903417</w:t>
      </w:r>
    </w:p>
    <w:p w14:paraId="5427661A" w14:textId="77777777" w:rsidR="00E029F8" w:rsidRPr="001062C2" w:rsidRDefault="00E029F8" w:rsidP="00E029F8">
      <w:pPr>
        <w:ind w:right="-2"/>
        <w:rPr>
          <w:szCs w:val="22"/>
        </w:rPr>
      </w:pPr>
      <w:r w:rsidRPr="001062C2">
        <w:rPr>
          <w:szCs w:val="22"/>
        </w:rPr>
        <w:t xml:space="preserve">уебсайт: </w:t>
      </w:r>
      <w:hyperlink r:id="rId7" w:history="1">
        <w:r w:rsidRPr="001062C2">
          <w:rPr>
            <w:rStyle w:val="Hyperlink"/>
            <w:szCs w:val="22"/>
          </w:rPr>
          <w:t>www.bda.bg</w:t>
        </w:r>
      </w:hyperlink>
      <w:r w:rsidRPr="001062C2">
        <w:rPr>
          <w:szCs w:val="22"/>
        </w:rPr>
        <w:t xml:space="preserve">. </w:t>
      </w:r>
    </w:p>
    <w:p w14:paraId="7DB6CF15" w14:textId="0C636985" w:rsidR="00F00876" w:rsidRPr="00991CED" w:rsidRDefault="00F00876" w:rsidP="009F4BA4">
      <w:pPr>
        <w:autoSpaceDE w:val="0"/>
        <w:autoSpaceDN w:val="0"/>
        <w:adjustRightInd w:val="0"/>
        <w:spacing w:line="240" w:lineRule="auto"/>
        <w:rPr>
          <w:noProof/>
          <w:szCs w:val="22"/>
        </w:rPr>
      </w:pPr>
      <w:r>
        <w:t xml:space="preserve"> </w:t>
      </w:r>
    </w:p>
    <w:p w14:paraId="72792E66" w14:textId="77777777" w:rsidR="005F1B9D" w:rsidRDefault="005F1B9D" w:rsidP="00DC1818">
      <w:pPr>
        <w:spacing w:line="240" w:lineRule="auto"/>
        <w:rPr>
          <w:b/>
          <w:szCs w:val="22"/>
        </w:rPr>
      </w:pPr>
    </w:p>
    <w:p w14:paraId="2DF5EF4C" w14:textId="77777777" w:rsidR="005F1B9D" w:rsidRDefault="005F1B9D" w:rsidP="00DC1818">
      <w:pPr>
        <w:spacing w:line="240" w:lineRule="auto"/>
        <w:rPr>
          <w:b/>
          <w:szCs w:val="22"/>
        </w:rPr>
      </w:pPr>
    </w:p>
    <w:p w14:paraId="4EEA1458" w14:textId="77777777" w:rsidR="001D29E6" w:rsidRPr="00991CED" w:rsidRDefault="001D29E6" w:rsidP="00DC1818">
      <w:pPr>
        <w:spacing w:line="240" w:lineRule="auto"/>
        <w:rPr>
          <w:szCs w:val="22"/>
        </w:rPr>
      </w:pPr>
      <w:r>
        <w:rPr>
          <w:b/>
          <w:szCs w:val="22"/>
        </w:rPr>
        <w:t>4.9</w:t>
      </w:r>
      <w:r>
        <w:rPr>
          <w:b/>
          <w:szCs w:val="22"/>
        </w:rPr>
        <w:tab/>
        <w:t>Предозиране</w:t>
      </w:r>
    </w:p>
    <w:p w14:paraId="051B56BA" w14:textId="77777777" w:rsidR="001D29E6" w:rsidRPr="00991CED" w:rsidRDefault="001D29E6" w:rsidP="009F4BA4">
      <w:pPr>
        <w:spacing w:line="240" w:lineRule="auto"/>
        <w:rPr>
          <w:szCs w:val="22"/>
        </w:rPr>
      </w:pPr>
    </w:p>
    <w:p w14:paraId="04DAE07C" w14:textId="77777777" w:rsidR="00FF4557" w:rsidRPr="00991CED" w:rsidRDefault="00FF4557" w:rsidP="00FF4557">
      <w:pPr>
        <w:tabs>
          <w:tab w:val="clear" w:pos="567"/>
        </w:tabs>
        <w:spacing w:line="240" w:lineRule="auto"/>
        <w:rPr>
          <w:noProof/>
          <w:szCs w:val="22"/>
        </w:rPr>
      </w:pPr>
      <w:r>
        <w:t>Според проучванията за токсичност при животни или клинично-фармакологичните проучвания, проведени със супратерапевтични дози, най-важните признаци, които трябва да се очакват след остро предозиране на Фoвeлид таблетки, са симптоми от страна на централната нервна система като обърканост, замаяност, нарушения на съзнанието и конвулсивни гърчове, удължаване на QT-интервала, както и стомашно-чревни реакции като гадене и лигавични ерозии.</w:t>
      </w:r>
    </w:p>
    <w:p w14:paraId="5BE2B064" w14:textId="77777777" w:rsidR="00FF4557" w:rsidRPr="00991CED" w:rsidRDefault="00FF4557" w:rsidP="00FF4557">
      <w:pPr>
        <w:tabs>
          <w:tab w:val="clear" w:pos="567"/>
        </w:tabs>
        <w:spacing w:line="240" w:lineRule="auto"/>
        <w:rPr>
          <w:noProof/>
          <w:szCs w:val="22"/>
        </w:rPr>
      </w:pPr>
      <w:r>
        <w:t>Ефекти върху ЦНС, включващи състояние на обърканост, конвулсии, халюцинации и тремор, са наблюдавани при постмаркетинговия опит.</w:t>
      </w:r>
    </w:p>
    <w:p w14:paraId="2295C0C6" w14:textId="77777777" w:rsidR="006C20FA" w:rsidRPr="00991CED" w:rsidRDefault="006C20FA" w:rsidP="00FF4557">
      <w:pPr>
        <w:tabs>
          <w:tab w:val="clear" w:pos="567"/>
        </w:tabs>
        <w:spacing w:line="240" w:lineRule="auto"/>
        <w:rPr>
          <w:noProof/>
          <w:szCs w:val="22"/>
        </w:rPr>
      </w:pPr>
    </w:p>
    <w:p w14:paraId="66113A9A" w14:textId="77777777" w:rsidR="002826DD" w:rsidRPr="00991CED" w:rsidRDefault="00FF4557" w:rsidP="00FF4557">
      <w:pPr>
        <w:tabs>
          <w:tab w:val="clear" w:pos="567"/>
        </w:tabs>
        <w:spacing w:line="240" w:lineRule="auto"/>
        <w:rPr>
          <w:noProof/>
          <w:szCs w:val="22"/>
        </w:rPr>
      </w:pPr>
      <w:r>
        <w:t>В случай на предозиране трябва да се приложи симптоматично лечение. Поради възможността за удължаване на QT-интервала трябва да се извършва наблюдение на ЕКГ. Могат да бъдат прилагани антиациди за предпазване на стомашната лигавица. Хемодиализата, включително перитонеалната диализа и НАПД, не са ефективни за отстраняване на левофлоксацин от организма. Не съществува специфичен антидот.</w:t>
      </w:r>
    </w:p>
    <w:p w14:paraId="3E021B82" w14:textId="77777777" w:rsidR="001D29E6" w:rsidRPr="00991CED" w:rsidRDefault="001D29E6" w:rsidP="009F4BA4">
      <w:pPr>
        <w:spacing w:line="240" w:lineRule="auto"/>
        <w:rPr>
          <w:szCs w:val="22"/>
        </w:rPr>
      </w:pPr>
    </w:p>
    <w:p w14:paraId="71E623D7" w14:textId="77777777" w:rsidR="001D29E6" w:rsidRPr="00991CED" w:rsidRDefault="001D29E6" w:rsidP="009F4BA4">
      <w:pPr>
        <w:spacing w:line="240" w:lineRule="auto"/>
        <w:ind w:left="567" w:hanging="567"/>
        <w:rPr>
          <w:szCs w:val="22"/>
        </w:rPr>
      </w:pPr>
      <w:r>
        <w:rPr>
          <w:b/>
          <w:szCs w:val="22"/>
        </w:rPr>
        <w:t>5.</w:t>
      </w:r>
      <w:r>
        <w:rPr>
          <w:b/>
          <w:szCs w:val="22"/>
        </w:rPr>
        <w:tab/>
        <w:t>ФАРМАКОЛОГИЧНИ СВОЙСТВА</w:t>
      </w:r>
    </w:p>
    <w:p w14:paraId="24F9D23D" w14:textId="77777777" w:rsidR="001D29E6" w:rsidRPr="00991CED" w:rsidRDefault="001D29E6" w:rsidP="009F4BA4">
      <w:pPr>
        <w:spacing w:line="240" w:lineRule="auto"/>
        <w:rPr>
          <w:szCs w:val="22"/>
        </w:rPr>
      </w:pPr>
    </w:p>
    <w:p w14:paraId="1F032DA0" w14:textId="77777777" w:rsidR="001D29E6" w:rsidRPr="00991CED" w:rsidRDefault="001D29E6" w:rsidP="009F4BA4">
      <w:pPr>
        <w:spacing w:line="240" w:lineRule="auto"/>
        <w:ind w:left="567" w:hanging="567"/>
        <w:rPr>
          <w:szCs w:val="22"/>
        </w:rPr>
      </w:pPr>
      <w:r>
        <w:rPr>
          <w:b/>
          <w:szCs w:val="22"/>
        </w:rPr>
        <w:t xml:space="preserve">5.1 </w:t>
      </w:r>
      <w:r>
        <w:rPr>
          <w:b/>
          <w:szCs w:val="22"/>
        </w:rPr>
        <w:tab/>
        <w:t>Фармакодинамични свойства</w:t>
      </w:r>
    </w:p>
    <w:p w14:paraId="57FA2732" w14:textId="77777777" w:rsidR="001D29E6" w:rsidRPr="00991CED" w:rsidRDefault="001D29E6" w:rsidP="009F4BA4">
      <w:pPr>
        <w:spacing w:line="240" w:lineRule="auto"/>
        <w:rPr>
          <w:szCs w:val="22"/>
        </w:rPr>
      </w:pPr>
    </w:p>
    <w:p w14:paraId="32BE7B5D" w14:textId="77777777" w:rsidR="001D29E6" w:rsidRPr="00991CED" w:rsidRDefault="001D29E6" w:rsidP="009F4BA4">
      <w:pPr>
        <w:spacing w:line="240" w:lineRule="auto"/>
        <w:rPr>
          <w:noProof/>
          <w:szCs w:val="22"/>
        </w:rPr>
      </w:pPr>
      <w:r>
        <w:t xml:space="preserve">Фармакотерапевтична група: антибактериални хинолони, флуорохинолони, ATC код: J01MA12 </w:t>
      </w:r>
    </w:p>
    <w:p w14:paraId="508F5C3A" w14:textId="77777777" w:rsidR="00777769" w:rsidRPr="00991CED" w:rsidRDefault="00777769" w:rsidP="009F4BA4">
      <w:pPr>
        <w:spacing w:line="240" w:lineRule="auto"/>
        <w:rPr>
          <w:szCs w:val="22"/>
        </w:rPr>
      </w:pPr>
    </w:p>
    <w:p w14:paraId="26D1F4D0" w14:textId="77777777" w:rsidR="001D29E6" w:rsidRPr="00991CED" w:rsidRDefault="004601F8" w:rsidP="004601F8">
      <w:pPr>
        <w:tabs>
          <w:tab w:val="clear" w:pos="567"/>
        </w:tabs>
        <w:spacing w:line="240" w:lineRule="auto"/>
        <w:rPr>
          <w:szCs w:val="22"/>
        </w:rPr>
      </w:pPr>
      <w:r>
        <w:t>Левофлоксацин е синтетично антибактериално средство от клас флуорохинолони и е S (-) енантиомерът на рацемичното активно вещество офлоксацин.</w:t>
      </w:r>
    </w:p>
    <w:p w14:paraId="5FA99DF0" w14:textId="77777777" w:rsidR="00291B18" w:rsidRPr="00991CED" w:rsidRDefault="00291B18" w:rsidP="002D4A99">
      <w:pPr>
        <w:tabs>
          <w:tab w:val="clear" w:pos="567"/>
        </w:tabs>
        <w:autoSpaceDE w:val="0"/>
        <w:autoSpaceDN w:val="0"/>
        <w:adjustRightInd w:val="0"/>
        <w:spacing w:line="240" w:lineRule="auto"/>
        <w:jc w:val="both"/>
        <w:rPr>
          <w:szCs w:val="22"/>
        </w:rPr>
      </w:pPr>
    </w:p>
    <w:p w14:paraId="091CD9E1" w14:textId="77777777" w:rsidR="002D4A99" w:rsidRPr="00885830" w:rsidRDefault="002D4A99" w:rsidP="002D4A99">
      <w:pPr>
        <w:tabs>
          <w:tab w:val="clear" w:pos="567"/>
        </w:tabs>
        <w:autoSpaceDE w:val="0"/>
        <w:autoSpaceDN w:val="0"/>
        <w:adjustRightInd w:val="0"/>
        <w:spacing w:line="240" w:lineRule="auto"/>
        <w:jc w:val="both"/>
        <w:rPr>
          <w:szCs w:val="22"/>
          <w:u w:val="single"/>
        </w:rPr>
      </w:pPr>
      <w:r w:rsidRPr="00885830">
        <w:rPr>
          <w:szCs w:val="22"/>
          <w:u w:val="single"/>
        </w:rPr>
        <w:t>Механизъм на действие</w:t>
      </w:r>
    </w:p>
    <w:p w14:paraId="32DF5079" w14:textId="77777777" w:rsidR="00132A0E" w:rsidRPr="00991CED" w:rsidRDefault="00132A0E" w:rsidP="002D4A99">
      <w:pPr>
        <w:tabs>
          <w:tab w:val="clear" w:pos="567"/>
        </w:tabs>
        <w:autoSpaceDE w:val="0"/>
        <w:autoSpaceDN w:val="0"/>
        <w:adjustRightInd w:val="0"/>
        <w:spacing w:line="240" w:lineRule="auto"/>
        <w:jc w:val="both"/>
        <w:rPr>
          <w:szCs w:val="22"/>
        </w:rPr>
      </w:pPr>
    </w:p>
    <w:p w14:paraId="0F3F5556" w14:textId="485D98F9" w:rsidR="00F53A41" w:rsidRPr="00991CED" w:rsidRDefault="002D4A99" w:rsidP="002D4A99">
      <w:pPr>
        <w:tabs>
          <w:tab w:val="clear" w:pos="567"/>
        </w:tabs>
        <w:autoSpaceDE w:val="0"/>
        <w:autoSpaceDN w:val="0"/>
        <w:adjustRightInd w:val="0"/>
        <w:spacing w:line="240" w:lineRule="auto"/>
        <w:jc w:val="both"/>
        <w:rPr>
          <w:szCs w:val="22"/>
        </w:rPr>
      </w:pPr>
      <w:r>
        <w:t>Като флуорохинолоново антибактериално средство, левофлоксацин действа върху комплекса ДНК-ДНК-гираза и топоизомераза IV.</w:t>
      </w:r>
    </w:p>
    <w:p w14:paraId="0BB970AE" w14:textId="77777777" w:rsidR="002D4A99" w:rsidRPr="007F5D4C" w:rsidRDefault="002D4A99" w:rsidP="002D4A99">
      <w:pPr>
        <w:tabs>
          <w:tab w:val="clear" w:pos="567"/>
        </w:tabs>
        <w:autoSpaceDE w:val="0"/>
        <w:autoSpaceDN w:val="0"/>
        <w:adjustRightInd w:val="0"/>
        <w:spacing w:line="240" w:lineRule="auto"/>
        <w:jc w:val="both"/>
        <w:rPr>
          <w:szCs w:val="22"/>
          <w:u w:val="single"/>
        </w:rPr>
      </w:pPr>
      <w:r w:rsidRPr="007F5D4C">
        <w:rPr>
          <w:szCs w:val="22"/>
          <w:u w:val="single"/>
        </w:rPr>
        <w:lastRenderedPageBreak/>
        <w:t>Съотношение ФК/ФД</w:t>
      </w:r>
    </w:p>
    <w:p w14:paraId="64246BAC" w14:textId="77777777" w:rsidR="00132A0E" w:rsidRPr="00991CED" w:rsidRDefault="00132A0E" w:rsidP="002D4A99">
      <w:pPr>
        <w:tabs>
          <w:tab w:val="clear" w:pos="567"/>
        </w:tabs>
        <w:autoSpaceDE w:val="0"/>
        <w:autoSpaceDN w:val="0"/>
        <w:adjustRightInd w:val="0"/>
        <w:spacing w:line="240" w:lineRule="auto"/>
        <w:jc w:val="both"/>
        <w:rPr>
          <w:szCs w:val="22"/>
        </w:rPr>
      </w:pPr>
    </w:p>
    <w:p w14:paraId="6443829E" w14:textId="46162D8B" w:rsidR="002D4A99" w:rsidRPr="00991CED" w:rsidRDefault="002D4A99" w:rsidP="002D4A99">
      <w:pPr>
        <w:tabs>
          <w:tab w:val="clear" w:pos="567"/>
        </w:tabs>
        <w:autoSpaceDE w:val="0"/>
        <w:autoSpaceDN w:val="0"/>
        <w:adjustRightInd w:val="0"/>
        <w:spacing w:line="240" w:lineRule="auto"/>
        <w:jc w:val="both"/>
        <w:rPr>
          <w:szCs w:val="22"/>
        </w:rPr>
      </w:pPr>
      <w:r>
        <w:t>Степента на бактерицидна активност на левофлоксацин зависи от съотношението между максималната концентрация в серума (C</w:t>
      </w:r>
      <w:r>
        <w:rPr>
          <w:szCs w:val="22"/>
          <w:vertAlign w:val="subscript"/>
        </w:rPr>
        <w:t>max</w:t>
      </w:r>
      <w:r>
        <w:t>) или площта под кривата (AUC) и минималната инхибираща концентрация (MIC).</w:t>
      </w:r>
    </w:p>
    <w:p w14:paraId="0CF6DF23" w14:textId="77777777" w:rsidR="0057617F" w:rsidRPr="00991CED" w:rsidRDefault="0057617F" w:rsidP="002D4A99">
      <w:pPr>
        <w:tabs>
          <w:tab w:val="clear" w:pos="567"/>
        </w:tabs>
        <w:autoSpaceDE w:val="0"/>
        <w:autoSpaceDN w:val="0"/>
        <w:adjustRightInd w:val="0"/>
        <w:spacing w:line="240" w:lineRule="auto"/>
        <w:jc w:val="both"/>
        <w:rPr>
          <w:szCs w:val="22"/>
        </w:rPr>
      </w:pPr>
    </w:p>
    <w:p w14:paraId="75DAFF3A" w14:textId="77777777" w:rsidR="002D4A99" w:rsidRPr="007F5D4C" w:rsidRDefault="002D4A99" w:rsidP="002D4A99">
      <w:pPr>
        <w:tabs>
          <w:tab w:val="clear" w:pos="567"/>
        </w:tabs>
        <w:autoSpaceDE w:val="0"/>
        <w:autoSpaceDN w:val="0"/>
        <w:adjustRightInd w:val="0"/>
        <w:spacing w:line="240" w:lineRule="auto"/>
        <w:jc w:val="both"/>
        <w:rPr>
          <w:szCs w:val="22"/>
          <w:u w:val="single"/>
        </w:rPr>
      </w:pPr>
      <w:r w:rsidRPr="007F5D4C">
        <w:rPr>
          <w:szCs w:val="22"/>
          <w:u w:val="single"/>
        </w:rPr>
        <w:t>Механизъм на резистентност</w:t>
      </w:r>
    </w:p>
    <w:p w14:paraId="6D7E5924" w14:textId="77777777" w:rsidR="0057617F" w:rsidRPr="00991CED" w:rsidRDefault="0057617F" w:rsidP="002D4A99">
      <w:pPr>
        <w:tabs>
          <w:tab w:val="clear" w:pos="567"/>
        </w:tabs>
        <w:autoSpaceDE w:val="0"/>
        <w:autoSpaceDN w:val="0"/>
        <w:adjustRightInd w:val="0"/>
        <w:spacing w:line="240" w:lineRule="auto"/>
        <w:jc w:val="both"/>
        <w:rPr>
          <w:szCs w:val="22"/>
        </w:rPr>
      </w:pPr>
    </w:p>
    <w:p w14:paraId="232EAAB3" w14:textId="77777777" w:rsidR="002D4A99" w:rsidRPr="00991CED" w:rsidRDefault="002D4A99" w:rsidP="002D4A99">
      <w:pPr>
        <w:tabs>
          <w:tab w:val="clear" w:pos="567"/>
        </w:tabs>
        <w:autoSpaceDE w:val="0"/>
        <w:autoSpaceDN w:val="0"/>
        <w:adjustRightInd w:val="0"/>
        <w:spacing w:line="240" w:lineRule="auto"/>
        <w:jc w:val="both"/>
        <w:rPr>
          <w:szCs w:val="22"/>
        </w:rPr>
      </w:pPr>
      <w:r>
        <w:t>Резистентност към левофлоксацин се придобива чрез поетапен процес на таргетни мутации и на двете топоизомерази тип ІІ,</w:t>
      </w:r>
    </w:p>
    <w:p w14:paraId="505748CD" w14:textId="77777777" w:rsidR="002D4A99" w:rsidRPr="00991CED" w:rsidRDefault="002D4A99" w:rsidP="002D4A99">
      <w:pPr>
        <w:tabs>
          <w:tab w:val="clear" w:pos="567"/>
        </w:tabs>
        <w:autoSpaceDE w:val="0"/>
        <w:autoSpaceDN w:val="0"/>
        <w:adjustRightInd w:val="0"/>
        <w:spacing w:line="240" w:lineRule="auto"/>
        <w:jc w:val="both"/>
        <w:rPr>
          <w:szCs w:val="22"/>
        </w:rPr>
      </w:pPr>
      <w:r>
        <w:t xml:space="preserve">ДНК-гираза и топоизомераза IV. Други механизми на резистентност като пропускливост на бариерите (често при </w:t>
      </w:r>
      <w:r>
        <w:rPr>
          <w:i/>
          <w:szCs w:val="22"/>
        </w:rPr>
        <w:t>Pseudomonas aeruginosa</w:t>
      </w:r>
      <w:r>
        <w:t>) и механизми за ефлукс, също могат да окажат влияние върху чувствителността към левофлоксацин.</w:t>
      </w:r>
    </w:p>
    <w:p w14:paraId="3F90CE05" w14:textId="77777777" w:rsidR="0057617F" w:rsidRPr="00991CED" w:rsidRDefault="0057617F" w:rsidP="002D4A99">
      <w:pPr>
        <w:tabs>
          <w:tab w:val="clear" w:pos="567"/>
        </w:tabs>
        <w:autoSpaceDE w:val="0"/>
        <w:autoSpaceDN w:val="0"/>
        <w:adjustRightInd w:val="0"/>
        <w:spacing w:line="240" w:lineRule="auto"/>
        <w:jc w:val="both"/>
        <w:rPr>
          <w:szCs w:val="22"/>
        </w:rPr>
      </w:pPr>
    </w:p>
    <w:p w14:paraId="313C5EB9" w14:textId="77777777" w:rsidR="002D4A99" w:rsidRPr="00991CED" w:rsidRDefault="002D4A99" w:rsidP="002D4A99">
      <w:pPr>
        <w:tabs>
          <w:tab w:val="clear" w:pos="567"/>
        </w:tabs>
        <w:autoSpaceDE w:val="0"/>
        <w:autoSpaceDN w:val="0"/>
        <w:adjustRightInd w:val="0"/>
        <w:spacing w:line="240" w:lineRule="auto"/>
        <w:jc w:val="both"/>
        <w:rPr>
          <w:szCs w:val="22"/>
        </w:rPr>
      </w:pPr>
      <w:r>
        <w:t>Наблюдавана е кръстосана резистентност между левофлоксацин и други флуорохинолони. Поради механизма на действие като цяло няма кръстосана резистентност между левофлоксацин и другите класове антибактериални средства.</w:t>
      </w:r>
    </w:p>
    <w:p w14:paraId="740AAEEE" w14:textId="77777777" w:rsidR="0057617F" w:rsidRPr="00991CED" w:rsidRDefault="0057617F" w:rsidP="002D4A99">
      <w:pPr>
        <w:tabs>
          <w:tab w:val="clear" w:pos="567"/>
        </w:tabs>
        <w:autoSpaceDE w:val="0"/>
        <w:autoSpaceDN w:val="0"/>
        <w:adjustRightInd w:val="0"/>
        <w:spacing w:line="240" w:lineRule="auto"/>
        <w:jc w:val="both"/>
        <w:rPr>
          <w:szCs w:val="22"/>
        </w:rPr>
      </w:pPr>
    </w:p>
    <w:p w14:paraId="58E5C47D" w14:textId="77777777" w:rsidR="002D4A99" w:rsidRPr="007F5D4C" w:rsidRDefault="002D4A99" w:rsidP="002D4A99">
      <w:pPr>
        <w:tabs>
          <w:tab w:val="clear" w:pos="567"/>
        </w:tabs>
        <w:autoSpaceDE w:val="0"/>
        <w:autoSpaceDN w:val="0"/>
        <w:adjustRightInd w:val="0"/>
        <w:spacing w:line="240" w:lineRule="auto"/>
        <w:jc w:val="both"/>
        <w:rPr>
          <w:szCs w:val="22"/>
          <w:u w:val="single"/>
        </w:rPr>
      </w:pPr>
      <w:r w:rsidRPr="007F5D4C">
        <w:rPr>
          <w:szCs w:val="22"/>
          <w:u w:val="single"/>
        </w:rPr>
        <w:t>Гранични стойности</w:t>
      </w:r>
    </w:p>
    <w:p w14:paraId="01AFDC23" w14:textId="77777777" w:rsidR="00877CCC" w:rsidRPr="00991CED" w:rsidRDefault="00877CCC" w:rsidP="002D4A99">
      <w:pPr>
        <w:tabs>
          <w:tab w:val="clear" w:pos="567"/>
        </w:tabs>
        <w:autoSpaceDE w:val="0"/>
        <w:autoSpaceDN w:val="0"/>
        <w:adjustRightInd w:val="0"/>
        <w:spacing w:line="240" w:lineRule="auto"/>
        <w:jc w:val="both"/>
        <w:rPr>
          <w:szCs w:val="22"/>
        </w:rPr>
      </w:pPr>
    </w:p>
    <w:p w14:paraId="529CCD55" w14:textId="5BDE0E01" w:rsidR="002D4A99" w:rsidRPr="00991CED" w:rsidRDefault="002D4A99" w:rsidP="002D4A99">
      <w:pPr>
        <w:tabs>
          <w:tab w:val="clear" w:pos="567"/>
        </w:tabs>
        <w:autoSpaceDE w:val="0"/>
        <w:autoSpaceDN w:val="0"/>
        <w:adjustRightInd w:val="0"/>
        <w:spacing w:line="240" w:lineRule="auto"/>
        <w:jc w:val="both"/>
        <w:rPr>
          <w:szCs w:val="22"/>
        </w:rPr>
      </w:pPr>
      <w:r>
        <w:t>Препоръките на Европейския комитет по микробна лекарствена чувствителност (European Committee on Antimicrobial Susceptibility Testing, EUCAST) за граничните стойности на MIC за левофлоксацин, разделящи чувствителните от интермедиерно чувствителните микроорганизми и интермедиерно чувствителните от резистентните микроорганизми, са представени по-долу в таблицата за тестване на MIC (mg/</w:t>
      </w:r>
      <w:r w:rsidR="003A6586">
        <w:rPr>
          <w:lang w:val="en-US"/>
        </w:rPr>
        <w:t>L</w:t>
      </w:r>
      <w:r>
        <w:t>).</w:t>
      </w:r>
    </w:p>
    <w:p w14:paraId="647E0C92" w14:textId="77777777" w:rsidR="00FB0ED9" w:rsidRPr="00991CED" w:rsidRDefault="00FB0ED9" w:rsidP="002D4A99">
      <w:pPr>
        <w:tabs>
          <w:tab w:val="clear" w:pos="567"/>
        </w:tabs>
        <w:autoSpaceDE w:val="0"/>
        <w:autoSpaceDN w:val="0"/>
        <w:adjustRightInd w:val="0"/>
        <w:spacing w:line="240" w:lineRule="auto"/>
        <w:jc w:val="both"/>
        <w:rPr>
          <w:szCs w:val="22"/>
        </w:rPr>
      </w:pPr>
    </w:p>
    <w:p w14:paraId="52B533F3" w14:textId="32E38613" w:rsidR="00FB0ED9" w:rsidRPr="00991CED" w:rsidRDefault="002D4A99" w:rsidP="002D4A99">
      <w:pPr>
        <w:tabs>
          <w:tab w:val="clear" w:pos="567"/>
        </w:tabs>
        <w:autoSpaceDE w:val="0"/>
        <w:autoSpaceDN w:val="0"/>
        <w:adjustRightInd w:val="0"/>
        <w:spacing w:line="240" w:lineRule="auto"/>
        <w:jc w:val="both"/>
        <w:rPr>
          <w:szCs w:val="22"/>
        </w:rPr>
      </w:pPr>
      <w:r>
        <w:t>Клинични гранични стойности на EUCASТ за MIC за левофлоксацин (</w:t>
      </w:r>
      <w:r w:rsidR="00E72659">
        <w:t>В</w:t>
      </w:r>
      <w:r>
        <w:t>ерсия </w:t>
      </w:r>
      <w:r w:rsidR="00E72659">
        <w:t>10</w:t>
      </w:r>
      <w:r>
        <w:t xml:space="preserve">.0, </w:t>
      </w:r>
      <w:r w:rsidR="00E72659">
        <w:t>2020-01-01</w:t>
      </w:r>
      <w:r>
        <w:t>):</w:t>
      </w:r>
    </w:p>
    <w:p w14:paraId="0C96D53C" w14:textId="77777777" w:rsidR="009521B7" w:rsidRPr="00991CED" w:rsidRDefault="009521B7" w:rsidP="002D4A99">
      <w:pPr>
        <w:tabs>
          <w:tab w:val="clear" w:pos="567"/>
        </w:tabs>
        <w:autoSpaceDE w:val="0"/>
        <w:autoSpaceDN w:val="0"/>
        <w:adjustRightInd w:val="0"/>
        <w:spacing w:line="240" w:lineRule="auto"/>
        <w:jc w:val="both"/>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5"/>
        <w:gridCol w:w="3107"/>
      </w:tblGrid>
      <w:tr w:rsidR="008E558A" w:rsidRPr="00991CED" w14:paraId="54BAC701" w14:textId="77777777" w:rsidTr="00137770">
        <w:tc>
          <w:tcPr>
            <w:tcW w:w="3191" w:type="dxa"/>
            <w:shd w:val="clear" w:color="auto" w:fill="auto"/>
          </w:tcPr>
          <w:p w14:paraId="117F1E1D" w14:textId="77777777" w:rsidR="008E558A" w:rsidRPr="00991CED" w:rsidRDefault="008E558A" w:rsidP="00137770">
            <w:pPr>
              <w:tabs>
                <w:tab w:val="clear" w:pos="567"/>
              </w:tabs>
              <w:autoSpaceDE w:val="0"/>
              <w:autoSpaceDN w:val="0"/>
              <w:adjustRightInd w:val="0"/>
              <w:spacing w:line="240" w:lineRule="auto"/>
              <w:jc w:val="both"/>
              <w:rPr>
                <w:rFonts w:eastAsia="Calibri"/>
                <w:b/>
                <w:szCs w:val="22"/>
              </w:rPr>
            </w:pPr>
            <w:r>
              <w:rPr>
                <w:b/>
                <w:szCs w:val="22"/>
              </w:rPr>
              <w:t>Патоген</w:t>
            </w:r>
          </w:p>
        </w:tc>
        <w:tc>
          <w:tcPr>
            <w:tcW w:w="3191" w:type="dxa"/>
            <w:shd w:val="clear" w:color="auto" w:fill="auto"/>
          </w:tcPr>
          <w:p w14:paraId="54B304AB" w14:textId="77777777" w:rsidR="008E558A" w:rsidRPr="00991CED" w:rsidRDefault="008E558A" w:rsidP="00137770">
            <w:pPr>
              <w:tabs>
                <w:tab w:val="clear" w:pos="567"/>
              </w:tabs>
              <w:autoSpaceDE w:val="0"/>
              <w:autoSpaceDN w:val="0"/>
              <w:adjustRightInd w:val="0"/>
              <w:spacing w:line="240" w:lineRule="auto"/>
              <w:jc w:val="both"/>
              <w:rPr>
                <w:rFonts w:eastAsia="Calibri"/>
                <w:b/>
                <w:szCs w:val="22"/>
              </w:rPr>
            </w:pPr>
            <w:r>
              <w:rPr>
                <w:b/>
                <w:szCs w:val="22"/>
              </w:rPr>
              <w:t>Чувствителен</w:t>
            </w:r>
          </w:p>
        </w:tc>
        <w:tc>
          <w:tcPr>
            <w:tcW w:w="3192" w:type="dxa"/>
            <w:shd w:val="clear" w:color="auto" w:fill="auto"/>
          </w:tcPr>
          <w:p w14:paraId="72C6EE8F" w14:textId="77777777" w:rsidR="008E558A" w:rsidRPr="00991CED" w:rsidRDefault="009521B7" w:rsidP="00137770">
            <w:pPr>
              <w:tabs>
                <w:tab w:val="clear" w:pos="567"/>
              </w:tabs>
              <w:autoSpaceDE w:val="0"/>
              <w:autoSpaceDN w:val="0"/>
              <w:adjustRightInd w:val="0"/>
              <w:spacing w:line="240" w:lineRule="auto"/>
              <w:jc w:val="both"/>
              <w:rPr>
                <w:rFonts w:eastAsia="Calibri"/>
                <w:b/>
                <w:szCs w:val="22"/>
              </w:rPr>
            </w:pPr>
            <w:r>
              <w:rPr>
                <w:b/>
                <w:szCs w:val="22"/>
              </w:rPr>
              <w:t>Резистентен</w:t>
            </w:r>
          </w:p>
        </w:tc>
      </w:tr>
      <w:tr w:rsidR="008E558A" w:rsidRPr="00991CED" w14:paraId="3345A168" w14:textId="77777777" w:rsidTr="00137770">
        <w:tc>
          <w:tcPr>
            <w:tcW w:w="3191" w:type="dxa"/>
            <w:shd w:val="clear" w:color="auto" w:fill="auto"/>
          </w:tcPr>
          <w:p w14:paraId="1C71504D" w14:textId="77777777" w:rsidR="008E558A" w:rsidRPr="00991CED" w:rsidRDefault="00772956" w:rsidP="00137770">
            <w:pPr>
              <w:tabs>
                <w:tab w:val="clear" w:pos="567"/>
              </w:tabs>
              <w:autoSpaceDE w:val="0"/>
              <w:autoSpaceDN w:val="0"/>
              <w:adjustRightInd w:val="0"/>
              <w:spacing w:line="240" w:lineRule="auto"/>
              <w:jc w:val="both"/>
              <w:rPr>
                <w:rFonts w:eastAsia="Calibri"/>
                <w:szCs w:val="22"/>
              </w:rPr>
            </w:pPr>
            <w:r>
              <w:t>Enterobacteriacae</w:t>
            </w:r>
          </w:p>
        </w:tc>
        <w:tc>
          <w:tcPr>
            <w:tcW w:w="3191" w:type="dxa"/>
            <w:shd w:val="clear" w:color="auto" w:fill="auto"/>
          </w:tcPr>
          <w:p w14:paraId="422252C5" w14:textId="2DC1205A" w:rsidR="008E558A" w:rsidRPr="00885830" w:rsidRDefault="00976075" w:rsidP="003A6586">
            <w:pPr>
              <w:tabs>
                <w:tab w:val="clear" w:pos="567"/>
              </w:tabs>
              <w:autoSpaceDE w:val="0"/>
              <w:autoSpaceDN w:val="0"/>
              <w:adjustRightInd w:val="0"/>
              <w:spacing w:line="240" w:lineRule="auto"/>
              <w:jc w:val="both"/>
              <w:rPr>
                <w:rFonts w:eastAsia="Calibri"/>
                <w:szCs w:val="22"/>
                <w:lang w:val="en-US"/>
              </w:rPr>
            </w:pPr>
            <w:r>
              <w:t>≤ </w:t>
            </w:r>
            <w:r w:rsidR="0021571D">
              <w:rPr>
                <w:lang w:val="en-US"/>
              </w:rPr>
              <w:t>0</w:t>
            </w:r>
            <w:r w:rsidR="00E72659">
              <w:t>,5</w:t>
            </w:r>
            <w:r>
              <w:t> mg/</w:t>
            </w:r>
            <w:r w:rsidR="003A6586">
              <w:rPr>
                <w:lang w:val="en-US"/>
              </w:rPr>
              <w:t>L</w:t>
            </w:r>
          </w:p>
        </w:tc>
        <w:tc>
          <w:tcPr>
            <w:tcW w:w="3192" w:type="dxa"/>
            <w:shd w:val="clear" w:color="auto" w:fill="auto"/>
          </w:tcPr>
          <w:p w14:paraId="39CE1D45" w14:textId="6502DF4E" w:rsidR="008E558A" w:rsidRPr="00991CED" w:rsidRDefault="008F5BFC" w:rsidP="00137770">
            <w:pPr>
              <w:tabs>
                <w:tab w:val="clear" w:pos="567"/>
              </w:tabs>
              <w:autoSpaceDE w:val="0"/>
              <w:autoSpaceDN w:val="0"/>
              <w:adjustRightInd w:val="0"/>
              <w:spacing w:line="240" w:lineRule="auto"/>
              <w:jc w:val="both"/>
              <w:rPr>
                <w:rFonts w:eastAsia="Calibri"/>
                <w:szCs w:val="22"/>
              </w:rPr>
            </w:pPr>
            <w:r>
              <w:t>&gt; </w:t>
            </w:r>
            <w:r w:rsidR="00E72659">
              <w:t>1</w:t>
            </w:r>
            <w:r>
              <w:t> mg/</w:t>
            </w:r>
            <w:r w:rsidR="003A6586">
              <w:rPr>
                <w:lang w:val="en-US"/>
              </w:rPr>
              <w:t>L</w:t>
            </w:r>
          </w:p>
        </w:tc>
      </w:tr>
      <w:tr w:rsidR="008E558A" w:rsidRPr="00991CED" w14:paraId="039A5385" w14:textId="77777777" w:rsidTr="00137770">
        <w:tc>
          <w:tcPr>
            <w:tcW w:w="3191" w:type="dxa"/>
            <w:shd w:val="clear" w:color="auto" w:fill="auto"/>
          </w:tcPr>
          <w:p w14:paraId="114DD53F" w14:textId="77777777" w:rsidR="008E558A" w:rsidRPr="00991CED" w:rsidRDefault="00772956" w:rsidP="00137770">
            <w:pPr>
              <w:tabs>
                <w:tab w:val="clear" w:pos="567"/>
              </w:tabs>
              <w:autoSpaceDE w:val="0"/>
              <w:autoSpaceDN w:val="0"/>
              <w:adjustRightInd w:val="0"/>
              <w:spacing w:line="240" w:lineRule="auto"/>
              <w:jc w:val="both"/>
              <w:rPr>
                <w:rFonts w:eastAsia="Calibri"/>
                <w:szCs w:val="22"/>
              </w:rPr>
            </w:pPr>
            <w:r>
              <w:rPr>
                <w:i/>
                <w:szCs w:val="22"/>
              </w:rPr>
              <w:t>Pseudomonas spp</w:t>
            </w:r>
            <w:r>
              <w:t>.</w:t>
            </w:r>
          </w:p>
        </w:tc>
        <w:tc>
          <w:tcPr>
            <w:tcW w:w="3191" w:type="dxa"/>
            <w:shd w:val="clear" w:color="auto" w:fill="auto"/>
          </w:tcPr>
          <w:p w14:paraId="71FA89C8" w14:textId="5DC4CDED" w:rsidR="008E558A" w:rsidRPr="00991CED" w:rsidRDefault="00976075" w:rsidP="00137770">
            <w:pPr>
              <w:tabs>
                <w:tab w:val="clear" w:pos="567"/>
              </w:tabs>
              <w:autoSpaceDE w:val="0"/>
              <w:autoSpaceDN w:val="0"/>
              <w:adjustRightInd w:val="0"/>
              <w:spacing w:line="240" w:lineRule="auto"/>
              <w:jc w:val="both"/>
              <w:rPr>
                <w:rFonts w:eastAsia="Calibri"/>
                <w:szCs w:val="22"/>
              </w:rPr>
            </w:pPr>
            <w:r>
              <w:t>≤ </w:t>
            </w:r>
            <w:r w:rsidR="00E72659">
              <w:t>0,00</w:t>
            </w:r>
            <w:r>
              <w:t>1 mg/</w:t>
            </w:r>
            <w:r w:rsidR="003A6586">
              <w:rPr>
                <w:lang w:val="en-US"/>
              </w:rPr>
              <w:t>L</w:t>
            </w:r>
          </w:p>
        </w:tc>
        <w:tc>
          <w:tcPr>
            <w:tcW w:w="3192" w:type="dxa"/>
            <w:shd w:val="clear" w:color="auto" w:fill="auto"/>
          </w:tcPr>
          <w:p w14:paraId="3384AAD4" w14:textId="3A3D9F88" w:rsidR="008E558A" w:rsidRPr="00991CED" w:rsidRDefault="0055501D" w:rsidP="00E72659">
            <w:pPr>
              <w:tabs>
                <w:tab w:val="clear" w:pos="567"/>
              </w:tabs>
              <w:autoSpaceDE w:val="0"/>
              <w:autoSpaceDN w:val="0"/>
              <w:adjustRightInd w:val="0"/>
              <w:spacing w:line="240" w:lineRule="auto"/>
              <w:jc w:val="both"/>
              <w:rPr>
                <w:rFonts w:eastAsia="Calibri"/>
                <w:szCs w:val="22"/>
              </w:rPr>
            </w:pPr>
            <w:r>
              <w:t>&gt; </w:t>
            </w:r>
            <w:r w:rsidR="00E72659">
              <w:t>1 </w:t>
            </w:r>
            <w:r>
              <w:t>mg/</w:t>
            </w:r>
            <w:r w:rsidR="003A6586">
              <w:rPr>
                <w:lang w:val="en-US"/>
              </w:rPr>
              <w:t>L</w:t>
            </w:r>
          </w:p>
        </w:tc>
      </w:tr>
      <w:tr w:rsidR="008E558A" w:rsidRPr="00991CED" w14:paraId="235FBED0" w14:textId="77777777" w:rsidTr="00137770">
        <w:tc>
          <w:tcPr>
            <w:tcW w:w="3191" w:type="dxa"/>
            <w:shd w:val="clear" w:color="auto" w:fill="auto"/>
          </w:tcPr>
          <w:p w14:paraId="5282DA40" w14:textId="77777777" w:rsidR="008E558A" w:rsidRPr="00991CED" w:rsidRDefault="00772956" w:rsidP="00137770">
            <w:pPr>
              <w:tabs>
                <w:tab w:val="clear" w:pos="567"/>
              </w:tabs>
              <w:autoSpaceDE w:val="0"/>
              <w:autoSpaceDN w:val="0"/>
              <w:adjustRightInd w:val="0"/>
              <w:spacing w:line="240" w:lineRule="auto"/>
              <w:jc w:val="both"/>
              <w:rPr>
                <w:rFonts w:eastAsia="Calibri"/>
                <w:i/>
                <w:szCs w:val="22"/>
              </w:rPr>
            </w:pPr>
            <w:r>
              <w:rPr>
                <w:i/>
                <w:szCs w:val="22"/>
              </w:rPr>
              <w:t>Acinetobacter spp.</w:t>
            </w:r>
          </w:p>
        </w:tc>
        <w:tc>
          <w:tcPr>
            <w:tcW w:w="3191" w:type="dxa"/>
            <w:shd w:val="clear" w:color="auto" w:fill="auto"/>
          </w:tcPr>
          <w:p w14:paraId="00FBA74A" w14:textId="691E0955" w:rsidR="008E558A" w:rsidRPr="00991CED" w:rsidRDefault="00976075" w:rsidP="00137770">
            <w:pPr>
              <w:tabs>
                <w:tab w:val="clear" w:pos="567"/>
              </w:tabs>
              <w:autoSpaceDE w:val="0"/>
              <w:autoSpaceDN w:val="0"/>
              <w:adjustRightInd w:val="0"/>
              <w:spacing w:line="240" w:lineRule="auto"/>
              <w:jc w:val="both"/>
              <w:rPr>
                <w:rFonts w:eastAsia="Calibri"/>
                <w:szCs w:val="22"/>
              </w:rPr>
            </w:pPr>
            <w:r>
              <w:t>≤ </w:t>
            </w:r>
            <w:r w:rsidR="00E72659">
              <w:t>0,5</w:t>
            </w:r>
            <w:r>
              <w:t> mg/</w:t>
            </w:r>
            <w:r w:rsidR="003A6586">
              <w:rPr>
                <w:lang w:val="en-US"/>
              </w:rPr>
              <w:t>L</w:t>
            </w:r>
          </w:p>
        </w:tc>
        <w:tc>
          <w:tcPr>
            <w:tcW w:w="3192" w:type="dxa"/>
            <w:shd w:val="clear" w:color="auto" w:fill="auto"/>
          </w:tcPr>
          <w:p w14:paraId="514D73C9" w14:textId="4058F56B" w:rsidR="008E558A" w:rsidRPr="00991CED" w:rsidRDefault="0055501D" w:rsidP="00E72659">
            <w:pPr>
              <w:tabs>
                <w:tab w:val="clear" w:pos="567"/>
              </w:tabs>
              <w:autoSpaceDE w:val="0"/>
              <w:autoSpaceDN w:val="0"/>
              <w:adjustRightInd w:val="0"/>
              <w:spacing w:line="240" w:lineRule="auto"/>
              <w:jc w:val="both"/>
              <w:rPr>
                <w:rFonts w:eastAsia="Calibri"/>
                <w:szCs w:val="22"/>
              </w:rPr>
            </w:pPr>
            <w:r>
              <w:t>&gt; </w:t>
            </w:r>
            <w:r w:rsidR="00E72659">
              <w:t>1 </w:t>
            </w:r>
            <w:r>
              <w:t>mg/</w:t>
            </w:r>
            <w:r w:rsidR="003A6586">
              <w:rPr>
                <w:lang w:val="en-US"/>
              </w:rPr>
              <w:t>L</w:t>
            </w:r>
          </w:p>
        </w:tc>
      </w:tr>
      <w:tr w:rsidR="008E558A" w:rsidRPr="00991CED" w14:paraId="2D019D2A" w14:textId="77777777" w:rsidTr="00137770">
        <w:tc>
          <w:tcPr>
            <w:tcW w:w="3191" w:type="dxa"/>
            <w:shd w:val="clear" w:color="auto" w:fill="auto"/>
          </w:tcPr>
          <w:p w14:paraId="1F45EC56" w14:textId="2FCBE728" w:rsidR="008E558A" w:rsidRDefault="00772956" w:rsidP="00E72659">
            <w:pPr>
              <w:tabs>
                <w:tab w:val="clear" w:pos="567"/>
              </w:tabs>
              <w:autoSpaceDE w:val="0"/>
              <w:autoSpaceDN w:val="0"/>
              <w:adjustRightInd w:val="0"/>
              <w:spacing w:line="240" w:lineRule="auto"/>
              <w:jc w:val="both"/>
              <w:rPr>
                <w:i/>
                <w:szCs w:val="22"/>
                <w:lang w:val="en-US"/>
              </w:rPr>
            </w:pPr>
            <w:r>
              <w:rPr>
                <w:i/>
                <w:szCs w:val="22"/>
              </w:rPr>
              <w:t xml:space="preserve">Staphylococcus </w:t>
            </w:r>
            <w:r w:rsidR="00E72659">
              <w:rPr>
                <w:i/>
                <w:szCs w:val="22"/>
                <w:lang w:val="en-US"/>
              </w:rPr>
              <w:t>aureus</w:t>
            </w:r>
          </w:p>
          <w:p w14:paraId="2B27F9DF" w14:textId="060943D8" w:rsidR="00E72659" w:rsidRPr="007F5D4C" w:rsidRDefault="00E72659" w:rsidP="00E72659">
            <w:pPr>
              <w:tabs>
                <w:tab w:val="clear" w:pos="567"/>
              </w:tabs>
              <w:autoSpaceDE w:val="0"/>
              <w:autoSpaceDN w:val="0"/>
              <w:adjustRightInd w:val="0"/>
              <w:spacing w:line="240" w:lineRule="auto"/>
              <w:jc w:val="both"/>
              <w:rPr>
                <w:rFonts w:eastAsia="Calibri"/>
                <w:i/>
                <w:szCs w:val="22"/>
                <w:lang w:val="en-US"/>
              </w:rPr>
            </w:pPr>
            <w:r>
              <w:rPr>
                <w:i/>
                <w:szCs w:val="22"/>
                <w:lang w:val="en-US"/>
              </w:rPr>
              <w:t>Coagulase-negative staphylococci</w:t>
            </w:r>
          </w:p>
        </w:tc>
        <w:tc>
          <w:tcPr>
            <w:tcW w:w="3191" w:type="dxa"/>
            <w:shd w:val="clear" w:color="auto" w:fill="auto"/>
          </w:tcPr>
          <w:p w14:paraId="37A99E5A" w14:textId="7E031C87" w:rsidR="008E558A" w:rsidRPr="00991CED" w:rsidRDefault="00976075" w:rsidP="00167009">
            <w:pPr>
              <w:tabs>
                <w:tab w:val="clear" w:pos="567"/>
              </w:tabs>
              <w:autoSpaceDE w:val="0"/>
              <w:autoSpaceDN w:val="0"/>
              <w:adjustRightInd w:val="0"/>
              <w:spacing w:line="240" w:lineRule="auto"/>
              <w:jc w:val="both"/>
              <w:rPr>
                <w:rFonts w:eastAsia="Calibri"/>
                <w:szCs w:val="22"/>
              </w:rPr>
            </w:pPr>
            <w:r>
              <w:t>≤ </w:t>
            </w:r>
            <w:r w:rsidR="00E72659">
              <w:t>0,001</w:t>
            </w:r>
            <w:r w:rsidR="00167009">
              <w:rPr>
                <w:lang w:val="en-US"/>
              </w:rPr>
              <w:t xml:space="preserve"> </w:t>
            </w:r>
            <w:bookmarkStart w:id="0" w:name="_GoBack"/>
            <w:bookmarkEnd w:id="0"/>
            <w:r>
              <w:t>mg/</w:t>
            </w:r>
            <w:r w:rsidR="003A6586">
              <w:rPr>
                <w:lang w:val="en-US"/>
              </w:rPr>
              <w:t>L</w:t>
            </w:r>
          </w:p>
        </w:tc>
        <w:tc>
          <w:tcPr>
            <w:tcW w:w="3192" w:type="dxa"/>
            <w:shd w:val="clear" w:color="auto" w:fill="auto"/>
          </w:tcPr>
          <w:p w14:paraId="012CC155" w14:textId="3C6FC8D7" w:rsidR="008E558A" w:rsidRPr="00991CED" w:rsidRDefault="0055501D" w:rsidP="00E72659">
            <w:pPr>
              <w:tabs>
                <w:tab w:val="clear" w:pos="567"/>
              </w:tabs>
              <w:autoSpaceDE w:val="0"/>
              <w:autoSpaceDN w:val="0"/>
              <w:adjustRightInd w:val="0"/>
              <w:spacing w:line="240" w:lineRule="auto"/>
              <w:jc w:val="both"/>
              <w:rPr>
                <w:rFonts w:eastAsia="Calibri"/>
                <w:szCs w:val="22"/>
              </w:rPr>
            </w:pPr>
            <w:r>
              <w:t>&gt; </w:t>
            </w:r>
            <w:r w:rsidR="00E72659">
              <w:t>1 </w:t>
            </w:r>
            <w:r>
              <w:t>mg/</w:t>
            </w:r>
            <w:r w:rsidR="003A6586">
              <w:rPr>
                <w:lang w:val="en-US"/>
              </w:rPr>
              <w:t>L</w:t>
            </w:r>
          </w:p>
        </w:tc>
      </w:tr>
      <w:tr w:rsidR="00E72659" w:rsidRPr="00991CED" w14:paraId="705FC01F" w14:textId="77777777" w:rsidTr="00137770">
        <w:tc>
          <w:tcPr>
            <w:tcW w:w="3191" w:type="dxa"/>
            <w:shd w:val="clear" w:color="auto" w:fill="auto"/>
          </w:tcPr>
          <w:p w14:paraId="1DEC58D7" w14:textId="20B6428B" w:rsidR="00E72659" w:rsidRDefault="00E72659" w:rsidP="00E72659">
            <w:pPr>
              <w:tabs>
                <w:tab w:val="clear" w:pos="567"/>
              </w:tabs>
              <w:autoSpaceDE w:val="0"/>
              <w:autoSpaceDN w:val="0"/>
              <w:adjustRightInd w:val="0"/>
              <w:spacing w:line="240" w:lineRule="auto"/>
              <w:jc w:val="both"/>
              <w:rPr>
                <w:i/>
                <w:szCs w:val="22"/>
              </w:rPr>
            </w:pPr>
            <w:r w:rsidRPr="00E72659">
              <w:rPr>
                <w:rFonts w:eastAsia="Calibri"/>
                <w:i/>
                <w:iCs/>
                <w:szCs w:val="22"/>
                <w:lang w:val="en-US"/>
              </w:rPr>
              <w:t xml:space="preserve">Enterococcus </w:t>
            </w:r>
            <w:r w:rsidRPr="00E72659">
              <w:rPr>
                <w:rFonts w:eastAsia="Calibri"/>
                <w:i/>
                <w:szCs w:val="22"/>
                <w:lang w:val="en-US"/>
              </w:rPr>
              <w:t>spp</w:t>
            </w:r>
            <w:r w:rsidRPr="00E72659">
              <w:rPr>
                <w:rFonts w:eastAsia="Calibri"/>
                <w:i/>
                <w:iCs/>
                <w:szCs w:val="22"/>
                <w:lang w:val="en-US"/>
              </w:rPr>
              <w:t>.</w:t>
            </w:r>
            <w:r w:rsidRPr="00E72659">
              <w:rPr>
                <w:rFonts w:eastAsia="Calibri"/>
                <w:i/>
                <w:szCs w:val="22"/>
                <w:vertAlign w:val="superscript"/>
                <w:lang w:val="en-US"/>
              </w:rPr>
              <w:t>1</w:t>
            </w:r>
          </w:p>
        </w:tc>
        <w:tc>
          <w:tcPr>
            <w:tcW w:w="3191" w:type="dxa"/>
            <w:shd w:val="clear" w:color="auto" w:fill="auto"/>
          </w:tcPr>
          <w:p w14:paraId="0F18F7F7" w14:textId="6E9D658F" w:rsidR="00E72659" w:rsidRDefault="00E72659" w:rsidP="00137770">
            <w:pPr>
              <w:tabs>
                <w:tab w:val="clear" w:pos="567"/>
              </w:tabs>
              <w:autoSpaceDE w:val="0"/>
              <w:autoSpaceDN w:val="0"/>
              <w:adjustRightInd w:val="0"/>
              <w:spacing w:line="240" w:lineRule="auto"/>
              <w:jc w:val="both"/>
            </w:pPr>
            <w:r>
              <w:t>≤ 4</w:t>
            </w:r>
            <w:r w:rsidRPr="00E72659">
              <w:t xml:space="preserve"> mg/L</w:t>
            </w:r>
          </w:p>
        </w:tc>
        <w:tc>
          <w:tcPr>
            <w:tcW w:w="3192" w:type="dxa"/>
            <w:shd w:val="clear" w:color="auto" w:fill="auto"/>
          </w:tcPr>
          <w:p w14:paraId="4BED79A0" w14:textId="336DC56A" w:rsidR="00E72659" w:rsidRDefault="00E72659" w:rsidP="00E72659">
            <w:pPr>
              <w:tabs>
                <w:tab w:val="clear" w:pos="567"/>
              </w:tabs>
              <w:autoSpaceDE w:val="0"/>
              <w:autoSpaceDN w:val="0"/>
              <w:adjustRightInd w:val="0"/>
              <w:spacing w:line="240" w:lineRule="auto"/>
              <w:jc w:val="both"/>
            </w:pPr>
            <w:r w:rsidRPr="00E72659">
              <w:t xml:space="preserve">&gt; </w:t>
            </w:r>
            <w:r>
              <w:rPr>
                <w:lang w:val="en-US"/>
              </w:rPr>
              <w:t>4</w:t>
            </w:r>
            <w:r w:rsidRPr="00E72659">
              <w:t xml:space="preserve"> mg/L</w:t>
            </w:r>
          </w:p>
        </w:tc>
      </w:tr>
      <w:tr w:rsidR="008E558A" w:rsidRPr="00991CED" w14:paraId="7522542D" w14:textId="77777777" w:rsidTr="00137770">
        <w:tc>
          <w:tcPr>
            <w:tcW w:w="3191" w:type="dxa"/>
            <w:shd w:val="clear" w:color="auto" w:fill="auto"/>
          </w:tcPr>
          <w:p w14:paraId="31F73272" w14:textId="2778BBBF" w:rsidR="008E558A" w:rsidRPr="00991CED" w:rsidRDefault="00772956" w:rsidP="00137770">
            <w:pPr>
              <w:tabs>
                <w:tab w:val="clear" w:pos="567"/>
              </w:tabs>
              <w:autoSpaceDE w:val="0"/>
              <w:autoSpaceDN w:val="0"/>
              <w:adjustRightInd w:val="0"/>
              <w:spacing w:line="240" w:lineRule="auto"/>
              <w:jc w:val="both"/>
              <w:rPr>
                <w:rFonts w:eastAsia="Calibri"/>
                <w:szCs w:val="22"/>
              </w:rPr>
            </w:pPr>
            <w:r>
              <w:rPr>
                <w:i/>
                <w:szCs w:val="22"/>
              </w:rPr>
              <w:t>S</w:t>
            </w:r>
            <w:proofErr w:type="spellStart"/>
            <w:r w:rsidR="00E72659">
              <w:rPr>
                <w:i/>
                <w:szCs w:val="22"/>
                <w:lang w:val="en-US"/>
              </w:rPr>
              <w:t>treptococcus</w:t>
            </w:r>
            <w:proofErr w:type="spellEnd"/>
            <w:r w:rsidR="00E72659">
              <w:rPr>
                <w:i/>
                <w:szCs w:val="22"/>
                <w:lang w:val="en-US"/>
              </w:rPr>
              <w:t xml:space="preserve"> </w:t>
            </w:r>
            <w:r>
              <w:rPr>
                <w:i/>
                <w:szCs w:val="22"/>
              </w:rPr>
              <w:t xml:space="preserve">pneumoniae </w:t>
            </w:r>
            <w:r>
              <w:rPr>
                <w:i/>
                <w:szCs w:val="22"/>
                <w:vertAlign w:val="superscript"/>
              </w:rPr>
              <w:t>1</w:t>
            </w:r>
          </w:p>
        </w:tc>
        <w:tc>
          <w:tcPr>
            <w:tcW w:w="3191" w:type="dxa"/>
            <w:shd w:val="clear" w:color="auto" w:fill="auto"/>
          </w:tcPr>
          <w:p w14:paraId="73570AC0" w14:textId="5DC7477B" w:rsidR="008E558A" w:rsidRPr="00991CED" w:rsidRDefault="00976075" w:rsidP="00E72659">
            <w:pPr>
              <w:tabs>
                <w:tab w:val="clear" w:pos="567"/>
              </w:tabs>
              <w:autoSpaceDE w:val="0"/>
              <w:autoSpaceDN w:val="0"/>
              <w:adjustRightInd w:val="0"/>
              <w:spacing w:line="240" w:lineRule="auto"/>
              <w:jc w:val="both"/>
              <w:rPr>
                <w:rFonts w:eastAsia="Calibri"/>
                <w:szCs w:val="22"/>
              </w:rPr>
            </w:pPr>
            <w:r>
              <w:t>≤ </w:t>
            </w:r>
            <w:r w:rsidR="00E72659">
              <w:rPr>
                <w:lang w:val="en-US"/>
              </w:rPr>
              <w:t>0,001</w:t>
            </w:r>
            <w:r w:rsidR="00E72659">
              <w:t xml:space="preserve"> </w:t>
            </w:r>
            <w:r>
              <w:t>mg/</w:t>
            </w:r>
            <w:r w:rsidR="003A6586">
              <w:rPr>
                <w:lang w:val="en-US"/>
              </w:rPr>
              <w:t>L</w:t>
            </w:r>
          </w:p>
        </w:tc>
        <w:tc>
          <w:tcPr>
            <w:tcW w:w="3192" w:type="dxa"/>
            <w:shd w:val="clear" w:color="auto" w:fill="auto"/>
          </w:tcPr>
          <w:p w14:paraId="6D446D4F" w14:textId="57B9FA3E" w:rsidR="008E558A" w:rsidRPr="00885830" w:rsidRDefault="0055501D" w:rsidP="003A6586">
            <w:pPr>
              <w:tabs>
                <w:tab w:val="clear" w:pos="567"/>
              </w:tabs>
              <w:autoSpaceDE w:val="0"/>
              <w:autoSpaceDN w:val="0"/>
              <w:adjustRightInd w:val="0"/>
              <w:spacing w:line="240" w:lineRule="auto"/>
              <w:jc w:val="both"/>
              <w:rPr>
                <w:rFonts w:eastAsia="Calibri"/>
                <w:szCs w:val="22"/>
                <w:lang w:val="en-US"/>
              </w:rPr>
            </w:pPr>
            <w:r>
              <w:t>&gt; 2 mg/</w:t>
            </w:r>
            <w:r w:rsidR="003A6586">
              <w:rPr>
                <w:lang w:val="en-US"/>
              </w:rPr>
              <w:t>L</w:t>
            </w:r>
          </w:p>
        </w:tc>
      </w:tr>
      <w:tr w:rsidR="008E558A" w:rsidRPr="00991CED" w14:paraId="11F30EDB" w14:textId="77777777" w:rsidTr="00137770">
        <w:tc>
          <w:tcPr>
            <w:tcW w:w="3191" w:type="dxa"/>
            <w:shd w:val="clear" w:color="auto" w:fill="auto"/>
          </w:tcPr>
          <w:p w14:paraId="41043284" w14:textId="77777777" w:rsidR="008E558A" w:rsidRPr="00991CED" w:rsidRDefault="00772956" w:rsidP="00137770">
            <w:pPr>
              <w:tabs>
                <w:tab w:val="clear" w:pos="567"/>
              </w:tabs>
              <w:autoSpaceDE w:val="0"/>
              <w:autoSpaceDN w:val="0"/>
              <w:adjustRightInd w:val="0"/>
              <w:spacing w:line="240" w:lineRule="auto"/>
              <w:jc w:val="both"/>
              <w:rPr>
                <w:rFonts w:eastAsia="Calibri"/>
                <w:i/>
                <w:szCs w:val="22"/>
              </w:rPr>
            </w:pPr>
            <w:r>
              <w:rPr>
                <w:i/>
                <w:szCs w:val="22"/>
              </w:rPr>
              <w:t>Streptococcus A, B, C, G</w:t>
            </w:r>
          </w:p>
        </w:tc>
        <w:tc>
          <w:tcPr>
            <w:tcW w:w="3191" w:type="dxa"/>
            <w:shd w:val="clear" w:color="auto" w:fill="auto"/>
          </w:tcPr>
          <w:p w14:paraId="5912C8A5" w14:textId="6A9FEA6E" w:rsidR="008E558A" w:rsidRPr="00991CED" w:rsidRDefault="00976075" w:rsidP="00137770">
            <w:pPr>
              <w:tabs>
                <w:tab w:val="clear" w:pos="567"/>
              </w:tabs>
              <w:autoSpaceDE w:val="0"/>
              <w:autoSpaceDN w:val="0"/>
              <w:adjustRightInd w:val="0"/>
              <w:spacing w:line="240" w:lineRule="auto"/>
              <w:jc w:val="both"/>
              <w:rPr>
                <w:rFonts w:eastAsia="Calibri"/>
                <w:szCs w:val="22"/>
              </w:rPr>
            </w:pPr>
            <w:r>
              <w:t>≤ </w:t>
            </w:r>
            <w:r w:rsidR="00E72659">
              <w:rPr>
                <w:lang w:val="en-US"/>
              </w:rPr>
              <w:t>0,00</w:t>
            </w:r>
            <w:r>
              <w:t>1 mg/</w:t>
            </w:r>
            <w:r w:rsidR="003A6586">
              <w:rPr>
                <w:lang w:val="en-US"/>
              </w:rPr>
              <w:t>L</w:t>
            </w:r>
          </w:p>
        </w:tc>
        <w:tc>
          <w:tcPr>
            <w:tcW w:w="3192" w:type="dxa"/>
            <w:shd w:val="clear" w:color="auto" w:fill="auto"/>
          </w:tcPr>
          <w:p w14:paraId="40A841DA" w14:textId="72EF3E9B" w:rsidR="008E558A" w:rsidRPr="00991CED" w:rsidRDefault="0055501D" w:rsidP="00137770">
            <w:pPr>
              <w:tabs>
                <w:tab w:val="clear" w:pos="567"/>
              </w:tabs>
              <w:autoSpaceDE w:val="0"/>
              <w:autoSpaceDN w:val="0"/>
              <w:adjustRightInd w:val="0"/>
              <w:spacing w:line="240" w:lineRule="auto"/>
              <w:jc w:val="both"/>
              <w:rPr>
                <w:rFonts w:eastAsia="Calibri"/>
                <w:szCs w:val="22"/>
              </w:rPr>
            </w:pPr>
            <w:r>
              <w:t>&gt; 2 mg/</w:t>
            </w:r>
            <w:r w:rsidR="003A6586">
              <w:rPr>
                <w:lang w:val="en-US"/>
              </w:rPr>
              <w:t>L</w:t>
            </w:r>
          </w:p>
        </w:tc>
      </w:tr>
      <w:tr w:rsidR="00772956" w:rsidRPr="00991CED" w14:paraId="174D5896" w14:textId="77777777" w:rsidTr="00137770">
        <w:tc>
          <w:tcPr>
            <w:tcW w:w="3191" w:type="dxa"/>
            <w:shd w:val="clear" w:color="auto" w:fill="auto"/>
          </w:tcPr>
          <w:p w14:paraId="348DA60D" w14:textId="553D753E" w:rsidR="00772956" w:rsidRPr="00991CED" w:rsidRDefault="00772956" w:rsidP="00137770">
            <w:pPr>
              <w:tabs>
                <w:tab w:val="clear" w:pos="567"/>
              </w:tabs>
              <w:autoSpaceDE w:val="0"/>
              <w:autoSpaceDN w:val="0"/>
              <w:adjustRightInd w:val="0"/>
              <w:spacing w:line="240" w:lineRule="auto"/>
              <w:jc w:val="both"/>
              <w:rPr>
                <w:rFonts w:eastAsia="Calibri"/>
                <w:i/>
                <w:szCs w:val="22"/>
              </w:rPr>
            </w:pPr>
            <w:r>
              <w:rPr>
                <w:i/>
                <w:szCs w:val="22"/>
              </w:rPr>
              <w:t>H</w:t>
            </w:r>
            <w:proofErr w:type="spellStart"/>
            <w:r w:rsidR="0056303B">
              <w:rPr>
                <w:i/>
                <w:szCs w:val="22"/>
                <w:lang w:val="en-US"/>
              </w:rPr>
              <w:t>aemophilus</w:t>
            </w:r>
            <w:proofErr w:type="spellEnd"/>
            <w:r>
              <w:rPr>
                <w:i/>
                <w:szCs w:val="22"/>
              </w:rPr>
              <w:t xml:space="preserve"> influenzae</w:t>
            </w:r>
          </w:p>
        </w:tc>
        <w:tc>
          <w:tcPr>
            <w:tcW w:w="3191" w:type="dxa"/>
            <w:shd w:val="clear" w:color="auto" w:fill="auto"/>
          </w:tcPr>
          <w:p w14:paraId="392806EE" w14:textId="566B7231" w:rsidR="00772956" w:rsidRPr="00991CED" w:rsidRDefault="00976075" w:rsidP="00137770">
            <w:pPr>
              <w:tabs>
                <w:tab w:val="clear" w:pos="567"/>
              </w:tabs>
              <w:autoSpaceDE w:val="0"/>
              <w:autoSpaceDN w:val="0"/>
              <w:adjustRightInd w:val="0"/>
              <w:spacing w:line="240" w:lineRule="auto"/>
              <w:jc w:val="both"/>
              <w:rPr>
                <w:rFonts w:eastAsia="Calibri"/>
                <w:szCs w:val="22"/>
              </w:rPr>
            </w:pPr>
            <w:r>
              <w:t>≤ </w:t>
            </w:r>
            <w:r w:rsidR="00E72659">
              <w:rPr>
                <w:lang w:val="en-US"/>
              </w:rPr>
              <w:t>0,06</w:t>
            </w:r>
            <w:r>
              <w:t> mg/</w:t>
            </w:r>
            <w:r w:rsidR="003A6586">
              <w:rPr>
                <w:lang w:val="en-US"/>
              </w:rPr>
              <w:t>L</w:t>
            </w:r>
          </w:p>
        </w:tc>
        <w:tc>
          <w:tcPr>
            <w:tcW w:w="3192" w:type="dxa"/>
            <w:shd w:val="clear" w:color="auto" w:fill="auto"/>
          </w:tcPr>
          <w:p w14:paraId="4F9EB9DE" w14:textId="7308AC1F" w:rsidR="00772956" w:rsidRPr="00991CED" w:rsidRDefault="0055501D" w:rsidP="00137770">
            <w:pPr>
              <w:tabs>
                <w:tab w:val="clear" w:pos="567"/>
              </w:tabs>
              <w:autoSpaceDE w:val="0"/>
              <w:autoSpaceDN w:val="0"/>
              <w:adjustRightInd w:val="0"/>
              <w:spacing w:line="240" w:lineRule="auto"/>
              <w:jc w:val="both"/>
              <w:rPr>
                <w:rFonts w:eastAsia="Calibri"/>
                <w:szCs w:val="22"/>
              </w:rPr>
            </w:pPr>
            <w:r>
              <w:t>&gt; </w:t>
            </w:r>
            <w:r w:rsidR="0056303B">
              <w:rPr>
                <w:lang w:val="en-US"/>
              </w:rPr>
              <w:t>0,06</w:t>
            </w:r>
            <w:r>
              <w:t xml:space="preserve"> mg/</w:t>
            </w:r>
            <w:r w:rsidR="003A6586">
              <w:rPr>
                <w:lang w:val="en-US"/>
              </w:rPr>
              <w:t>L</w:t>
            </w:r>
          </w:p>
        </w:tc>
      </w:tr>
      <w:tr w:rsidR="00772956" w:rsidRPr="00991CED" w14:paraId="6BE5F7D7" w14:textId="77777777" w:rsidTr="00137770">
        <w:tc>
          <w:tcPr>
            <w:tcW w:w="3191" w:type="dxa"/>
            <w:shd w:val="clear" w:color="auto" w:fill="auto"/>
          </w:tcPr>
          <w:p w14:paraId="0D4C2B4B" w14:textId="31C7B0E7" w:rsidR="00772956" w:rsidRPr="00991CED" w:rsidRDefault="00772956" w:rsidP="00137770">
            <w:pPr>
              <w:tabs>
                <w:tab w:val="clear" w:pos="567"/>
              </w:tabs>
              <w:autoSpaceDE w:val="0"/>
              <w:autoSpaceDN w:val="0"/>
              <w:adjustRightInd w:val="0"/>
              <w:spacing w:line="240" w:lineRule="auto"/>
              <w:jc w:val="both"/>
              <w:rPr>
                <w:rFonts w:eastAsia="Calibri"/>
                <w:i/>
                <w:szCs w:val="22"/>
              </w:rPr>
            </w:pPr>
            <w:r>
              <w:rPr>
                <w:i/>
                <w:szCs w:val="22"/>
              </w:rPr>
              <w:t>M</w:t>
            </w:r>
            <w:proofErr w:type="spellStart"/>
            <w:r w:rsidR="0056303B">
              <w:rPr>
                <w:i/>
                <w:szCs w:val="22"/>
                <w:lang w:val="en-US"/>
              </w:rPr>
              <w:t>oraxella</w:t>
            </w:r>
            <w:proofErr w:type="spellEnd"/>
            <w:r>
              <w:rPr>
                <w:i/>
                <w:szCs w:val="22"/>
              </w:rPr>
              <w:t xml:space="preserve"> catarrhalis </w:t>
            </w:r>
          </w:p>
        </w:tc>
        <w:tc>
          <w:tcPr>
            <w:tcW w:w="3191" w:type="dxa"/>
            <w:shd w:val="clear" w:color="auto" w:fill="auto"/>
          </w:tcPr>
          <w:p w14:paraId="3E258395" w14:textId="1A5DD4BD" w:rsidR="00772956" w:rsidRPr="00991CED" w:rsidRDefault="00976075" w:rsidP="00137770">
            <w:pPr>
              <w:tabs>
                <w:tab w:val="clear" w:pos="567"/>
              </w:tabs>
              <w:autoSpaceDE w:val="0"/>
              <w:autoSpaceDN w:val="0"/>
              <w:adjustRightInd w:val="0"/>
              <w:spacing w:line="240" w:lineRule="auto"/>
              <w:jc w:val="both"/>
              <w:rPr>
                <w:rFonts w:eastAsia="Calibri"/>
                <w:szCs w:val="22"/>
              </w:rPr>
            </w:pPr>
            <w:r>
              <w:t>≤ </w:t>
            </w:r>
            <w:r w:rsidR="0056303B">
              <w:rPr>
                <w:lang w:val="en-US"/>
              </w:rPr>
              <w:t>0,125</w:t>
            </w:r>
            <w:r>
              <w:t> mg/</w:t>
            </w:r>
            <w:r w:rsidR="003A6586">
              <w:rPr>
                <w:lang w:val="en-US"/>
              </w:rPr>
              <w:t>L</w:t>
            </w:r>
          </w:p>
        </w:tc>
        <w:tc>
          <w:tcPr>
            <w:tcW w:w="3192" w:type="dxa"/>
            <w:shd w:val="clear" w:color="auto" w:fill="auto"/>
          </w:tcPr>
          <w:p w14:paraId="4035D2D4" w14:textId="1CB71228" w:rsidR="00772956" w:rsidRPr="00991CED" w:rsidRDefault="0055501D" w:rsidP="00137770">
            <w:pPr>
              <w:tabs>
                <w:tab w:val="clear" w:pos="567"/>
              </w:tabs>
              <w:autoSpaceDE w:val="0"/>
              <w:autoSpaceDN w:val="0"/>
              <w:adjustRightInd w:val="0"/>
              <w:spacing w:line="240" w:lineRule="auto"/>
              <w:jc w:val="both"/>
              <w:rPr>
                <w:rFonts w:eastAsia="Calibri"/>
                <w:szCs w:val="22"/>
              </w:rPr>
            </w:pPr>
            <w:r>
              <w:t>&gt; </w:t>
            </w:r>
            <w:r w:rsidR="0056303B">
              <w:rPr>
                <w:lang w:val="en-US"/>
              </w:rPr>
              <w:t>0,125</w:t>
            </w:r>
            <w:r>
              <w:t xml:space="preserve"> mg/</w:t>
            </w:r>
            <w:r w:rsidR="003A6586">
              <w:rPr>
                <w:lang w:val="en-US"/>
              </w:rPr>
              <w:t>L</w:t>
            </w:r>
          </w:p>
        </w:tc>
      </w:tr>
      <w:tr w:rsidR="0056303B" w:rsidRPr="00991CED" w14:paraId="7E57C2E8" w14:textId="77777777" w:rsidTr="00137770">
        <w:tc>
          <w:tcPr>
            <w:tcW w:w="3191" w:type="dxa"/>
            <w:shd w:val="clear" w:color="auto" w:fill="auto"/>
          </w:tcPr>
          <w:p w14:paraId="3A20FD4C" w14:textId="0E5ADCC1" w:rsidR="0056303B" w:rsidRPr="007F5D4C" w:rsidRDefault="0056303B" w:rsidP="00137770">
            <w:pPr>
              <w:tabs>
                <w:tab w:val="clear" w:pos="567"/>
              </w:tabs>
              <w:autoSpaceDE w:val="0"/>
              <w:autoSpaceDN w:val="0"/>
              <w:adjustRightInd w:val="0"/>
              <w:spacing w:line="240" w:lineRule="auto"/>
              <w:jc w:val="both"/>
              <w:rPr>
                <w:i/>
                <w:szCs w:val="22"/>
                <w:lang w:val="en-US"/>
              </w:rPr>
            </w:pPr>
            <w:r>
              <w:rPr>
                <w:i/>
                <w:szCs w:val="22"/>
                <w:lang w:val="en-US"/>
              </w:rPr>
              <w:t>Helicobacter pylori</w:t>
            </w:r>
          </w:p>
        </w:tc>
        <w:tc>
          <w:tcPr>
            <w:tcW w:w="3191" w:type="dxa"/>
            <w:shd w:val="clear" w:color="auto" w:fill="auto"/>
          </w:tcPr>
          <w:p w14:paraId="1EA21871" w14:textId="70ADAEDF" w:rsidR="0056303B" w:rsidRDefault="0056303B" w:rsidP="00137770">
            <w:pPr>
              <w:tabs>
                <w:tab w:val="clear" w:pos="567"/>
              </w:tabs>
              <w:autoSpaceDE w:val="0"/>
              <w:autoSpaceDN w:val="0"/>
              <w:adjustRightInd w:val="0"/>
              <w:spacing w:line="240" w:lineRule="auto"/>
              <w:jc w:val="both"/>
            </w:pPr>
            <w:r>
              <w:t>≤ 1</w:t>
            </w:r>
            <w:r w:rsidRPr="0056303B">
              <w:t xml:space="preserve"> mg/L</w:t>
            </w:r>
          </w:p>
        </w:tc>
        <w:tc>
          <w:tcPr>
            <w:tcW w:w="3192" w:type="dxa"/>
            <w:shd w:val="clear" w:color="auto" w:fill="auto"/>
          </w:tcPr>
          <w:p w14:paraId="4B906AA3" w14:textId="09A1D1B5" w:rsidR="0056303B" w:rsidRDefault="0056303B" w:rsidP="00137770">
            <w:pPr>
              <w:tabs>
                <w:tab w:val="clear" w:pos="567"/>
              </w:tabs>
              <w:autoSpaceDE w:val="0"/>
              <w:autoSpaceDN w:val="0"/>
              <w:adjustRightInd w:val="0"/>
              <w:spacing w:line="240" w:lineRule="auto"/>
              <w:jc w:val="both"/>
            </w:pPr>
            <w:r>
              <w:t>&gt; 1</w:t>
            </w:r>
            <w:r w:rsidRPr="0056303B">
              <w:t xml:space="preserve"> mg/L</w:t>
            </w:r>
          </w:p>
        </w:tc>
      </w:tr>
      <w:tr w:rsidR="0056303B" w:rsidRPr="00991CED" w14:paraId="69D85D1A" w14:textId="77777777" w:rsidTr="00137770">
        <w:tc>
          <w:tcPr>
            <w:tcW w:w="3191" w:type="dxa"/>
            <w:shd w:val="clear" w:color="auto" w:fill="auto"/>
          </w:tcPr>
          <w:p w14:paraId="3F01FF24" w14:textId="48CF317F" w:rsidR="0056303B" w:rsidRDefault="0056303B" w:rsidP="00137770">
            <w:pPr>
              <w:tabs>
                <w:tab w:val="clear" w:pos="567"/>
              </w:tabs>
              <w:autoSpaceDE w:val="0"/>
              <w:autoSpaceDN w:val="0"/>
              <w:adjustRightInd w:val="0"/>
              <w:spacing w:line="240" w:lineRule="auto"/>
              <w:jc w:val="both"/>
              <w:rPr>
                <w:i/>
                <w:szCs w:val="22"/>
                <w:lang w:val="en-US"/>
              </w:rPr>
            </w:pPr>
            <w:proofErr w:type="spellStart"/>
            <w:r w:rsidRPr="0056303B">
              <w:rPr>
                <w:i/>
                <w:iCs/>
                <w:szCs w:val="22"/>
                <w:lang w:val="en-US"/>
              </w:rPr>
              <w:t>Aerococcus</w:t>
            </w:r>
            <w:proofErr w:type="spellEnd"/>
            <w:r w:rsidRPr="0056303B">
              <w:rPr>
                <w:i/>
                <w:iCs/>
                <w:szCs w:val="22"/>
                <w:lang w:val="en-US"/>
              </w:rPr>
              <w:t xml:space="preserve"> </w:t>
            </w:r>
            <w:proofErr w:type="spellStart"/>
            <w:r w:rsidRPr="0056303B">
              <w:rPr>
                <w:i/>
                <w:iCs/>
                <w:szCs w:val="22"/>
                <w:lang w:val="en-US"/>
              </w:rPr>
              <w:t>sanguinicola</w:t>
            </w:r>
            <w:proofErr w:type="spellEnd"/>
            <w:r w:rsidRPr="0056303B">
              <w:rPr>
                <w:i/>
                <w:iCs/>
                <w:szCs w:val="22"/>
                <w:lang w:val="en-US"/>
              </w:rPr>
              <w:t xml:space="preserve"> </w:t>
            </w:r>
            <w:r w:rsidRPr="0056303B">
              <w:rPr>
                <w:i/>
                <w:szCs w:val="22"/>
                <w:lang w:val="en-US"/>
              </w:rPr>
              <w:t xml:space="preserve">and </w:t>
            </w:r>
            <w:r w:rsidRPr="0056303B">
              <w:rPr>
                <w:i/>
                <w:iCs/>
                <w:szCs w:val="22"/>
                <w:lang w:val="en-US"/>
              </w:rPr>
              <w:t>urinae</w:t>
            </w:r>
            <w:r w:rsidRPr="0056303B">
              <w:rPr>
                <w:i/>
                <w:szCs w:val="22"/>
                <w:vertAlign w:val="superscript"/>
                <w:lang w:val="en-US"/>
              </w:rPr>
              <w:t>2</w:t>
            </w:r>
          </w:p>
        </w:tc>
        <w:tc>
          <w:tcPr>
            <w:tcW w:w="3191" w:type="dxa"/>
            <w:shd w:val="clear" w:color="auto" w:fill="auto"/>
          </w:tcPr>
          <w:p w14:paraId="4AA5DF5F" w14:textId="6D84AD50" w:rsidR="0056303B" w:rsidRDefault="0056303B" w:rsidP="00137770">
            <w:pPr>
              <w:tabs>
                <w:tab w:val="clear" w:pos="567"/>
              </w:tabs>
              <w:autoSpaceDE w:val="0"/>
              <w:autoSpaceDN w:val="0"/>
              <w:adjustRightInd w:val="0"/>
              <w:spacing w:line="240" w:lineRule="auto"/>
              <w:jc w:val="both"/>
            </w:pPr>
            <w:r w:rsidRPr="0056303B">
              <w:rPr>
                <w:rFonts w:hint="eastAsia"/>
                <w:lang w:val="en-US"/>
              </w:rPr>
              <w:t>≤</w:t>
            </w:r>
            <w:r w:rsidRPr="0056303B">
              <w:rPr>
                <w:lang w:val="en-US"/>
              </w:rPr>
              <w:t>2 mg/l</w:t>
            </w:r>
          </w:p>
        </w:tc>
        <w:tc>
          <w:tcPr>
            <w:tcW w:w="3192" w:type="dxa"/>
            <w:shd w:val="clear" w:color="auto" w:fill="auto"/>
          </w:tcPr>
          <w:p w14:paraId="58770A70" w14:textId="17165DA8" w:rsidR="0056303B" w:rsidRDefault="0056303B" w:rsidP="00137770">
            <w:pPr>
              <w:tabs>
                <w:tab w:val="clear" w:pos="567"/>
              </w:tabs>
              <w:autoSpaceDE w:val="0"/>
              <w:autoSpaceDN w:val="0"/>
              <w:adjustRightInd w:val="0"/>
              <w:spacing w:line="240" w:lineRule="auto"/>
              <w:jc w:val="both"/>
            </w:pPr>
            <w:r w:rsidRPr="0056303B">
              <w:rPr>
                <w:lang w:val="en-US"/>
              </w:rPr>
              <w:t>&gt;2 mg/l</w:t>
            </w:r>
          </w:p>
        </w:tc>
      </w:tr>
      <w:tr w:rsidR="0056303B" w:rsidRPr="00991CED" w14:paraId="4627C281" w14:textId="77777777" w:rsidTr="00137770">
        <w:tc>
          <w:tcPr>
            <w:tcW w:w="3191" w:type="dxa"/>
            <w:shd w:val="clear" w:color="auto" w:fill="auto"/>
          </w:tcPr>
          <w:p w14:paraId="76EDC0EE" w14:textId="772CD735" w:rsidR="0056303B" w:rsidRPr="0056303B" w:rsidRDefault="0056303B" w:rsidP="00137770">
            <w:pPr>
              <w:tabs>
                <w:tab w:val="clear" w:pos="567"/>
              </w:tabs>
              <w:autoSpaceDE w:val="0"/>
              <w:autoSpaceDN w:val="0"/>
              <w:adjustRightInd w:val="0"/>
              <w:spacing w:line="240" w:lineRule="auto"/>
              <w:jc w:val="both"/>
              <w:rPr>
                <w:i/>
                <w:iCs/>
                <w:szCs w:val="22"/>
                <w:lang w:val="en-US"/>
              </w:rPr>
            </w:pPr>
            <w:proofErr w:type="spellStart"/>
            <w:r w:rsidRPr="0056303B">
              <w:rPr>
                <w:i/>
                <w:iCs/>
                <w:szCs w:val="22"/>
                <w:lang w:val="en-US"/>
              </w:rPr>
              <w:t>Aeromonas</w:t>
            </w:r>
            <w:proofErr w:type="spellEnd"/>
            <w:r w:rsidRPr="0056303B">
              <w:rPr>
                <w:i/>
                <w:iCs/>
                <w:szCs w:val="22"/>
                <w:lang w:val="en-US"/>
              </w:rPr>
              <w:t xml:space="preserve"> spp.</w:t>
            </w:r>
          </w:p>
        </w:tc>
        <w:tc>
          <w:tcPr>
            <w:tcW w:w="3191" w:type="dxa"/>
            <w:shd w:val="clear" w:color="auto" w:fill="auto"/>
          </w:tcPr>
          <w:p w14:paraId="1A0F5B4E" w14:textId="53EFB842" w:rsidR="0056303B" w:rsidRPr="0056303B" w:rsidRDefault="0056303B" w:rsidP="00137770">
            <w:pPr>
              <w:tabs>
                <w:tab w:val="clear" w:pos="567"/>
              </w:tabs>
              <w:autoSpaceDE w:val="0"/>
              <w:autoSpaceDN w:val="0"/>
              <w:adjustRightInd w:val="0"/>
              <w:spacing w:line="240" w:lineRule="auto"/>
              <w:jc w:val="both"/>
              <w:rPr>
                <w:lang w:val="en-US"/>
              </w:rPr>
            </w:pPr>
            <w:r w:rsidRPr="0056303B">
              <w:rPr>
                <w:rFonts w:hint="eastAsia"/>
                <w:lang w:val="en-US"/>
              </w:rPr>
              <w:t>≤</w:t>
            </w:r>
            <w:r>
              <w:rPr>
                <w:lang w:val="en-US"/>
              </w:rPr>
              <w:t>0,</w:t>
            </w:r>
            <w:r w:rsidRPr="0056303B">
              <w:rPr>
                <w:lang w:val="en-US"/>
              </w:rPr>
              <w:t>5 mg/l</w:t>
            </w:r>
          </w:p>
        </w:tc>
        <w:tc>
          <w:tcPr>
            <w:tcW w:w="3192" w:type="dxa"/>
            <w:shd w:val="clear" w:color="auto" w:fill="auto"/>
          </w:tcPr>
          <w:p w14:paraId="5A2E8817" w14:textId="285154F1" w:rsidR="0056303B" w:rsidRPr="0056303B" w:rsidRDefault="0056303B" w:rsidP="00137770">
            <w:pPr>
              <w:tabs>
                <w:tab w:val="clear" w:pos="567"/>
              </w:tabs>
              <w:autoSpaceDE w:val="0"/>
              <w:autoSpaceDN w:val="0"/>
              <w:adjustRightInd w:val="0"/>
              <w:spacing w:line="240" w:lineRule="auto"/>
              <w:jc w:val="both"/>
              <w:rPr>
                <w:lang w:val="en-US"/>
              </w:rPr>
            </w:pPr>
            <w:r w:rsidRPr="0056303B">
              <w:rPr>
                <w:lang w:val="en-US"/>
              </w:rPr>
              <w:t>&gt;1 mg/l</w:t>
            </w:r>
          </w:p>
        </w:tc>
      </w:tr>
      <w:tr w:rsidR="00772956" w:rsidRPr="00991CED" w14:paraId="52CF7C04" w14:textId="77777777" w:rsidTr="00137770">
        <w:tc>
          <w:tcPr>
            <w:tcW w:w="3191" w:type="dxa"/>
            <w:shd w:val="clear" w:color="auto" w:fill="auto"/>
          </w:tcPr>
          <w:p w14:paraId="7061D15D" w14:textId="54DA5E8A" w:rsidR="00772956" w:rsidRPr="00991CED" w:rsidRDefault="0056303B" w:rsidP="00137770">
            <w:pPr>
              <w:tabs>
                <w:tab w:val="clear" w:pos="567"/>
              </w:tabs>
              <w:autoSpaceDE w:val="0"/>
              <w:autoSpaceDN w:val="0"/>
              <w:adjustRightInd w:val="0"/>
              <w:spacing w:line="240" w:lineRule="auto"/>
              <w:jc w:val="both"/>
              <w:rPr>
                <w:rFonts w:eastAsia="Calibri"/>
                <w:szCs w:val="22"/>
              </w:rPr>
            </w:pPr>
            <w:r>
              <w:rPr>
                <w:lang w:val="en-US"/>
              </w:rPr>
              <w:t>PK-PD (</w:t>
            </w:r>
            <w:r w:rsidR="00772956">
              <w:t>Видово несвързани</w:t>
            </w:r>
            <w:r>
              <w:rPr>
                <w:lang w:val="en-US"/>
              </w:rPr>
              <w:t>)</w:t>
            </w:r>
            <w:r w:rsidR="00772956">
              <w:t xml:space="preserve"> гранични стойности</w:t>
            </w:r>
          </w:p>
        </w:tc>
        <w:tc>
          <w:tcPr>
            <w:tcW w:w="3191" w:type="dxa"/>
            <w:shd w:val="clear" w:color="auto" w:fill="auto"/>
          </w:tcPr>
          <w:p w14:paraId="73A9CA1A" w14:textId="3640448D" w:rsidR="00772956" w:rsidRPr="00991CED" w:rsidRDefault="00976075" w:rsidP="00137770">
            <w:pPr>
              <w:tabs>
                <w:tab w:val="clear" w:pos="567"/>
              </w:tabs>
              <w:autoSpaceDE w:val="0"/>
              <w:autoSpaceDN w:val="0"/>
              <w:adjustRightInd w:val="0"/>
              <w:spacing w:line="240" w:lineRule="auto"/>
              <w:jc w:val="both"/>
              <w:rPr>
                <w:rFonts w:eastAsia="Calibri"/>
                <w:szCs w:val="22"/>
              </w:rPr>
            </w:pPr>
            <w:r>
              <w:t>≤ </w:t>
            </w:r>
            <w:r w:rsidR="0056303B">
              <w:rPr>
                <w:lang w:val="en-US"/>
              </w:rPr>
              <w:t>0,5</w:t>
            </w:r>
            <w:r>
              <w:t> mg/</w:t>
            </w:r>
            <w:r w:rsidR="003A6586">
              <w:rPr>
                <w:lang w:val="en-US"/>
              </w:rPr>
              <w:t>L</w:t>
            </w:r>
          </w:p>
        </w:tc>
        <w:tc>
          <w:tcPr>
            <w:tcW w:w="3192" w:type="dxa"/>
            <w:shd w:val="clear" w:color="auto" w:fill="auto"/>
          </w:tcPr>
          <w:p w14:paraId="53BB483F" w14:textId="5A929BA7" w:rsidR="00772956" w:rsidRPr="00991CED" w:rsidRDefault="0055501D" w:rsidP="0056303B">
            <w:pPr>
              <w:tabs>
                <w:tab w:val="clear" w:pos="567"/>
              </w:tabs>
              <w:autoSpaceDE w:val="0"/>
              <w:autoSpaceDN w:val="0"/>
              <w:adjustRightInd w:val="0"/>
              <w:spacing w:line="240" w:lineRule="auto"/>
              <w:jc w:val="both"/>
              <w:rPr>
                <w:rFonts w:eastAsia="Calibri"/>
                <w:szCs w:val="22"/>
              </w:rPr>
            </w:pPr>
            <w:r>
              <w:t>&gt; </w:t>
            </w:r>
            <w:r w:rsidR="0056303B">
              <w:rPr>
                <w:lang w:val="en-US"/>
              </w:rPr>
              <w:t>1</w:t>
            </w:r>
            <w:r w:rsidR="0056303B">
              <w:t> </w:t>
            </w:r>
            <w:r>
              <w:t>mg/</w:t>
            </w:r>
            <w:r w:rsidR="003A6586">
              <w:rPr>
                <w:lang w:val="en-US"/>
              </w:rPr>
              <w:t>L</w:t>
            </w:r>
          </w:p>
        </w:tc>
      </w:tr>
      <w:tr w:rsidR="009E0C42" w:rsidRPr="00991CED" w14:paraId="5AD1DF5F" w14:textId="77777777" w:rsidTr="00137770">
        <w:tc>
          <w:tcPr>
            <w:tcW w:w="9574" w:type="dxa"/>
            <w:gridSpan w:val="3"/>
            <w:shd w:val="clear" w:color="auto" w:fill="auto"/>
          </w:tcPr>
          <w:p w14:paraId="5EC6EE9E" w14:textId="2708EAB6" w:rsidR="0056303B" w:rsidRPr="00447611" w:rsidRDefault="0056303B" w:rsidP="0056303B">
            <w:pPr>
              <w:tabs>
                <w:tab w:val="clear" w:pos="567"/>
              </w:tabs>
              <w:autoSpaceDE w:val="0"/>
              <w:autoSpaceDN w:val="0"/>
              <w:adjustRightInd w:val="0"/>
              <w:spacing w:line="240" w:lineRule="auto"/>
              <w:rPr>
                <w:rFonts w:eastAsia="Calibri"/>
                <w:szCs w:val="22"/>
                <w:lang w:val="en-US"/>
              </w:rPr>
            </w:pPr>
            <w:r w:rsidRPr="00447611">
              <w:rPr>
                <w:rFonts w:eastAsia="Calibri"/>
                <w:szCs w:val="22"/>
                <w:lang w:val="en-US"/>
              </w:rPr>
              <w:t xml:space="preserve">1: </w:t>
            </w:r>
            <w:r>
              <w:rPr>
                <w:rFonts w:eastAsia="Calibri"/>
                <w:szCs w:val="22"/>
              </w:rPr>
              <w:t>С</w:t>
            </w:r>
            <w:proofErr w:type="spellStart"/>
            <w:r w:rsidRPr="0056303B">
              <w:rPr>
                <w:rFonts w:eastAsia="Calibri"/>
                <w:szCs w:val="22"/>
                <w:lang w:val="en-US"/>
              </w:rPr>
              <w:t>амо</w:t>
            </w:r>
            <w:proofErr w:type="spellEnd"/>
            <w:r w:rsidRPr="0056303B">
              <w:rPr>
                <w:rFonts w:eastAsia="Calibri"/>
                <w:szCs w:val="22"/>
                <w:lang w:val="en-US"/>
              </w:rPr>
              <w:t xml:space="preserve"> </w:t>
            </w:r>
            <w:proofErr w:type="spellStart"/>
            <w:r w:rsidRPr="0056303B">
              <w:rPr>
                <w:rFonts w:eastAsia="Calibri"/>
                <w:szCs w:val="22"/>
                <w:lang w:val="en-US"/>
              </w:rPr>
              <w:t>неусложнени</w:t>
            </w:r>
            <w:proofErr w:type="spellEnd"/>
            <w:r w:rsidRPr="0056303B">
              <w:rPr>
                <w:rFonts w:eastAsia="Calibri"/>
                <w:szCs w:val="22"/>
                <w:lang w:val="en-US"/>
              </w:rPr>
              <w:t xml:space="preserve"> </w:t>
            </w:r>
            <w:proofErr w:type="spellStart"/>
            <w:r w:rsidRPr="0056303B">
              <w:rPr>
                <w:rFonts w:eastAsia="Calibri"/>
                <w:szCs w:val="22"/>
                <w:lang w:val="en-US"/>
              </w:rPr>
              <w:t>инфекции</w:t>
            </w:r>
            <w:proofErr w:type="spellEnd"/>
            <w:r w:rsidRPr="0056303B">
              <w:rPr>
                <w:rFonts w:eastAsia="Calibri"/>
                <w:szCs w:val="22"/>
                <w:lang w:val="en-US"/>
              </w:rPr>
              <w:t xml:space="preserve"> </w:t>
            </w:r>
            <w:proofErr w:type="spellStart"/>
            <w:r w:rsidRPr="0056303B">
              <w:rPr>
                <w:rFonts w:eastAsia="Calibri"/>
                <w:szCs w:val="22"/>
                <w:lang w:val="en-US"/>
              </w:rPr>
              <w:t>на</w:t>
            </w:r>
            <w:proofErr w:type="spellEnd"/>
            <w:r w:rsidRPr="0056303B">
              <w:rPr>
                <w:rFonts w:eastAsia="Calibri"/>
                <w:szCs w:val="22"/>
                <w:lang w:val="en-US"/>
              </w:rPr>
              <w:t xml:space="preserve"> </w:t>
            </w:r>
            <w:proofErr w:type="spellStart"/>
            <w:r w:rsidRPr="0056303B">
              <w:rPr>
                <w:rFonts w:eastAsia="Calibri"/>
                <w:szCs w:val="22"/>
                <w:lang w:val="en-US"/>
              </w:rPr>
              <w:t>пикочните</w:t>
            </w:r>
            <w:proofErr w:type="spellEnd"/>
            <w:r w:rsidRPr="0056303B">
              <w:rPr>
                <w:rFonts w:eastAsia="Calibri"/>
                <w:szCs w:val="22"/>
                <w:lang w:val="en-US"/>
              </w:rPr>
              <w:t xml:space="preserve"> </w:t>
            </w:r>
            <w:proofErr w:type="spellStart"/>
            <w:r w:rsidRPr="0056303B">
              <w:rPr>
                <w:rFonts w:eastAsia="Calibri"/>
                <w:szCs w:val="22"/>
                <w:lang w:val="en-US"/>
              </w:rPr>
              <w:t>пътища</w:t>
            </w:r>
            <w:proofErr w:type="spellEnd"/>
          </w:p>
          <w:p w14:paraId="558670FD" w14:textId="77777777" w:rsidR="0056303B" w:rsidRDefault="0056303B" w:rsidP="00137770">
            <w:pPr>
              <w:tabs>
                <w:tab w:val="clear" w:pos="567"/>
              </w:tabs>
              <w:autoSpaceDE w:val="0"/>
              <w:autoSpaceDN w:val="0"/>
              <w:adjustRightInd w:val="0"/>
              <w:spacing w:line="240" w:lineRule="auto"/>
              <w:rPr>
                <w:rFonts w:eastAsia="Calibri"/>
                <w:szCs w:val="22"/>
                <w:lang w:val="en-US"/>
              </w:rPr>
            </w:pPr>
            <w:r w:rsidRPr="00447611">
              <w:rPr>
                <w:rFonts w:eastAsia="Calibri"/>
                <w:szCs w:val="22"/>
                <w:lang w:val="en-US"/>
              </w:rPr>
              <w:t xml:space="preserve">2: </w:t>
            </w:r>
            <w:proofErr w:type="spellStart"/>
            <w:r w:rsidRPr="0056303B">
              <w:rPr>
                <w:rFonts w:eastAsia="Calibri"/>
                <w:szCs w:val="22"/>
                <w:lang w:val="en-US"/>
              </w:rPr>
              <w:t>Чувствителността</w:t>
            </w:r>
            <w:proofErr w:type="spellEnd"/>
            <w:r w:rsidRPr="0056303B">
              <w:rPr>
                <w:rFonts w:eastAsia="Calibri"/>
                <w:szCs w:val="22"/>
                <w:lang w:val="en-US"/>
              </w:rPr>
              <w:t xml:space="preserve"> </w:t>
            </w:r>
            <w:proofErr w:type="spellStart"/>
            <w:r w:rsidRPr="0056303B">
              <w:rPr>
                <w:rFonts w:eastAsia="Calibri"/>
                <w:szCs w:val="22"/>
                <w:lang w:val="en-US"/>
              </w:rPr>
              <w:t>може</w:t>
            </w:r>
            <w:proofErr w:type="spellEnd"/>
            <w:r w:rsidRPr="0056303B">
              <w:rPr>
                <w:rFonts w:eastAsia="Calibri"/>
                <w:szCs w:val="22"/>
                <w:lang w:val="en-US"/>
              </w:rPr>
              <w:t xml:space="preserve"> </w:t>
            </w:r>
            <w:proofErr w:type="spellStart"/>
            <w:r w:rsidRPr="0056303B">
              <w:rPr>
                <w:rFonts w:eastAsia="Calibri"/>
                <w:szCs w:val="22"/>
                <w:lang w:val="en-US"/>
              </w:rPr>
              <w:t>да</w:t>
            </w:r>
            <w:proofErr w:type="spellEnd"/>
            <w:r w:rsidRPr="0056303B">
              <w:rPr>
                <w:rFonts w:eastAsia="Calibri"/>
                <w:szCs w:val="22"/>
                <w:lang w:val="en-US"/>
              </w:rPr>
              <w:t xml:space="preserve"> </w:t>
            </w:r>
            <w:proofErr w:type="spellStart"/>
            <w:r w:rsidRPr="0056303B">
              <w:rPr>
                <w:rFonts w:eastAsia="Calibri"/>
                <w:szCs w:val="22"/>
                <w:lang w:val="en-US"/>
              </w:rPr>
              <w:t>се</w:t>
            </w:r>
            <w:proofErr w:type="spellEnd"/>
            <w:r w:rsidRPr="0056303B">
              <w:rPr>
                <w:rFonts w:eastAsia="Calibri"/>
                <w:szCs w:val="22"/>
                <w:lang w:val="en-US"/>
              </w:rPr>
              <w:t xml:space="preserve"> </w:t>
            </w:r>
            <w:proofErr w:type="spellStart"/>
            <w:r w:rsidRPr="0056303B">
              <w:rPr>
                <w:rFonts w:eastAsia="Calibri"/>
                <w:szCs w:val="22"/>
                <w:lang w:val="en-US"/>
              </w:rPr>
              <w:t>заключи</w:t>
            </w:r>
            <w:proofErr w:type="spellEnd"/>
            <w:r w:rsidRPr="0056303B">
              <w:rPr>
                <w:rFonts w:eastAsia="Calibri"/>
                <w:szCs w:val="22"/>
                <w:lang w:val="en-US"/>
              </w:rPr>
              <w:t xml:space="preserve"> </w:t>
            </w:r>
            <w:proofErr w:type="spellStart"/>
            <w:r w:rsidRPr="0056303B">
              <w:rPr>
                <w:rFonts w:eastAsia="Calibri"/>
                <w:szCs w:val="22"/>
                <w:lang w:val="en-US"/>
              </w:rPr>
              <w:t>от</w:t>
            </w:r>
            <w:proofErr w:type="spellEnd"/>
            <w:r w:rsidRPr="0056303B">
              <w:rPr>
                <w:rFonts w:eastAsia="Calibri"/>
                <w:szCs w:val="22"/>
                <w:lang w:val="en-US"/>
              </w:rPr>
              <w:t xml:space="preserve"> </w:t>
            </w:r>
            <w:proofErr w:type="spellStart"/>
            <w:r w:rsidRPr="0056303B">
              <w:rPr>
                <w:rFonts w:eastAsia="Calibri"/>
                <w:szCs w:val="22"/>
                <w:lang w:val="en-US"/>
              </w:rPr>
              <w:t>чувствителността</w:t>
            </w:r>
            <w:proofErr w:type="spellEnd"/>
            <w:r w:rsidRPr="0056303B">
              <w:rPr>
                <w:rFonts w:eastAsia="Calibri"/>
                <w:szCs w:val="22"/>
                <w:lang w:val="en-US"/>
              </w:rPr>
              <w:t xml:space="preserve"> </w:t>
            </w:r>
            <w:proofErr w:type="spellStart"/>
            <w:r w:rsidRPr="0056303B">
              <w:rPr>
                <w:rFonts w:eastAsia="Calibri"/>
                <w:szCs w:val="22"/>
                <w:lang w:val="en-US"/>
              </w:rPr>
              <w:t>към</w:t>
            </w:r>
            <w:proofErr w:type="spellEnd"/>
            <w:r w:rsidRPr="0056303B">
              <w:rPr>
                <w:rFonts w:eastAsia="Calibri"/>
                <w:szCs w:val="22"/>
                <w:lang w:val="en-US"/>
              </w:rPr>
              <w:t xml:space="preserve"> </w:t>
            </w:r>
            <w:proofErr w:type="spellStart"/>
            <w:r w:rsidRPr="0056303B">
              <w:rPr>
                <w:rFonts w:eastAsia="Calibri"/>
                <w:szCs w:val="22"/>
                <w:lang w:val="en-US"/>
              </w:rPr>
              <w:t>ципрофлоксацин</w:t>
            </w:r>
            <w:proofErr w:type="spellEnd"/>
          </w:p>
          <w:p w14:paraId="19FEB0D0" w14:textId="29458A46" w:rsidR="009E0C42" w:rsidRPr="00991CED" w:rsidRDefault="009E0C42" w:rsidP="00137770">
            <w:pPr>
              <w:tabs>
                <w:tab w:val="clear" w:pos="567"/>
              </w:tabs>
              <w:autoSpaceDE w:val="0"/>
              <w:autoSpaceDN w:val="0"/>
              <w:adjustRightInd w:val="0"/>
              <w:spacing w:line="240" w:lineRule="auto"/>
              <w:jc w:val="both"/>
              <w:rPr>
                <w:rFonts w:eastAsia="Calibri"/>
                <w:szCs w:val="22"/>
              </w:rPr>
            </w:pPr>
          </w:p>
        </w:tc>
      </w:tr>
    </w:tbl>
    <w:p w14:paraId="4073281D" w14:textId="77777777" w:rsidR="00BE133F" w:rsidRPr="00991CED" w:rsidRDefault="00BE133F" w:rsidP="009E2420">
      <w:pPr>
        <w:tabs>
          <w:tab w:val="clear" w:pos="567"/>
        </w:tabs>
        <w:autoSpaceDE w:val="0"/>
        <w:autoSpaceDN w:val="0"/>
        <w:adjustRightInd w:val="0"/>
        <w:spacing w:line="240" w:lineRule="auto"/>
        <w:jc w:val="both"/>
        <w:rPr>
          <w:szCs w:val="22"/>
        </w:rPr>
      </w:pPr>
    </w:p>
    <w:p w14:paraId="1CD6A9E4" w14:textId="77777777" w:rsidR="00FB0ED9" w:rsidRPr="00991CED" w:rsidRDefault="009E2420" w:rsidP="009E2420">
      <w:pPr>
        <w:tabs>
          <w:tab w:val="clear" w:pos="567"/>
        </w:tabs>
        <w:autoSpaceDE w:val="0"/>
        <w:autoSpaceDN w:val="0"/>
        <w:adjustRightInd w:val="0"/>
        <w:spacing w:line="240" w:lineRule="auto"/>
        <w:jc w:val="both"/>
        <w:rPr>
          <w:szCs w:val="22"/>
        </w:rPr>
      </w:pPr>
      <w:r>
        <w:lastRenderedPageBreak/>
        <w:t>Честотата на резистентност за определени видове може да варира в зависимост от географската област и във времето, поради което е желателно да се търси информация за локалната резистентност, особено при лечение на тежки инфекции. При необходимост трябва да се търси експертна консултация, когато местната честота на резистентност е такава, че ползата от средството поне при някои видове инфекции е под въпрос.</w:t>
      </w:r>
    </w:p>
    <w:p w14:paraId="724062FF" w14:textId="77777777" w:rsidR="009E2420" w:rsidRPr="00991CED" w:rsidRDefault="009E2420" w:rsidP="009E2420">
      <w:pPr>
        <w:tabs>
          <w:tab w:val="clear" w:pos="567"/>
        </w:tabs>
        <w:autoSpaceDE w:val="0"/>
        <w:autoSpaceDN w:val="0"/>
        <w:adjustRightInd w:val="0"/>
        <w:spacing w:line="240" w:lineRule="auto"/>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E2420" w:rsidRPr="00991CED" w14:paraId="477FD583" w14:textId="77777777" w:rsidTr="00137770">
        <w:tc>
          <w:tcPr>
            <w:tcW w:w="9574" w:type="dxa"/>
            <w:shd w:val="clear" w:color="auto" w:fill="auto"/>
          </w:tcPr>
          <w:p w14:paraId="2B22C24E" w14:textId="77777777" w:rsidR="009E2420" w:rsidRPr="00991CED" w:rsidRDefault="009E2420" w:rsidP="00137770">
            <w:pPr>
              <w:tabs>
                <w:tab w:val="clear" w:pos="567"/>
              </w:tabs>
              <w:autoSpaceDE w:val="0"/>
              <w:autoSpaceDN w:val="0"/>
              <w:adjustRightInd w:val="0"/>
              <w:spacing w:line="240" w:lineRule="auto"/>
              <w:rPr>
                <w:rFonts w:eastAsia="Calibri"/>
                <w:b/>
                <w:bCs/>
                <w:szCs w:val="22"/>
                <w:u w:val="single"/>
              </w:rPr>
            </w:pPr>
            <w:r>
              <w:rPr>
                <w:b/>
                <w:bCs/>
                <w:szCs w:val="22"/>
                <w:u w:val="single"/>
              </w:rPr>
              <w:t>Обичайно чувствителни видове</w:t>
            </w:r>
          </w:p>
          <w:p w14:paraId="6F84F2F0" w14:textId="77777777" w:rsidR="00567DD7" w:rsidRPr="00991CED" w:rsidRDefault="00567DD7" w:rsidP="00137770">
            <w:pPr>
              <w:tabs>
                <w:tab w:val="clear" w:pos="567"/>
              </w:tabs>
              <w:autoSpaceDE w:val="0"/>
              <w:autoSpaceDN w:val="0"/>
              <w:adjustRightInd w:val="0"/>
              <w:spacing w:line="240" w:lineRule="auto"/>
              <w:rPr>
                <w:rFonts w:eastAsia="Calibri"/>
                <w:b/>
                <w:bCs/>
                <w:i/>
                <w:iCs/>
                <w:szCs w:val="22"/>
                <w:u w:val="single"/>
                <w:lang w:val="en-US"/>
              </w:rPr>
            </w:pPr>
          </w:p>
          <w:p w14:paraId="5A68E1C3" w14:textId="77777777" w:rsidR="009E2420" w:rsidRPr="00991CED" w:rsidRDefault="009E2420"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Аеробни Грам-положителни бактерии</w:t>
            </w:r>
          </w:p>
          <w:p w14:paraId="04A9EA5B"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Bacillus anthracis</w:t>
            </w:r>
          </w:p>
          <w:p w14:paraId="059069D9"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Staphylococcus aureus метицилин-чувствителни</w:t>
            </w:r>
          </w:p>
          <w:p w14:paraId="10395392"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Staphylococcus saprophyticus</w:t>
            </w:r>
          </w:p>
          <w:p w14:paraId="0247C230"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Streptococci, група C и G</w:t>
            </w:r>
          </w:p>
          <w:p w14:paraId="15F15D1E"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Streptococcus agalactiae</w:t>
            </w:r>
          </w:p>
          <w:p w14:paraId="678E0BC9"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Streptococcus pneumoniae</w:t>
            </w:r>
          </w:p>
          <w:p w14:paraId="4F66FE3A"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Streptococcus pyogenes</w:t>
            </w:r>
          </w:p>
          <w:p w14:paraId="3D33D99A" w14:textId="77777777" w:rsidR="00E84404" w:rsidRPr="00991CED" w:rsidRDefault="00E84404" w:rsidP="00137770">
            <w:pPr>
              <w:tabs>
                <w:tab w:val="clear" w:pos="567"/>
              </w:tabs>
              <w:autoSpaceDE w:val="0"/>
              <w:autoSpaceDN w:val="0"/>
              <w:adjustRightInd w:val="0"/>
              <w:spacing w:line="240" w:lineRule="auto"/>
              <w:rPr>
                <w:rFonts w:eastAsia="Calibri"/>
                <w:b/>
                <w:bCs/>
                <w:i/>
                <w:iCs/>
                <w:szCs w:val="22"/>
                <w:lang w:val="en-US"/>
              </w:rPr>
            </w:pPr>
          </w:p>
          <w:p w14:paraId="092FBD51" w14:textId="77777777" w:rsidR="009E2420" w:rsidRPr="00991CED" w:rsidRDefault="009E2420"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Аеробни Грам-отрицателни бактерии</w:t>
            </w:r>
          </w:p>
          <w:p w14:paraId="077E9423"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Eikenella corrodens</w:t>
            </w:r>
          </w:p>
          <w:p w14:paraId="1E05AFAD"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Haemophilus influenzae</w:t>
            </w:r>
          </w:p>
          <w:p w14:paraId="5B3132B9"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Haemophilus para-influenzae</w:t>
            </w:r>
          </w:p>
          <w:p w14:paraId="0973C9DD"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Klebsiella oxytoca</w:t>
            </w:r>
          </w:p>
          <w:p w14:paraId="3A13D0EB"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Moraxella catarrhalis</w:t>
            </w:r>
          </w:p>
          <w:p w14:paraId="2542929A"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Pasteurella multocida</w:t>
            </w:r>
          </w:p>
          <w:p w14:paraId="05FEDF83"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Proteus vulgaris</w:t>
            </w:r>
          </w:p>
          <w:p w14:paraId="1DD15598"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Providencia rettgeri</w:t>
            </w:r>
          </w:p>
          <w:p w14:paraId="02CD7A1F" w14:textId="77777777" w:rsidR="004F5EDF" w:rsidRPr="00991CED" w:rsidRDefault="004F5EDF" w:rsidP="00137770">
            <w:pPr>
              <w:tabs>
                <w:tab w:val="clear" w:pos="567"/>
              </w:tabs>
              <w:autoSpaceDE w:val="0"/>
              <w:autoSpaceDN w:val="0"/>
              <w:adjustRightInd w:val="0"/>
              <w:spacing w:line="240" w:lineRule="auto"/>
              <w:rPr>
                <w:rFonts w:eastAsia="Calibri"/>
                <w:b/>
                <w:bCs/>
                <w:i/>
                <w:iCs/>
                <w:szCs w:val="22"/>
                <w:lang w:val="en-US"/>
              </w:rPr>
            </w:pPr>
          </w:p>
          <w:p w14:paraId="1FD298D5" w14:textId="77777777" w:rsidR="009E2420" w:rsidRPr="00991CED" w:rsidRDefault="009E2420"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Анаеробни бактерии</w:t>
            </w:r>
          </w:p>
          <w:p w14:paraId="6D3DE53E"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Peptostreptococcus</w:t>
            </w:r>
          </w:p>
          <w:p w14:paraId="7A905F66" w14:textId="77777777" w:rsidR="004F5EDF" w:rsidRPr="00991CED" w:rsidRDefault="004F5EDF" w:rsidP="00137770">
            <w:pPr>
              <w:tabs>
                <w:tab w:val="clear" w:pos="567"/>
              </w:tabs>
              <w:autoSpaceDE w:val="0"/>
              <w:autoSpaceDN w:val="0"/>
              <w:adjustRightInd w:val="0"/>
              <w:spacing w:line="240" w:lineRule="auto"/>
              <w:rPr>
                <w:rFonts w:eastAsia="Calibri"/>
                <w:b/>
                <w:bCs/>
                <w:szCs w:val="22"/>
                <w:lang w:val="en-US"/>
              </w:rPr>
            </w:pPr>
          </w:p>
          <w:p w14:paraId="0FA8D135" w14:textId="77777777" w:rsidR="009E2420" w:rsidRPr="00991CED" w:rsidRDefault="009E2420" w:rsidP="00137770">
            <w:pPr>
              <w:tabs>
                <w:tab w:val="clear" w:pos="567"/>
              </w:tabs>
              <w:autoSpaceDE w:val="0"/>
              <w:autoSpaceDN w:val="0"/>
              <w:adjustRightInd w:val="0"/>
              <w:spacing w:line="240" w:lineRule="auto"/>
              <w:rPr>
                <w:rFonts w:eastAsia="Calibri"/>
                <w:b/>
                <w:bCs/>
                <w:szCs w:val="22"/>
                <w:u w:val="single"/>
              </w:rPr>
            </w:pPr>
            <w:r>
              <w:rPr>
                <w:b/>
                <w:bCs/>
                <w:szCs w:val="22"/>
                <w:u w:val="single"/>
              </w:rPr>
              <w:t>Други</w:t>
            </w:r>
          </w:p>
          <w:p w14:paraId="5A6E8930"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Chlamydophila pneumoniae</w:t>
            </w:r>
          </w:p>
          <w:p w14:paraId="5D91D359"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Chlamydophila psittaci</w:t>
            </w:r>
          </w:p>
          <w:p w14:paraId="3E65E02A"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Chlamydia trachomatis</w:t>
            </w:r>
          </w:p>
          <w:p w14:paraId="65557523"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Legionella pneumophila</w:t>
            </w:r>
          </w:p>
          <w:p w14:paraId="1A7B9D4E"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Mycoplasma pneumoniae</w:t>
            </w:r>
          </w:p>
          <w:p w14:paraId="134E67CB" w14:textId="77777777" w:rsidR="009E2420" w:rsidRPr="00991CED" w:rsidRDefault="009E2420" w:rsidP="00137770">
            <w:pPr>
              <w:tabs>
                <w:tab w:val="clear" w:pos="567"/>
              </w:tabs>
              <w:autoSpaceDE w:val="0"/>
              <w:autoSpaceDN w:val="0"/>
              <w:adjustRightInd w:val="0"/>
              <w:spacing w:line="240" w:lineRule="auto"/>
              <w:rPr>
                <w:rFonts w:eastAsia="Calibri"/>
                <w:i/>
                <w:iCs/>
                <w:szCs w:val="22"/>
              </w:rPr>
            </w:pPr>
            <w:r>
              <w:rPr>
                <w:i/>
                <w:iCs/>
                <w:szCs w:val="22"/>
              </w:rPr>
              <w:t>Mycoplasma hominis</w:t>
            </w:r>
          </w:p>
          <w:p w14:paraId="41F0A1E6" w14:textId="77777777" w:rsidR="009E2420" w:rsidRPr="00991CED" w:rsidRDefault="009E2420" w:rsidP="00137770">
            <w:pPr>
              <w:tabs>
                <w:tab w:val="clear" w:pos="567"/>
              </w:tabs>
              <w:autoSpaceDE w:val="0"/>
              <w:autoSpaceDN w:val="0"/>
              <w:adjustRightInd w:val="0"/>
              <w:spacing w:line="240" w:lineRule="auto"/>
              <w:jc w:val="both"/>
              <w:rPr>
                <w:rFonts w:eastAsia="Calibri"/>
                <w:szCs w:val="22"/>
              </w:rPr>
            </w:pPr>
            <w:r>
              <w:rPr>
                <w:i/>
                <w:iCs/>
                <w:szCs w:val="22"/>
              </w:rPr>
              <w:t>Ureaplasma urealyticum</w:t>
            </w:r>
          </w:p>
        </w:tc>
      </w:tr>
      <w:tr w:rsidR="00911BBD" w:rsidRPr="00991CED" w14:paraId="370A76CA" w14:textId="77777777" w:rsidTr="00137770">
        <w:tc>
          <w:tcPr>
            <w:tcW w:w="9574" w:type="dxa"/>
            <w:tcBorders>
              <w:left w:val="nil"/>
              <w:right w:val="nil"/>
            </w:tcBorders>
            <w:shd w:val="clear" w:color="auto" w:fill="auto"/>
          </w:tcPr>
          <w:p w14:paraId="0E2EDE15" w14:textId="77777777" w:rsidR="00911BBD" w:rsidRPr="00991CED" w:rsidRDefault="00911BBD" w:rsidP="00137770">
            <w:pPr>
              <w:tabs>
                <w:tab w:val="clear" w:pos="567"/>
              </w:tabs>
              <w:autoSpaceDE w:val="0"/>
              <w:autoSpaceDN w:val="0"/>
              <w:adjustRightInd w:val="0"/>
              <w:spacing w:line="240" w:lineRule="auto"/>
              <w:rPr>
                <w:rFonts w:eastAsia="Calibri"/>
                <w:b/>
                <w:bCs/>
                <w:szCs w:val="22"/>
                <w:u w:val="single"/>
                <w:lang w:val="en-US"/>
              </w:rPr>
            </w:pPr>
          </w:p>
        </w:tc>
      </w:tr>
      <w:tr w:rsidR="009E2420" w:rsidRPr="00991CED" w14:paraId="1CEE213A" w14:textId="77777777" w:rsidTr="00137770">
        <w:tc>
          <w:tcPr>
            <w:tcW w:w="9574" w:type="dxa"/>
            <w:shd w:val="clear" w:color="auto" w:fill="auto"/>
          </w:tcPr>
          <w:p w14:paraId="277BEED6" w14:textId="77777777" w:rsidR="00E7688E" w:rsidRPr="00991CED" w:rsidRDefault="00E7688E" w:rsidP="00137770">
            <w:pPr>
              <w:tabs>
                <w:tab w:val="clear" w:pos="567"/>
              </w:tabs>
              <w:autoSpaceDE w:val="0"/>
              <w:autoSpaceDN w:val="0"/>
              <w:adjustRightInd w:val="0"/>
              <w:spacing w:line="240" w:lineRule="auto"/>
              <w:rPr>
                <w:rFonts w:eastAsia="Calibri"/>
                <w:b/>
                <w:bCs/>
                <w:szCs w:val="22"/>
                <w:u w:val="single"/>
              </w:rPr>
            </w:pPr>
            <w:r>
              <w:rPr>
                <w:b/>
                <w:bCs/>
                <w:szCs w:val="22"/>
                <w:u w:val="single"/>
              </w:rPr>
              <w:t>Видове, при които придобитата резистентност може да се окаже проблем</w:t>
            </w:r>
          </w:p>
          <w:p w14:paraId="58865E35" w14:textId="77777777" w:rsidR="00567DD7" w:rsidRPr="00991CED" w:rsidRDefault="00567DD7" w:rsidP="00137770">
            <w:pPr>
              <w:tabs>
                <w:tab w:val="clear" w:pos="567"/>
              </w:tabs>
              <w:autoSpaceDE w:val="0"/>
              <w:autoSpaceDN w:val="0"/>
              <w:adjustRightInd w:val="0"/>
              <w:spacing w:line="240" w:lineRule="auto"/>
              <w:rPr>
                <w:rFonts w:eastAsia="Calibri"/>
                <w:b/>
                <w:bCs/>
                <w:i/>
                <w:iCs/>
                <w:szCs w:val="22"/>
                <w:u w:val="single"/>
                <w:lang w:val="en-US"/>
              </w:rPr>
            </w:pPr>
          </w:p>
          <w:p w14:paraId="35D9089F" w14:textId="77777777" w:rsidR="00E7688E" w:rsidRPr="00991CED" w:rsidRDefault="00E7688E"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Аеробни Грам-положителни бактерии</w:t>
            </w:r>
          </w:p>
          <w:p w14:paraId="622C8EC8"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Enterococcus faecalis</w:t>
            </w:r>
          </w:p>
          <w:p w14:paraId="626E7262" w14:textId="77777777" w:rsidR="00E7688E" w:rsidRPr="00991CED" w:rsidRDefault="00E7688E" w:rsidP="00137770">
            <w:pPr>
              <w:tabs>
                <w:tab w:val="clear" w:pos="567"/>
              </w:tabs>
              <w:autoSpaceDE w:val="0"/>
              <w:autoSpaceDN w:val="0"/>
              <w:adjustRightInd w:val="0"/>
              <w:spacing w:line="240" w:lineRule="auto"/>
              <w:rPr>
                <w:rFonts w:eastAsia="Calibri"/>
                <w:szCs w:val="22"/>
              </w:rPr>
            </w:pPr>
            <w:r>
              <w:rPr>
                <w:i/>
                <w:iCs/>
                <w:szCs w:val="22"/>
              </w:rPr>
              <w:t xml:space="preserve">Staphylococcus aureus </w:t>
            </w:r>
            <w:r>
              <w:t>метицилин-резистентни</w:t>
            </w:r>
            <w:r>
              <w:rPr>
                <w:szCs w:val="22"/>
                <w:vertAlign w:val="superscript"/>
              </w:rPr>
              <w:t>#</w:t>
            </w:r>
          </w:p>
          <w:p w14:paraId="422710BD"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t xml:space="preserve">Коагулаза негативни </w:t>
            </w:r>
            <w:r>
              <w:rPr>
                <w:i/>
                <w:iCs/>
                <w:szCs w:val="22"/>
              </w:rPr>
              <w:t>Staphylococcus spp</w:t>
            </w:r>
          </w:p>
          <w:p w14:paraId="6FB9F527" w14:textId="77777777" w:rsidR="00567DD7" w:rsidRPr="00991CED" w:rsidRDefault="00567DD7" w:rsidP="00137770">
            <w:pPr>
              <w:tabs>
                <w:tab w:val="clear" w:pos="567"/>
              </w:tabs>
              <w:autoSpaceDE w:val="0"/>
              <w:autoSpaceDN w:val="0"/>
              <w:adjustRightInd w:val="0"/>
              <w:spacing w:line="240" w:lineRule="auto"/>
              <w:rPr>
                <w:rFonts w:eastAsia="Calibri"/>
                <w:b/>
                <w:bCs/>
                <w:i/>
                <w:iCs/>
                <w:szCs w:val="22"/>
                <w:lang w:val="en-US"/>
              </w:rPr>
            </w:pPr>
          </w:p>
          <w:p w14:paraId="4BFED8D8" w14:textId="77777777" w:rsidR="00E7688E" w:rsidRPr="00991CED" w:rsidRDefault="00E7688E"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Аеробни Грам-отрицателни бактерии</w:t>
            </w:r>
          </w:p>
          <w:p w14:paraId="0AD1C418"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Acinetobacter baumannii</w:t>
            </w:r>
          </w:p>
          <w:p w14:paraId="2C5C763B"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Citrobacter freundii</w:t>
            </w:r>
          </w:p>
          <w:p w14:paraId="72308109"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Enterobacter aerogenes</w:t>
            </w:r>
          </w:p>
          <w:p w14:paraId="49D31AAC"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Enterobacter cloacae</w:t>
            </w:r>
          </w:p>
          <w:p w14:paraId="42B3219C" w14:textId="77777777" w:rsidR="009E2420" w:rsidRPr="00991CED" w:rsidRDefault="00E7688E" w:rsidP="00137770">
            <w:pPr>
              <w:tabs>
                <w:tab w:val="clear" w:pos="567"/>
              </w:tabs>
              <w:autoSpaceDE w:val="0"/>
              <w:autoSpaceDN w:val="0"/>
              <w:adjustRightInd w:val="0"/>
              <w:spacing w:line="240" w:lineRule="auto"/>
              <w:jc w:val="both"/>
              <w:rPr>
                <w:rFonts w:eastAsia="Calibri"/>
                <w:i/>
                <w:iCs/>
                <w:szCs w:val="22"/>
              </w:rPr>
            </w:pPr>
            <w:r>
              <w:rPr>
                <w:i/>
                <w:iCs/>
                <w:szCs w:val="22"/>
              </w:rPr>
              <w:lastRenderedPageBreak/>
              <w:t>Escherichia coli</w:t>
            </w:r>
          </w:p>
          <w:p w14:paraId="6D1D3170"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Klebsiella pneumoniae</w:t>
            </w:r>
          </w:p>
          <w:p w14:paraId="13FE98BD"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Morganella morganii</w:t>
            </w:r>
          </w:p>
          <w:p w14:paraId="293658AA"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Proteus mirabilis</w:t>
            </w:r>
          </w:p>
          <w:p w14:paraId="24F4289B"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Providencia stuartii</w:t>
            </w:r>
          </w:p>
          <w:p w14:paraId="45C69AA6"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Pseudomonas aeruginosa</w:t>
            </w:r>
          </w:p>
          <w:p w14:paraId="6F27B20F"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Serratia marcescens</w:t>
            </w:r>
          </w:p>
          <w:p w14:paraId="60E6EEE5" w14:textId="77777777" w:rsidR="00D27164" w:rsidRPr="00991CED" w:rsidRDefault="00D27164" w:rsidP="00137770">
            <w:pPr>
              <w:tabs>
                <w:tab w:val="clear" w:pos="567"/>
              </w:tabs>
              <w:autoSpaceDE w:val="0"/>
              <w:autoSpaceDN w:val="0"/>
              <w:adjustRightInd w:val="0"/>
              <w:spacing w:line="240" w:lineRule="auto"/>
              <w:rPr>
                <w:rFonts w:eastAsia="Calibri"/>
                <w:b/>
                <w:bCs/>
                <w:i/>
                <w:iCs/>
                <w:szCs w:val="22"/>
                <w:lang w:val="en-US"/>
              </w:rPr>
            </w:pPr>
          </w:p>
          <w:p w14:paraId="1667B45D" w14:textId="77777777" w:rsidR="00E7688E" w:rsidRPr="00991CED" w:rsidRDefault="00E7688E"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Анаеробни бактерии</w:t>
            </w:r>
          </w:p>
          <w:p w14:paraId="237F2037" w14:textId="77777777" w:rsidR="00E7688E" w:rsidRPr="00991CED" w:rsidRDefault="00E7688E" w:rsidP="00137770">
            <w:pPr>
              <w:tabs>
                <w:tab w:val="clear" w:pos="567"/>
              </w:tabs>
              <w:autoSpaceDE w:val="0"/>
              <w:autoSpaceDN w:val="0"/>
              <w:adjustRightInd w:val="0"/>
              <w:spacing w:line="240" w:lineRule="auto"/>
              <w:rPr>
                <w:rFonts w:eastAsia="Calibri"/>
                <w:i/>
                <w:iCs/>
                <w:szCs w:val="22"/>
              </w:rPr>
            </w:pPr>
            <w:r>
              <w:rPr>
                <w:i/>
                <w:iCs/>
                <w:szCs w:val="22"/>
              </w:rPr>
              <w:t>Bacteroides fragilis</w:t>
            </w:r>
          </w:p>
          <w:p w14:paraId="5F039BF2" w14:textId="77777777" w:rsidR="00D27164" w:rsidRPr="00991CED" w:rsidRDefault="00D27164" w:rsidP="00137770">
            <w:pPr>
              <w:tabs>
                <w:tab w:val="clear" w:pos="567"/>
              </w:tabs>
              <w:autoSpaceDE w:val="0"/>
              <w:autoSpaceDN w:val="0"/>
              <w:adjustRightInd w:val="0"/>
              <w:spacing w:line="240" w:lineRule="auto"/>
              <w:rPr>
                <w:rFonts w:eastAsia="Calibri"/>
                <w:b/>
                <w:bCs/>
                <w:szCs w:val="22"/>
                <w:lang w:val="en-US"/>
              </w:rPr>
            </w:pPr>
          </w:p>
          <w:p w14:paraId="28827512" w14:textId="77777777" w:rsidR="00E7688E" w:rsidRPr="00991CED" w:rsidRDefault="00E7688E" w:rsidP="00137770">
            <w:pPr>
              <w:tabs>
                <w:tab w:val="clear" w:pos="567"/>
              </w:tabs>
              <w:autoSpaceDE w:val="0"/>
              <w:autoSpaceDN w:val="0"/>
              <w:adjustRightInd w:val="0"/>
              <w:spacing w:line="240" w:lineRule="auto"/>
              <w:rPr>
                <w:rFonts w:eastAsia="Calibri"/>
                <w:b/>
                <w:bCs/>
                <w:szCs w:val="22"/>
                <w:u w:val="single"/>
              </w:rPr>
            </w:pPr>
            <w:r>
              <w:rPr>
                <w:b/>
                <w:bCs/>
                <w:szCs w:val="22"/>
                <w:u w:val="single"/>
              </w:rPr>
              <w:t>Наследствено резистентни щамове</w:t>
            </w:r>
          </w:p>
          <w:p w14:paraId="2FD20B6E" w14:textId="77777777" w:rsidR="00D27164" w:rsidRPr="00991CED" w:rsidRDefault="00D27164" w:rsidP="00137770">
            <w:pPr>
              <w:tabs>
                <w:tab w:val="clear" w:pos="567"/>
              </w:tabs>
              <w:autoSpaceDE w:val="0"/>
              <w:autoSpaceDN w:val="0"/>
              <w:adjustRightInd w:val="0"/>
              <w:spacing w:line="240" w:lineRule="auto"/>
              <w:rPr>
                <w:rFonts w:eastAsia="Calibri"/>
                <w:b/>
                <w:bCs/>
                <w:i/>
                <w:iCs/>
                <w:szCs w:val="22"/>
                <w:lang w:val="en-US"/>
              </w:rPr>
            </w:pPr>
          </w:p>
          <w:p w14:paraId="280D5746" w14:textId="77777777" w:rsidR="00E7688E" w:rsidRPr="00991CED" w:rsidRDefault="00E7688E" w:rsidP="00137770">
            <w:pPr>
              <w:tabs>
                <w:tab w:val="clear" w:pos="567"/>
              </w:tabs>
              <w:autoSpaceDE w:val="0"/>
              <w:autoSpaceDN w:val="0"/>
              <w:adjustRightInd w:val="0"/>
              <w:spacing w:line="240" w:lineRule="auto"/>
              <w:rPr>
                <w:rFonts w:eastAsia="Calibri"/>
                <w:b/>
                <w:bCs/>
                <w:i/>
                <w:iCs/>
                <w:szCs w:val="22"/>
                <w:u w:val="single"/>
              </w:rPr>
            </w:pPr>
            <w:r>
              <w:rPr>
                <w:b/>
                <w:bCs/>
                <w:i/>
                <w:iCs/>
                <w:szCs w:val="22"/>
                <w:u w:val="single"/>
              </w:rPr>
              <w:t>Аеробни Грам-положителни бактерии</w:t>
            </w:r>
          </w:p>
          <w:p w14:paraId="22D9E9E1" w14:textId="77777777" w:rsidR="00E7688E" w:rsidRPr="00991CED" w:rsidRDefault="00E7688E" w:rsidP="00137770">
            <w:pPr>
              <w:tabs>
                <w:tab w:val="clear" w:pos="567"/>
              </w:tabs>
              <w:autoSpaceDE w:val="0"/>
              <w:autoSpaceDN w:val="0"/>
              <w:adjustRightInd w:val="0"/>
              <w:spacing w:line="240" w:lineRule="auto"/>
              <w:jc w:val="both"/>
              <w:rPr>
                <w:rFonts w:eastAsia="Calibri"/>
                <w:szCs w:val="22"/>
              </w:rPr>
            </w:pPr>
            <w:r>
              <w:rPr>
                <w:i/>
                <w:iCs/>
                <w:szCs w:val="22"/>
              </w:rPr>
              <w:t>Enterococcus faecium</w:t>
            </w:r>
          </w:p>
        </w:tc>
      </w:tr>
    </w:tbl>
    <w:p w14:paraId="767D624B" w14:textId="76BB1E2A" w:rsidR="009E2420" w:rsidRPr="00991CED" w:rsidRDefault="00C817A7" w:rsidP="009E2420">
      <w:pPr>
        <w:tabs>
          <w:tab w:val="clear" w:pos="567"/>
        </w:tabs>
        <w:autoSpaceDE w:val="0"/>
        <w:autoSpaceDN w:val="0"/>
        <w:adjustRightInd w:val="0"/>
        <w:spacing w:line="240" w:lineRule="auto"/>
        <w:jc w:val="both"/>
        <w:rPr>
          <w:szCs w:val="22"/>
        </w:rPr>
      </w:pPr>
      <w:r>
        <w:rPr>
          <w:szCs w:val="22"/>
          <w:vertAlign w:val="superscript"/>
        </w:rPr>
        <w:lastRenderedPageBreak/>
        <w:t>#</w:t>
      </w:r>
      <w:r>
        <w:t xml:space="preserve"> Много вероятно е метицилин-резистентни </w:t>
      </w:r>
      <w:r>
        <w:rPr>
          <w:i/>
          <w:iCs/>
          <w:szCs w:val="22"/>
        </w:rPr>
        <w:t>S. aureus</w:t>
      </w:r>
      <w:r>
        <w:t xml:space="preserve"> да имат ко</w:t>
      </w:r>
      <w:r w:rsidR="00383760">
        <w:rPr>
          <w:lang w:val="en-US"/>
        </w:rPr>
        <w:t>-</w:t>
      </w:r>
      <w:r>
        <w:t>резистентност към флуорохинолони, включително левофлоксацин.</w:t>
      </w:r>
    </w:p>
    <w:p w14:paraId="4330C83D" w14:textId="77777777" w:rsidR="001D29E6" w:rsidRPr="00991CED" w:rsidRDefault="001D29E6" w:rsidP="009F4BA4">
      <w:pPr>
        <w:spacing w:line="240" w:lineRule="auto"/>
        <w:rPr>
          <w:szCs w:val="22"/>
        </w:rPr>
      </w:pPr>
    </w:p>
    <w:p w14:paraId="417EA2B4" w14:textId="77777777" w:rsidR="001D29E6" w:rsidRPr="00991CED" w:rsidRDefault="001D29E6" w:rsidP="009F4BA4">
      <w:pPr>
        <w:spacing w:line="240" w:lineRule="auto"/>
        <w:ind w:left="567" w:hanging="567"/>
        <w:rPr>
          <w:b/>
          <w:szCs w:val="22"/>
        </w:rPr>
      </w:pPr>
      <w:r>
        <w:rPr>
          <w:b/>
          <w:szCs w:val="22"/>
        </w:rPr>
        <w:t>5.2</w:t>
      </w:r>
      <w:r>
        <w:rPr>
          <w:b/>
          <w:szCs w:val="22"/>
        </w:rPr>
        <w:tab/>
        <w:t>Фармакокинетични свойства</w:t>
      </w:r>
    </w:p>
    <w:p w14:paraId="3234A55D" w14:textId="77777777" w:rsidR="00C53ACC" w:rsidRPr="00991CED" w:rsidRDefault="00C53ACC" w:rsidP="009F4BA4">
      <w:pPr>
        <w:spacing w:line="240" w:lineRule="auto"/>
        <w:ind w:left="567" w:hanging="567"/>
        <w:rPr>
          <w:szCs w:val="22"/>
        </w:rPr>
      </w:pPr>
    </w:p>
    <w:p w14:paraId="28B8AFB0" w14:textId="77777777" w:rsidR="00AF33F8" w:rsidRPr="00991CED" w:rsidRDefault="00AF33F8" w:rsidP="00AF33F8">
      <w:pPr>
        <w:numPr>
          <w:ilvl w:val="12"/>
          <w:numId w:val="0"/>
        </w:numPr>
        <w:spacing w:line="240" w:lineRule="auto"/>
        <w:ind w:right="-2"/>
        <w:rPr>
          <w:iCs/>
          <w:noProof/>
          <w:szCs w:val="22"/>
          <w:u w:val="single"/>
        </w:rPr>
      </w:pPr>
      <w:r>
        <w:rPr>
          <w:iCs/>
          <w:szCs w:val="22"/>
          <w:u w:val="single"/>
        </w:rPr>
        <w:t>Абсорбция</w:t>
      </w:r>
    </w:p>
    <w:p w14:paraId="5038B0AE" w14:textId="77777777" w:rsidR="0097648C" w:rsidRPr="00991CED" w:rsidRDefault="0097648C" w:rsidP="00AF33F8">
      <w:pPr>
        <w:numPr>
          <w:ilvl w:val="12"/>
          <w:numId w:val="0"/>
        </w:numPr>
        <w:spacing w:line="240" w:lineRule="auto"/>
        <w:ind w:right="-2"/>
        <w:rPr>
          <w:iCs/>
          <w:noProof/>
          <w:szCs w:val="22"/>
        </w:rPr>
      </w:pPr>
    </w:p>
    <w:p w14:paraId="29DED077" w14:textId="77777777" w:rsidR="00AF33F8" w:rsidRPr="00991CED" w:rsidRDefault="00AF33F8" w:rsidP="00AF33F8">
      <w:pPr>
        <w:numPr>
          <w:ilvl w:val="12"/>
          <w:numId w:val="0"/>
        </w:numPr>
        <w:spacing w:line="240" w:lineRule="auto"/>
        <w:ind w:right="-2"/>
        <w:rPr>
          <w:iCs/>
          <w:noProof/>
          <w:szCs w:val="22"/>
        </w:rPr>
      </w:pPr>
      <w:r>
        <w:t>Перорално приложеният левофлоксацин се абсорбира бързо и почти напълно, а пиковите плазмени концентрации се достигат в рамките на 1 – 2 часа. Абсолютната бионаличност е 99 – 100%.</w:t>
      </w:r>
    </w:p>
    <w:p w14:paraId="63F0231F" w14:textId="77777777" w:rsidR="00AF33F8" w:rsidRPr="00991CED" w:rsidRDefault="00AF33F8" w:rsidP="00AF33F8">
      <w:pPr>
        <w:numPr>
          <w:ilvl w:val="12"/>
          <w:numId w:val="0"/>
        </w:numPr>
        <w:spacing w:line="240" w:lineRule="auto"/>
        <w:ind w:right="-2"/>
        <w:rPr>
          <w:iCs/>
          <w:noProof/>
          <w:szCs w:val="22"/>
        </w:rPr>
      </w:pPr>
      <w:r>
        <w:t>Храната има слаб ефект върху абсорбцията на левофлоксацин.</w:t>
      </w:r>
    </w:p>
    <w:p w14:paraId="0E803774" w14:textId="77777777" w:rsidR="00AF33F8" w:rsidRPr="00991CED" w:rsidRDefault="00AF33F8" w:rsidP="00AF33F8">
      <w:pPr>
        <w:numPr>
          <w:ilvl w:val="12"/>
          <w:numId w:val="0"/>
        </w:numPr>
        <w:spacing w:line="240" w:lineRule="auto"/>
        <w:ind w:right="-2"/>
        <w:rPr>
          <w:iCs/>
          <w:noProof/>
          <w:szCs w:val="22"/>
        </w:rPr>
      </w:pPr>
      <w:r>
        <w:t>Условия на стационарно състояние се достигат в рамките на 48 часа след схема на прилагане 500 mg веднъж или два пъти дневно.</w:t>
      </w:r>
    </w:p>
    <w:p w14:paraId="67DC12CA" w14:textId="77777777" w:rsidR="0097648C" w:rsidRPr="00991CED" w:rsidRDefault="0097648C" w:rsidP="00AF33F8">
      <w:pPr>
        <w:numPr>
          <w:ilvl w:val="12"/>
          <w:numId w:val="0"/>
        </w:numPr>
        <w:spacing w:line="240" w:lineRule="auto"/>
        <w:ind w:right="-2"/>
        <w:rPr>
          <w:iCs/>
          <w:noProof/>
          <w:szCs w:val="22"/>
        </w:rPr>
      </w:pPr>
    </w:p>
    <w:p w14:paraId="00C9AB53" w14:textId="77777777" w:rsidR="00AF33F8" w:rsidRPr="00991CED" w:rsidRDefault="00AF33F8" w:rsidP="00AF33F8">
      <w:pPr>
        <w:numPr>
          <w:ilvl w:val="12"/>
          <w:numId w:val="0"/>
        </w:numPr>
        <w:spacing w:line="240" w:lineRule="auto"/>
        <w:ind w:right="-2"/>
        <w:rPr>
          <w:iCs/>
          <w:noProof/>
          <w:szCs w:val="22"/>
          <w:u w:val="single"/>
        </w:rPr>
      </w:pPr>
      <w:r>
        <w:rPr>
          <w:iCs/>
          <w:szCs w:val="22"/>
          <w:u w:val="single"/>
        </w:rPr>
        <w:t>Разпределение</w:t>
      </w:r>
    </w:p>
    <w:p w14:paraId="53BE3DC2" w14:textId="77777777" w:rsidR="0066209A" w:rsidRPr="00991CED" w:rsidRDefault="0066209A" w:rsidP="00AF33F8">
      <w:pPr>
        <w:numPr>
          <w:ilvl w:val="12"/>
          <w:numId w:val="0"/>
        </w:numPr>
        <w:spacing w:line="240" w:lineRule="auto"/>
        <w:ind w:right="-2"/>
        <w:rPr>
          <w:iCs/>
          <w:noProof/>
          <w:szCs w:val="22"/>
        </w:rPr>
      </w:pPr>
    </w:p>
    <w:p w14:paraId="44541491" w14:textId="77777777" w:rsidR="00AF33F8" w:rsidRPr="00991CED" w:rsidRDefault="00AF33F8" w:rsidP="00AF33F8">
      <w:pPr>
        <w:numPr>
          <w:ilvl w:val="12"/>
          <w:numId w:val="0"/>
        </w:numPr>
        <w:spacing w:line="240" w:lineRule="auto"/>
        <w:ind w:right="-2"/>
        <w:rPr>
          <w:iCs/>
          <w:noProof/>
          <w:szCs w:val="22"/>
        </w:rPr>
      </w:pPr>
      <w:r>
        <w:t>Приблизително 30 – 40% левофлоксацин се свързва със серумните протеини.</w:t>
      </w:r>
    </w:p>
    <w:p w14:paraId="68A5E2DA" w14:textId="77777777" w:rsidR="00AF33F8" w:rsidRPr="00991CED" w:rsidRDefault="00AF33F8" w:rsidP="00AF33F8">
      <w:pPr>
        <w:numPr>
          <w:ilvl w:val="12"/>
          <w:numId w:val="0"/>
        </w:numPr>
        <w:spacing w:line="240" w:lineRule="auto"/>
        <w:ind w:right="-2"/>
        <w:rPr>
          <w:iCs/>
          <w:noProof/>
          <w:szCs w:val="22"/>
        </w:rPr>
      </w:pPr>
      <w:r>
        <w:t>Средният обем на разпределение на левофлоксацин е приблизително 100 l след единична и многократни дози от 500 mg, което показва широко разпределение в телесните тъкани.</w:t>
      </w:r>
    </w:p>
    <w:p w14:paraId="3EFCBFC7" w14:textId="77777777" w:rsidR="003000A5" w:rsidRPr="00991CED" w:rsidRDefault="003000A5" w:rsidP="00AF33F8">
      <w:pPr>
        <w:numPr>
          <w:ilvl w:val="12"/>
          <w:numId w:val="0"/>
        </w:numPr>
        <w:spacing w:line="240" w:lineRule="auto"/>
        <w:ind w:right="-2"/>
        <w:rPr>
          <w:iCs/>
          <w:noProof/>
          <w:szCs w:val="22"/>
        </w:rPr>
      </w:pPr>
    </w:p>
    <w:p w14:paraId="0156156E" w14:textId="77777777" w:rsidR="00AF33F8" w:rsidRPr="00991CED" w:rsidRDefault="00AF33F8" w:rsidP="00AF33F8">
      <w:pPr>
        <w:numPr>
          <w:ilvl w:val="12"/>
          <w:numId w:val="0"/>
        </w:numPr>
        <w:spacing w:line="240" w:lineRule="auto"/>
        <w:ind w:right="-2"/>
        <w:rPr>
          <w:iCs/>
          <w:noProof/>
          <w:szCs w:val="22"/>
          <w:u w:val="single"/>
        </w:rPr>
      </w:pPr>
      <w:r>
        <w:rPr>
          <w:iCs/>
          <w:szCs w:val="22"/>
          <w:u w:val="single"/>
        </w:rPr>
        <w:t>Проникване в тъканите и телесните течности</w:t>
      </w:r>
    </w:p>
    <w:p w14:paraId="5E80D229" w14:textId="77777777" w:rsidR="00AF33F8" w:rsidRPr="00991CED" w:rsidRDefault="00AF33F8" w:rsidP="00AF33F8">
      <w:pPr>
        <w:numPr>
          <w:ilvl w:val="12"/>
          <w:numId w:val="0"/>
        </w:numPr>
        <w:spacing w:line="240" w:lineRule="auto"/>
        <w:ind w:right="-2"/>
        <w:rPr>
          <w:iCs/>
          <w:noProof/>
          <w:szCs w:val="22"/>
        </w:rPr>
      </w:pPr>
      <w:r>
        <w:t>Установено е, че левофлоксацин прониква в бронхиалната лигавица, епителната покривна течност, алвеоларните макрофаги, белодробната тъкан, кожата (течността в мехурите), тъканта на простатата и урината. Левофлоксацин обаче прониква слабо в цереброспиналната течност.</w:t>
      </w:r>
    </w:p>
    <w:p w14:paraId="0F0B4764" w14:textId="77777777" w:rsidR="003000A5" w:rsidRPr="00991CED" w:rsidRDefault="003000A5" w:rsidP="00AF33F8">
      <w:pPr>
        <w:numPr>
          <w:ilvl w:val="12"/>
          <w:numId w:val="0"/>
        </w:numPr>
        <w:spacing w:line="240" w:lineRule="auto"/>
        <w:ind w:right="-2"/>
        <w:rPr>
          <w:iCs/>
          <w:noProof/>
          <w:szCs w:val="22"/>
        </w:rPr>
      </w:pPr>
    </w:p>
    <w:p w14:paraId="3EBE73C3" w14:textId="77777777" w:rsidR="00AF33F8" w:rsidRPr="00991CED" w:rsidRDefault="00AF33F8" w:rsidP="00AF33F8">
      <w:pPr>
        <w:numPr>
          <w:ilvl w:val="12"/>
          <w:numId w:val="0"/>
        </w:numPr>
        <w:spacing w:line="240" w:lineRule="auto"/>
        <w:ind w:right="-2"/>
        <w:rPr>
          <w:iCs/>
          <w:noProof/>
          <w:szCs w:val="22"/>
          <w:u w:val="single"/>
        </w:rPr>
      </w:pPr>
      <w:r>
        <w:rPr>
          <w:iCs/>
          <w:szCs w:val="22"/>
          <w:u w:val="single"/>
        </w:rPr>
        <w:t>Биотрансформация</w:t>
      </w:r>
    </w:p>
    <w:p w14:paraId="2B6BCEAA" w14:textId="77777777" w:rsidR="003000A5" w:rsidRPr="00991CED" w:rsidRDefault="003000A5" w:rsidP="00AF33F8">
      <w:pPr>
        <w:numPr>
          <w:ilvl w:val="12"/>
          <w:numId w:val="0"/>
        </w:numPr>
        <w:spacing w:line="240" w:lineRule="auto"/>
        <w:ind w:right="-2"/>
        <w:rPr>
          <w:iCs/>
          <w:noProof/>
          <w:szCs w:val="22"/>
        </w:rPr>
      </w:pPr>
    </w:p>
    <w:p w14:paraId="61E42CE4" w14:textId="77777777" w:rsidR="00AF33F8" w:rsidRPr="00991CED" w:rsidRDefault="00AF33F8" w:rsidP="00AF33F8">
      <w:pPr>
        <w:numPr>
          <w:ilvl w:val="12"/>
          <w:numId w:val="0"/>
        </w:numPr>
        <w:spacing w:line="240" w:lineRule="auto"/>
        <w:ind w:right="-2"/>
        <w:rPr>
          <w:iCs/>
          <w:noProof/>
          <w:szCs w:val="22"/>
        </w:rPr>
      </w:pPr>
      <w:r>
        <w:t>Левофлоксацин се метаболизира в много малка степен до метаболитите дезметил-левофлоксацин и левофлоксацин N-оксид. Тези метаболити представляват &lt; 5% от дозата и се екскретират в урината. Левофлоксацин е стереохимично стабилен и не претърпява хирална инверсия.</w:t>
      </w:r>
    </w:p>
    <w:p w14:paraId="099B1E91" w14:textId="77777777" w:rsidR="008C0B9B" w:rsidRPr="00991CED" w:rsidRDefault="008C0B9B" w:rsidP="00AF33F8">
      <w:pPr>
        <w:numPr>
          <w:ilvl w:val="12"/>
          <w:numId w:val="0"/>
        </w:numPr>
        <w:spacing w:line="240" w:lineRule="auto"/>
        <w:ind w:right="-2"/>
        <w:rPr>
          <w:iCs/>
          <w:noProof/>
          <w:szCs w:val="22"/>
        </w:rPr>
      </w:pPr>
    </w:p>
    <w:p w14:paraId="1EF05E32" w14:textId="77777777" w:rsidR="00AF33F8" w:rsidRPr="00991CED" w:rsidRDefault="00AF33F8" w:rsidP="00AF33F8">
      <w:pPr>
        <w:numPr>
          <w:ilvl w:val="12"/>
          <w:numId w:val="0"/>
        </w:numPr>
        <w:spacing w:line="240" w:lineRule="auto"/>
        <w:ind w:right="-2"/>
        <w:rPr>
          <w:iCs/>
          <w:noProof/>
          <w:szCs w:val="22"/>
          <w:u w:val="single"/>
        </w:rPr>
      </w:pPr>
      <w:r>
        <w:rPr>
          <w:iCs/>
          <w:szCs w:val="22"/>
          <w:u w:val="single"/>
        </w:rPr>
        <w:t>Елиминиране</w:t>
      </w:r>
    </w:p>
    <w:p w14:paraId="065A5C84" w14:textId="77777777" w:rsidR="008C0B9B" w:rsidRPr="00991CED" w:rsidRDefault="008C0B9B" w:rsidP="00AF33F8">
      <w:pPr>
        <w:numPr>
          <w:ilvl w:val="12"/>
          <w:numId w:val="0"/>
        </w:numPr>
        <w:spacing w:line="240" w:lineRule="auto"/>
        <w:ind w:right="-2"/>
        <w:rPr>
          <w:iCs/>
          <w:noProof/>
          <w:szCs w:val="22"/>
        </w:rPr>
      </w:pPr>
    </w:p>
    <w:p w14:paraId="539BD7D8" w14:textId="77777777" w:rsidR="00AF33F8" w:rsidRPr="00991CED" w:rsidRDefault="00AF33F8" w:rsidP="00AF33F8">
      <w:pPr>
        <w:numPr>
          <w:ilvl w:val="12"/>
          <w:numId w:val="0"/>
        </w:numPr>
        <w:spacing w:line="240" w:lineRule="auto"/>
        <w:ind w:right="-2"/>
        <w:rPr>
          <w:iCs/>
          <w:noProof/>
          <w:szCs w:val="22"/>
        </w:rPr>
      </w:pPr>
      <w:r>
        <w:t>След перорално и интравенозно приложение левофлоксацин се елиминира относително бавно от плазмата (t½: 6 – 8 часа). Екскрецията се извършва предимно през бъбреците (&gt; 85% от приложената доза).</w:t>
      </w:r>
    </w:p>
    <w:p w14:paraId="1CB45389" w14:textId="77777777" w:rsidR="00395EB4" w:rsidRPr="00991CED" w:rsidRDefault="00AF33F8" w:rsidP="00AF33F8">
      <w:pPr>
        <w:numPr>
          <w:ilvl w:val="12"/>
          <w:numId w:val="0"/>
        </w:numPr>
        <w:spacing w:line="240" w:lineRule="auto"/>
        <w:ind w:right="-2"/>
        <w:rPr>
          <w:iCs/>
          <w:noProof/>
          <w:szCs w:val="22"/>
        </w:rPr>
      </w:pPr>
      <w:r>
        <w:lastRenderedPageBreak/>
        <w:t>Средният привиден общ телесен клирънс на левофлоксацин след единична доза от 500 mg е 175 ± 29,2 ml/min.</w:t>
      </w:r>
    </w:p>
    <w:p w14:paraId="4CF56EFC" w14:textId="77777777" w:rsidR="00A5469E" w:rsidRPr="00991CED" w:rsidRDefault="00A5469E" w:rsidP="00A5469E">
      <w:pPr>
        <w:tabs>
          <w:tab w:val="clear" w:pos="567"/>
        </w:tabs>
        <w:autoSpaceDE w:val="0"/>
        <w:autoSpaceDN w:val="0"/>
        <w:adjustRightInd w:val="0"/>
        <w:spacing w:line="240" w:lineRule="auto"/>
        <w:rPr>
          <w:szCs w:val="22"/>
        </w:rPr>
      </w:pPr>
      <w:r>
        <w:t>Няма големи разлики във фармакокинетиката на левофлоксацин след интравенозно и перорално приложение, което предполага взаимозаменяемост на пероралния и интравенозния път.</w:t>
      </w:r>
    </w:p>
    <w:p w14:paraId="7EAF8692" w14:textId="77777777" w:rsidR="00A06A17" w:rsidRPr="00991CED" w:rsidRDefault="00A06A17" w:rsidP="00A5469E">
      <w:pPr>
        <w:tabs>
          <w:tab w:val="clear" w:pos="567"/>
        </w:tabs>
        <w:autoSpaceDE w:val="0"/>
        <w:autoSpaceDN w:val="0"/>
        <w:adjustRightInd w:val="0"/>
        <w:spacing w:line="240" w:lineRule="auto"/>
        <w:rPr>
          <w:szCs w:val="22"/>
          <w:lang w:val="en-US"/>
        </w:rPr>
      </w:pPr>
    </w:p>
    <w:p w14:paraId="2ECA84C1" w14:textId="77777777" w:rsidR="00A5469E" w:rsidRPr="00991CED" w:rsidRDefault="00A5469E" w:rsidP="00A5469E">
      <w:pPr>
        <w:tabs>
          <w:tab w:val="clear" w:pos="567"/>
        </w:tabs>
        <w:autoSpaceDE w:val="0"/>
        <w:autoSpaceDN w:val="0"/>
        <w:adjustRightInd w:val="0"/>
        <w:spacing w:line="240" w:lineRule="auto"/>
        <w:rPr>
          <w:szCs w:val="22"/>
          <w:u w:val="single"/>
        </w:rPr>
      </w:pPr>
      <w:r>
        <w:rPr>
          <w:szCs w:val="22"/>
          <w:u w:val="single"/>
        </w:rPr>
        <w:t>Линейност</w:t>
      </w:r>
    </w:p>
    <w:p w14:paraId="2A53A161" w14:textId="77777777" w:rsidR="00A06A17" w:rsidRPr="00991CED" w:rsidRDefault="00A06A17" w:rsidP="00A5469E">
      <w:pPr>
        <w:tabs>
          <w:tab w:val="clear" w:pos="567"/>
        </w:tabs>
        <w:autoSpaceDE w:val="0"/>
        <w:autoSpaceDN w:val="0"/>
        <w:adjustRightInd w:val="0"/>
        <w:spacing w:line="240" w:lineRule="auto"/>
        <w:rPr>
          <w:szCs w:val="22"/>
          <w:lang w:val="en-US"/>
        </w:rPr>
      </w:pPr>
    </w:p>
    <w:p w14:paraId="6562C1BB" w14:textId="77777777" w:rsidR="00A5469E" w:rsidRPr="00991CED" w:rsidRDefault="00A5469E" w:rsidP="00A5469E">
      <w:pPr>
        <w:tabs>
          <w:tab w:val="clear" w:pos="567"/>
        </w:tabs>
        <w:autoSpaceDE w:val="0"/>
        <w:autoSpaceDN w:val="0"/>
        <w:adjustRightInd w:val="0"/>
        <w:spacing w:line="240" w:lineRule="auto"/>
        <w:rPr>
          <w:szCs w:val="22"/>
        </w:rPr>
      </w:pPr>
      <w:r>
        <w:t>Левофлоксацин притежава линейна фармакокинетика в диапазон от 50 до 1 000 mg.</w:t>
      </w:r>
    </w:p>
    <w:p w14:paraId="18AF0551" w14:textId="77777777" w:rsidR="00A06A17" w:rsidRPr="00991CED" w:rsidRDefault="00A06A17" w:rsidP="00A5469E">
      <w:pPr>
        <w:tabs>
          <w:tab w:val="clear" w:pos="567"/>
        </w:tabs>
        <w:autoSpaceDE w:val="0"/>
        <w:autoSpaceDN w:val="0"/>
        <w:adjustRightInd w:val="0"/>
        <w:spacing w:line="240" w:lineRule="auto"/>
        <w:rPr>
          <w:szCs w:val="22"/>
          <w:lang w:val="en-US"/>
        </w:rPr>
      </w:pPr>
    </w:p>
    <w:p w14:paraId="0D6BBADD" w14:textId="77777777" w:rsidR="00A5469E" w:rsidRPr="00991CED" w:rsidRDefault="00A5469E" w:rsidP="00A5469E">
      <w:pPr>
        <w:tabs>
          <w:tab w:val="clear" w:pos="567"/>
        </w:tabs>
        <w:autoSpaceDE w:val="0"/>
        <w:autoSpaceDN w:val="0"/>
        <w:adjustRightInd w:val="0"/>
        <w:spacing w:line="240" w:lineRule="auto"/>
        <w:rPr>
          <w:szCs w:val="22"/>
          <w:u w:val="single"/>
        </w:rPr>
      </w:pPr>
      <w:r>
        <w:rPr>
          <w:szCs w:val="22"/>
          <w:u w:val="single"/>
        </w:rPr>
        <w:t>Специални популации</w:t>
      </w:r>
    </w:p>
    <w:p w14:paraId="78EC59DE" w14:textId="77777777" w:rsidR="00A06A17" w:rsidRPr="00991CED" w:rsidRDefault="00A06A17" w:rsidP="00A5469E">
      <w:pPr>
        <w:tabs>
          <w:tab w:val="clear" w:pos="567"/>
        </w:tabs>
        <w:autoSpaceDE w:val="0"/>
        <w:autoSpaceDN w:val="0"/>
        <w:adjustRightInd w:val="0"/>
        <w:spacing w:line="240" w:lineRule="auto"/>
        <w:rPr>
          <w:i/>
          <w:iCs/>
          <w:szCs w:val="22"/>
          <w:lang w:val="en-US"/>
        </w:rPr>
      </w:pPr>
    </w:p>
    <w:p w14:paraId="1E409296" w14:textId="77777777" w:rsidR="00A5469E" w:rsidRPr="00991CED" w:rsidRDefault="00A5469E" w:rsidP="00A5469E">
      <w:pPr>
        <w:tabs>
          <w:tab w:val="clear" w:pos="567"/>
        </w:tabs>
        <w:autoSpaceDE w:val="0"/>
        <w:autoSpaceDN w:val="0"/>
        <w:adjustRightInd w:val="0"/>
        <w:spacing w:line="240" w:lineRule="auto"/>
        <w:rPr>
          <w:i/>
          <w:iCs/>
          <w:szCs w:val="22"/>
        </w:rPr>
      </w:pPr>
      <w:r>
        <w:rPr>
          <w:i/>
          <w:iCs/>
          <w:szCs w:val="22"/>
        </w:rPr>
        <w:t>Пациенти с бъбречна недостатъчност</w:t>
      </w:r>
    </w:p>
    <w:p w14:paraId="2E443E90" w14:textId="77777777" w:rsidR="00A06A17" w:rsidRPr="00991CED" w:rsidRDefault="00A06A17" w:rsidP="00A5469E">
      <w:pPr>
        <w:tabs>
          <w:tab w:val="clear" w:pos="567"/>
        </w:tabs>
        <w:autoSpaceDE w:val="0"/>
        <w:autoSpaceDN w:val="0"/>
        <w:adjustRightInd w:val="0"/>
        <w:spacing w:line="240" w:lineRule="auto"/>
        <w:rPr>
          <w:szCs w:val="22"/>
          <w:lang w:val="en-US"/>
        </w:rPr>
      </w:pPr>
    </w:p>
    <w:p w14:paraId="0B20EB63" w14:textId="77777777" w:rsidR="00A5469E" w:rsidRPr="00991CED" w:rsidRDefault="00A5469E" w:rsidP="00A5469E">
      <w:pPr>
        <w:tabs>
          <w:tab w:val="clear" w:pos="567"/>
        </w:tabs>
        <w:autoSpaceDE w:val="0"/>
        <w:autoSpaceDN w:val="0"/>
        <w:adjustRightInd w:val="0"/>
        <w:spacing w:line="240" w:lineRule="auto"/>
        <w:rPr>
          <w:szCs w:val="22"/>
        </w:rPr>
      </w:pPr>
      <w:r>
        <w:t>Фармакокинетиката на левофлоксацин се засяга при бъбречно увреждане. При намаляване на бъбречната функция бъбречното елиминиране и бъбречният клирънс намаляват, а елиминационните полуживоти се удължават, както е показано в таблицата по-долу:</w:t>
      </w:r>
    </w:p>
    <w:p w14:paraId="08F2FCFA" w14:textId="77777777" w:rsidR="00395EB4" w:rsidRPr="00991CED" w:rsidRDefault="00A5469E" w:rsidP="00A5469E">
      <w:pPr>
        <w:numPr>
          <w:ilvl w:val="12"/>
          <w:numId w:val="0"/>
        </w:numPr>
        <w:spacing w:line="240" w:lineRule="auto"/>
        <w:ind w:right="-2"/>
        <w:rPr>
          <w:szCs w:val="22"/>
        </w:rPr>
      </w:pPr>
      <w:r>
        <w:t>Фармакокинетика при бъбречна недостатъчност след единична перорална доза от 500 mg</w:t>
      </w:r>
    </w:p>
    <w:p w14:paraId="6CDFA549" w14:textId="77777777" w:rsidR="00467892" w:rsidRPr="00991CED" w:rsidRDefault="00467892" w:rsidP="00A5469E">
      <w:pPr>
        <w:numPr>
          <w:ilvl w:val="12"/>
          <w:numId w:val="0"/>
        </w:numPr>
        <w:spacing w:line="240" w:lineRule="auto"/>
        <w:ind w:right="-2"/>
        <w:rPr>
          <w:szCs w:val="22"/>
          <w:lang w:val="en-US"/>
        </w:rPr>
      </w:pPr>
    </w:p>
    <w:tbl>
      <w:tblPr>
        <w:tblW w:w="0" w:type="auto"/>
        <w:tblInd w:w="577" w:type="dxa"/>
        <w:tblLayout w:type="fixed"/>
        <w:tblCellMar>
          <w:left w:w="0" w:type="dxa"/>
          <w:right w:w="0" w:type="dxa"/>
        </w:tblCellMar>
        <w:tblLook w:val="01E0" w:firstRow="1" w:lastRow="1" w:firstColumn="1" w:lastColumn="1" w:noHBand="0" w:noVBand="0"/>
      </w:tblPr>
      <w:tblGrid>
        <w:gridCol w:w="1858"/>
        <w:gridCol w:w="1674"/>
        <w:gridCol w:w="1678"/>
        <w:gridCol w:w="1674"/>
      </w:tblGrid>
      <w:tr w:rsidR="00467892" w:rsidRPr="00991CED" w14:paraId="769E85CD" w14:textId="77777777" w:rsidTr="00467892">
        <w:trPr>
          <w:trHeight w:hRule="exact" w:val="371"/>
        </w:trPr>
        <w:tc>
          <w:tcPr>
            <w:tcW w:w="1858" w:type="dxa"/>
            <w:tcBorders>
              <w:top w:val="single" w:sz="11" w:space="0" w:color="000000"/>
              <w:left w:val="single" w:sz="8" w:space="0" w:color="000000"/>
              <w:bottom w:val="single" w:sz="8" w:space="0" w:color="000000"/>
              <w:right w:val="single" w:sz="8" w:space="0" w:color="000000"/>
            </w:tcBorders>
          </w:tcPr>
          <w:p w14:paraId="5AD4D0A3" w14:textId="77777777" w:rsidR="00467892" w:rsidRPr="00991CED" w:rsidRDefault="00467892" w:rsidP="00467892">
            <w:pPr>
              <w:widowControl w:val="0"/>
              <w:tabs>
                <w:tab w:val="clear" w:pos="567"/>
              </w:tabs>
              <w:spacing w:line="299" w:lineRule="exact"/>
              <w:ind w:left="115" w:right="-20"/>
              <w:rPr>
                <w:szCs w:val="22"/>
              </w:rPr>
            </w:pPr>
            <w:r>
              <w:t>Cl</w:t>
            </w:r>
            <w:r>
              <w:rPr>
                <w:szCs w:val="22"/>
                <w:vertAlign w:val="subscript"/>
              </w:rPr>
              <w:t>cr</w:t>
            </w:r>
            <w:r>
              <w:t xml:space="preserve">  [ml/min]</w:t>
            </w:r>
          </w:p>
        </w:tc>
        <w:tc>
          <w:tcPr>
            <w:tcW w:w="1674" w:type="dxa"/>
            <w:tcBorders>
              <w:top w:val="single" w:sz="11" w:space="0" w:color="000000"/>
              <w:left w:val="single" w:sz="8" w:space="0" w:color="000000"/>
              <w:bottom w:val="single" w:sz="8" w:space="0" w:color="000000"/>
              <w:right w:val="single" w:sz="11" w:space="0" w:color="000000"/>
            </w:tcBorders>
          </w:tcPr>
          <w:p w14:paraId="3154E571" w14:textId="77777777" w:rsidR="00467892" w:rsidRPr="00991CED" w:rsidRDefault="00467892" w:rsidP="00467892">
            <w:pPr>
              <w:widowControl w:val="0"/>
              <w:tabs>
                <w:tab w:val="clear" w:pos="567"/>
              </w:tabs>
              <w:spacing w:line="251" w:lineRule="exact"/>
              <w:ind w:left="582" w:right="541"/>
              <w:jc w:val="center"/>
              <w:rPr>
                <w:szCs w:val="22"/>
              </w:rPr>
            </w:pPr>
            <w:r>
              <w:t>&lt; 20</w:t>
            </w:r>
          </w:p>
        </w:tc>
        <w:tc>
          <w:tcPr>
            <w:tcW w:w="1678" w:type="dxa"/>
            <w:tcBorders>
              <w:top w:val="single" w:sz="11" w:space="0" w:color="000000"/>
              <w:left w:val="single" w:sz="11" w:space="0" w:color="000000"/>
              <w:bottom w:val="single" w:sz="8" w:space="0" w:color="000000"/>
              <w:right w:val="single" w:sz="11" w:space="0" w:color="000000"/>
            </w:tcBorders>
          </w:tcPr>
          <w:p w14:paraId="20F2ECEE" w14:textId="77777777" w:rsidR="00467892" w:rsidRPr="00991CED" w:rsidRDefault="00467892" w:rsidP="008D3617">
            <w:pPr>
              <w:widowControl w:val="0"/>
              <w:tabs>
                <w:tab w:val="clear" w:pos="567"/>
              </w:tabs>
              <w:spacing w:line="259" w:lineRule="exact"/>
              <w:ind w:left="497" w:right="-20"/>
              <w:rPr>
                <w:szCs w:val="22"/>
              </w:rPr>
            </w:pPr>
            <w:r>
              <w:t>20 – 49</w:t>
            </w:r>
          </w:p>
        </w:tc>
        <w:tc>
          <w:tcPr>
            <w:tcW w:w="1674" w:type="dxa"/>
            <w:tcBorders>
              <w:top w:val="single" w:sz="11" w:space="0" w:color="000000"/>
              <w:left w:val="single" w:sz="11" w:space="0" w:color="000000"/>
              <w:bottom w:val="single" w:sz="8" w:space="0" w:color="000000"/>
              <w:right w:val="single" w:sz="11" w:space="0" w:color="000000"/>
            </w:tcBorders>
          </w:tcPr>
          <w:p w14:paraId="227827E0" w14:textId="77777777" w:rsidR="00467892" w:rsidRPr="00991CED" w:rsidRDefault="00467892" w:rsidP="00467892">
            <w:pPr>
              <w:widowControl w:val="0"/>
              <w:tabs>
                <w:tab w:val="clear" w:pos="567"/>
              </w:tabs>
              <w:spacing w:line="259" w:lineRule="exact"/>
              <w:ind w:left="497" w:right="-20"/>
              <w:rPr>
                <w:szCs w:val="22"/>
              </w:rPr>
            </w:pPr>
            <w:r>
              <w:t>50 – 80</w:t>
            </w:r>
          </w:p>
        </w:tc>
      </w:tr>
      <w:tr w:rsidR="00467892" w:rsidRPr="00991CED" w14:paraId="48B07D9D" w14:textId="77777777" w:rsidTr="00467892">
        <w:trPr>
          <w:trHeight w:hRule="exact" w:val="371"/>
        </w:trPr>
        <w:tc>
          <w:tcPr>
            <w:tcW w:w="1858" w:type="dxa"/>
            <w:tcBorders>
              <w:top w:val="single" w:sz="8" w:space="0" w:color="000000"/>
              <w:left w:val="single" w:sz="8" w:space="0" w:color="000000"/>
              <w:bottom w:val="single" w:sz="11" w:space="0" w:color="000000"/>
              <w:right w:val="single" w:sz="8" w:space="0" w:color="000000"/>
            </w:tcBorders>
          </w:tcPr>
          <w:p w14:paraId="3A8009FA" w14:textId="77777777" w:rsidR="00467892" w:rsidRPr="00991CED" w:rsidRDefault="00467892" w:rsidP="00467892">
            <w:pPr>
              <w:widowControl w:val="0"/>
              <w:tabs>
                <w:tab w:val="clear" w:pos="567"/>
              </w:tabs>
              <w:spacing w:before="1" w:line="240" w:lineRule="auto"/>
              <w:ind w:left="115" w:right="-20"/>
              <w:rPr>
                <w:szCs w:val="22"/>
              </w:rPr>
            </w:pPr>
            <w:r>
              <w:t>Cl</w:t>
            </w:r>
            <w:r>
              <w:rPr>
                <w:szCs w:val="22"/>
                <w:vertAlign w:val="subscript"/>
              </w:rPr>
              <w:t>R</w:t>
            </w:r>
            <w:r>
              <w:t xml:space="preserve"> [ml/min]</w:t>
            </w:r>
          </w:p>
        </w:tc>
        <w:tc>
          <w:tcPr>
            <w:tcW w:w="1674" w:type="dxa"/>
            <w:tcBorders>
              <w:top w:val="single" w:sz="8" w:space="0" w:color="000000"/>
              <w:left w:val="single" w:sz="8" w:space="0" w:color="000000"/>
              <w:bottom w:val="single" w:sz="11" w:space="0" w:color="000000"/>
              <w:right w:val="single" w:sz="11" w:space="0" w:color="000000"/>
            </w:tcBorders>
          </w:tcPr>
          <w:p w14:paraId="5D0B8313" w14:textId="77777777" w:rsidR="00467892" w:rsidRPr="00991CED" w:rsidRDefault="00467892" w:rsidP="00467892">
            <w:pPr>
              <w:widowControl w:val="0"/>
              <w:tabs>
                <w:tab w:val="clear" w:pos="567"/>
              </w:tabs>
              <w:spacing w:line="259" w:lineRule="exact"/>
              <w:ind w:left="697" w:right="613"/>
              <w:jc w:val="center"/>
              <w:rPr>
                <w:szCs w:val="22"/>
              </w:rPr>
            </w:pPr>
            <w:r>
              <w:t>13</w:t>
            </w:r>
          </w:p>
        </w:tc>
        <w:tc>
          <w:tcPr>
            <w:tcW w:w="1678" w:type="dxa"/>
            <w:tcBorders>
              <w:top w:val="single" w:sz="8" w:space="0" w:color="000000"/>
              <w:left w:val="single" w:sz="11" w:space="0" w:color="000000"/>
              <w:bottom w:val="single" w:sz="11" w:space="0" w:color="000000"/>
              <w:right w:val="single" w:sz="11" w:space="0" w:color="000000"/>
            </w:tcBorders>
          </w:tcPr>
          <w:p w14:paraId="1DB06624" w14:textId="77777777" w:rsidR="00467892" w:rsidRPr="00991CED" w:rsidRDefault="00467892" w:rsidP="00467892">
            <w:pPr>
              <w:widowControl w:val="0"/>
              <w:tabs>
                <w:tab w:val="clear" w:pos="567"/>
              </w:tabs>
              <w:spacing w:line="259" w:lineRule="exact"/>
              <w:ind w:left="676" w:right="642"/>
              <w:jc w:val="center"/>
              <w:rPr>
                <w:szCs w:val="22"/>
              </w:rPr>
            </w:pPr>
            <w:r>
              <w:t>26</w:t>
            </w:r>
          </w:p>
        </w:tc>
        <w:tc>
          <w:tcPr>
            <w:tcW w:w="1674" w:type="dxa"/>
            <w:tcBorders>
              <w:top w:val="single" w:sz="8" w:space="0" w:color="000000"/>
              <w:left w:val="single" w:sz="11" w:space="0" w:color="000000"/>
              <w:bottom w:val="single" w:sz="11" w:space="0" w:color="000000"/>
              <w:right w:val="single" w:sz="11" w:space="0" w:color="000000"/>
            </w:tcBorders>
          </w:tcPr>
          <w:p w14:paraId="134B3EAF" w14:textId="77777777" w:rsidR="00467892" w:rsidRPr="00991CED" w:rsidRDefault="00467892" w:rsidP="00467892">
            <w:pPr>
              <w:widowControl w:val="0"/>
              <w:tabs>
                <w:tab w:val="clear" w:pos="567"/>
              </w:tabs>
              <w:spacing w:line="259" w:lineRule="exact"/>
              <w:ind w:left="682" w:right="628"/>
              <w:jc w:val="center"/>
              <w:rPr>
                <w:szCs w:val="22"/>
              </w:rPr>
            </w:pPr>
            <w:r>
              <w:t>57</w:t>
            </w:r>
          </w:p>
        </w:tc>
      </w:tr>
      <w:tr w:rsidR="00467892" w:rsidRPr="00991CED" w14:paraId="1D5CF4DA" w14:textId="77777777" w:rsidTr="00467892">
        <w:trPr>
          <w:trHeight w:hRule="exact" w:val="367"/>
        </w:trPr>
        <w:tc>
          <w:tcPr>
            <w:tcW w:w="1858" w:type="dxa"/>
            <w:tcBorders>
              <w:top w:val="single" w:sz="11" w:space="0" w:color="000000"/>
              <w:left w:val="single" w:sz="8" w:space="0" w:color="000000"/>
              <w:bottom w:val="single" w:sz="11" w:space="0" w:color="000000"/>
              <w:right w:val="single" w:sz="8" w:space="0" w:color="000000"/>
            </w:tcBorders>
          </w:tcPr>
          <w:p w14:paraId="35CFD929" w14:textId="77777777" w:rsidR="00467892" w:rsidRPr="00991CED" w:rsidRDefault="00467892" w:rsidP="00467892">
            <w:pPr>
              <w:widowControl w:val="0"/>
              <w:tabs>
                <w:tab w:val="clear" w:pos="567"/>
              </w:tabs>
              <w:spacing w:line="302" w:lineRule="exact"/>
              <w:ind w:left="108" w:right="-20"/>
              <w:rPr>
                <w:szCs w:val="22"/>
              </w:rPr>
            </w:pPr>
            <w:r>
              <w:t>t</w:t>
            </w:r>
            <w:r>
              <w:rPr>
                <w:szCs w:val="22"/>
                <w:vertAlign w:val="subscript"/>
              </w:rPr>
              <w:t>1/2</w:t>
            </w:r>
            <w:r>
              <w:t xml:space="preserve">   [h]</w:t>
            </w:r>
          </w:p>
        </w:tc>
        <w:tc>
          <w:tcPr>
            <w:tcW w:w="1674" w:type="dxa"/>
            <w:tcBorders>
              <w:top w:val="single" w:sz="11" w:space="0" w:color="000000"/>
              <w:left w:val="single" w:sz="8" w:space="0" w:color="000000"/>
              <w:bottom w:val="single" w:sz="11" w:space="0" w:color="000000"/>
              <w:right w:val="single" w:sz="11" w:space="0" w:color="000000"/>
            </w:tcBorders>
          </w:tcPr>
          <w:p w14:paraId="01CACDAB" w14:textId="77777777" w:rsidR="00467892" w:rsidRPr="00991CED" w:rsidRDefault="00467892" w:rsidP="00467892">
            <w:pPr>
              <w:widowControl w:val="0"/>
              <w:tabs>
                <w:tab w:val="clear" w:pos="567"/>
              </w:tabs>
              <w:spacing w:line="259" w:lineRule="exact"/>
              <w:ind w:left="676" w:right="637"/>
              <w:jc w:val="center"/>
              <w:rPr>
                <w:szCs w:val="22"/>
              </w:rPr>
            </w:pPr>
            <w:r>
              <w:t>35</w:t>
            </w:r>
          </w:p>
        </w:tc>
        <w:tc>
          <w:tcPr>
            <w:tcW w:w="1678" w:type="dxa"/>
            <w:tcBorders>
              <w:top w:val="single" w:sz="11" w:space="0" w:color="000000"/>
              <w:left w:val="single" w:sz="11" w:space="0" w:color="000000"/>
              <w:bottom w:val="single" w:sz="11" w:space="0" w:color="000000"/>
              <w:right w:val="single" w:sz="11" w:space="0" w:color="000000"/>
            </w:tcBorders>
          </w:tcPr>
          <w:p w14:paraId="5C40CF71" w14:textId="77777777" w:rsidR="00467892" w:rsidRPr="00991CED" w:rsidRDefault="00467892" w:rsidP="00467892">
            <w:pPr>
              <w:widowControl w:val="0"/>
              <w:tabs>
                <w:tab w:val="clear" w:pos="567"/>
              </w:tabs>
              <w:spacing w:line="259" w:lineRule="exact"/>
              <w:ind w:left="676" w:right="633"/>
              <w:jc w:val="center"/>
              <w:rPr>
                <w:szCs w:val="22"/>
              </w:rPr>
            </w:pPr>
            <w:r>
              <w:t>27</w:t>
            </w:r>
          </w:p>
        </w:tc>
        <w:tc>
          <w:tcPr>
            <w:tcW w:w="1674" w:type="dxa"/>
            <w:tcBorders>
              <w:top w:val="single" w:sz="11" w:space="0" w:color="000000"/>
              <w:left w:val="single" w:sz="11" w:space="0" w:color="000000"/>
              <w:bottom w:val="single" w:sz="11" w:space="0" w:color="000000"/>
              <w:right w:val="single" w:sz="11" w:space="0" w:color="000000"/>
            </w:tcBorders>
          </w:tcPr>
          <w:p w14:paraId="3D631658" w14:textId="77777777" w:rsidR="00467892" w:rsidRPr="00991CED" w:rsidRDefault="00467892" w:rsidP="00467892">
            <w:pPr>
              <w:widowControl w:val="0"/>
              <w:tabs>
                <w:tab w:val="clear" w:pos="567"/>
              </w:tabs>
              <w:spacing w:line="259" w:lineRule="exact"/>
              <w:ind w:left="730" w:right="694"/>
              <w:jc w:val="center"/>
              <w:rPr>
                <w:szCs w:val="22"/>
              </w:rPr>
            </w:pPr>
            <w:r>
              <w:t>9</w:t>
            </w:r>
          </w:p>
        </w:tc>
      </w:tr>
    </w:tbl>
    <w:p w14:paraId="122A2298" w14:textId="77777777" w:rsidR="009C412B" w:rsidRPr="00991CED" w:rsidRDefault="009C412B" w:rsidP="004714B4">
      <w:pPr>
        <w:tabs>
          <w:tab w:val="clear" w:pos="567"/>
        </w:tabs>
        <w:autoSpaceDE w:val="0"/>
        <w:autoSpaceDN w:val="0"/>
        <w:adjustRightInd w:val="0"/>
        <w:spacing w:line="240" w:lineRule="auto"/>
        <w:rPr>
          <w:i/>
          <w:iCs/>
          <w:szCs w:val="22"/>
          <w:lang w:val="en-US"/>
        </w:rPr>
      </w:pPr>
    </w:p>
    <w:p w14:paraId="757DDB0F" w14:textId="77777777" w:rsidR="004714B4" w:rsidRPr="00991CED" w:rsidRDefault="004714B4" w:rsidP="004714B4">
      <w:pPr>
        <w:tabs>
          <w:tab w:val="clear" w:pos="567"/>
        </w:tabs>
        <w:autoSpaceDE w:val="0"/>
        <w:autoSpaceDN w:val="0"/>
        <w:adjustRightInd w:val="0"/>
        <w:spacing w:line="240" w:lineRule="auto"/>
        <w:rPr>
          <w:i/>
          <w:iCs/>
          <w:szCs w:val="22"/>
        </w:rPr>
      </w:pPr>
      <w:r>
        <w:rPr>
          <w:i/>
          <w:iCs/>
          <w:szCs w:val="22"/>
        </w:rPr>
        <w:t>Старческа възраст</w:t>
      </w:r>
    </w:p>
    <w:p w14:paraId="7849D757" w14:textId="77777777" w:rsidR="00FE0D44" w:rsidRPr="00991CED" w:rsidRDefault="00FE0D44" w:rsidP="004714B4">
      <w:pPr>
        <w:tabs>
          <w:tab w:val="clear" w:pos="567"/>
        </w:tabs>
        <w:autoSpaceDE w:val="0"/>
        <w:autoSpaceDN w:val="0"/>
        <w:adjustRightInd w:val="0"/>
        <w:spacing w:line="240" w:lineRule="auto"/>
        <w:rPr>
          <w:szCs w:val="22"/>
          <w:lang w:val="en-US"/>
        </w:rPr>
      </w:pPr>
    </w:p>
    <w:p w14:paraId="43D71F6A" w14:textId="77777777" w:rsidR="004714B4" w:rsidRPr="00991CED" w:rsidRDefault="004714B4" w:rsidP="004714B4">
      <w:pPr>
        <w:tabs>
          <w:tab w:val="clear" w:pos="567"/>
        </w:tabs>
        <w:autoSpaceDE w:val="0"/>
        <w:autoSpaceDN w:val="0"/>
        <w:adjustRightInd w:val="0"/>
        <w:spacing w:line="240" w:lineRule="auto"/>
        <w:rPr>
          <w:szCs w:val="22"/>
        </w:rPr>
      </w:pPr>
      <w:r>
        <w:t>Няма значителни разлики във фармакокинетиката на левофлоксацин при млади пациенти и пациенти в старческа възраст с изключение на тези, свързани с разликите в креатининовия клирънс.</w:t>
      </w:r>
    </w:p>
    <w:p w14:paraId="2EDCF442" w14:textId="77777777" w:rsidR="00FE0D44" w:rsidRPr="00991CED" w:rsidRDefault="00FE0D44" w:rsidP="004714B4">
      <w:pPr>
        <w:tabs>
          <w:tab w:val="clear" w:pos="567"/>
        </w:tabs>
        <w:autoSpaceDE w:val="0"/>
        <w:autoSpaceDN w:val="0"/>
        <w:adjustRightInd w:val="0"/>
        <w:spacing w:line="240" w:lineRule="auto"/>
        <w:rPr>
          <w:i/>
          <w:iCs/>
          <w:szCs w:val="22"/>
          <w:lang w:val="en-US"/>
        </w:rPr>
      </w:pPr>
    </w:p>
    <w:p w14:paraId="6D935E24" w14:textId="77777777" w:rsidR="004714B4" w:rsidRPr="00991CED" w:rsidRDefault="004714B4" w:rsidP="004714B4">
      <w:pPr>
        <w:tabs>
          <w:tab w:val="clear" w:pos="567"/>
        </w:tabs>
        <w:autoSpaceDE w:val="0"/>
        <w:autoSpaceDN w:val="0"/>
        <w:adjustRightInd w:val="0"/>
        <w:spacing w:line="240" w:lineRule="auto"/>
        <w:rPr>
          <w:i/>
          <w:iCs/>
          <w:szCs w:val="22"/>
        </w:rPr>
      </w:pPr>
      <w:r>
        <w:rPr>
          <w:i/>
          <w:iCs/>
          <w:szCs w:val="22"/>
        </w:rPr>
        <w:t>Полови разлики</w:t>
      </w:r>
    </w:p>
    <w:p w14:paraId="498F86EF" w14:textId="77777777" w:rsidR="00FE0D44" w:rsidRPr="00991CED" w:rsidRDefault="00FE0D44" w:rsidP="004714B4">
      <w:pPr>
        <w:tabs>
          <w:tab w:val="clear" w:pos="567"/>
        </w:tabs>
        <w:autoSpaceDE w:val="0"/>
        <w:autoSpaceDN w:val="0"/>
        <w:adjustRightInd w:val="0"/>
        <w:spacing w:line="240" w:lineRule="auto"/>
        <w:rPr>
          <w:szCs w:val="22"/>
          <w:lang w:val="en-US"/>
        </w:rPr>
      </w:pPr>
    </w:p>
    <w:p w14:paraId="22386268" w14:textId="77777777" w:rsidR="00C9718C" w:rsidRDefault="004714B4" w:rsidP="000A671A">
      <w:pPr>
        <w:tabs>
          <w:tab w:val="clear" w:pos="567"/>
        </w:tabs>
        <w:autoSpaceDE w:val="0"/>
        <w:autoSpaceDN w:val="0"/>
        <w:adjustRightInd w:val="0"/>
        <w:spacing w:line="240" w:lineRule="auto"/>
        <w:rPr>
          <w:szCs w:val="22"/>
        </w:rPr>
      </w:pPr>
      <w:r>
        <w:t>Отделни анализи при мъже и жени показват малки до гранични полови разлики във фармакокинетиката на левофлоксацин. Няма данни тези полови разлики да са от клинично значение.</w:t>
      </w:r>
    </w:p>
    <w:p w14:paraId="6823F29D" w14:textId="77777777" w:rsidR="00C9718C" w:rsidRPr="00991CED" w:rsidRDefault="00C9718C" w:rsidP="00A5469E">
      <w:pPr>
        <w:numPr>
          <w:ilvl w:val="12"/>
          <w:numId w:val="0"/>
        </w:numPr>
        <w:spacing w:line="240" w:lineRule="auto"/>
        <w:ind w:right="-2"/>
        <w:rPr>
          <w:szCs w:val="22"/>
          <w:lang w:val="en-US"/>
        </w:rPr>
      </w:pPr>
    </w:p>
    <w:p w14:paraId="461F7223" w14:textId="77777777" w:rsidR="001D29E6" w:rsidRPr="00991CED" w:rsidRDefault="001D29E6" w:rsidP="009F4BA4">
      <w:pPr>
        <w:spacing w:line="240" w:lineRule="auto"/>
        <w:ind w:left="567" w:hanging="567"/>
        <w:rPr>
          <w:szCs w:val="22"/>
        </w:rPr>
      </w:pPr>
      <w:r>
        <w:rPr>
          <w:b/>
          <w:szCs w:val="22"/>
        </w:rPr>
        <w:t>5.3</w:t>
      </w:r>
      <w:r>
        <w:rPr>
          <w:b/>
          <w:szCs w:val="22"/>
        </w:rPr>
        <w:tab/>
        <w:t>Предклинични данни за безопасност</w:t>
      </w:r>
    </w:p>
    <w:p w14:paraId="3F6A8148" w14:textId="77777777" w:rsidR="001D29E6" w:rsidRPr="00991CED" w:rsidRDefault="001D29E6" w:rsidP="009F4BA4">
      <w:pPr>
        <w:spacing w:line="240" w:lineRule="auto"/>
        <w:rPr>
          <w:szCs w:val="22"/>
        </w:rPr>
      </w:pPr>
    </w:p>
    <w:p w14:paraId="73EE7574" w14:textId="77777777" w:rsidR="004D42FB" w:rsidRPr="00991CED" w:rsidRDefault="004D42FB" w:rsidP="004D42FB">
      <w:pPr>
        <w:tabs>
          <w:tab w:val="clear" w:pos="567"/>
        </w:tabs>
        <w:autoSpaceDE w:val="0"/>
        <w:autoSpaceDN w:val="0"/>
        <w:adjustRightInd w:val="0"/>
        <w:spacing w:line="240" w:lineRule="auto"/>
        <w:rPr>
          <w:szCs w:val="22"/>
        </w:rPr>
      </w:pPr>
      <w:r>
        <w:t>Неклиничните данни не показват особен риск за хора на базата на конвенционалните проучвания за токсичност на единична доза и при многократно прилагане, канцерогенен потенциал, репродуктивна токсичност и токсичност за развитието.</w:t>
      </w:r>
    </w:p>
    <w:p w14:paraId="1E1CDC3A" w14:textId="77777777" w:rsidR="004D42FB" w:rsidRPr="00991CED" w:rsidRDefault="004D42FB" w:rsidP="004D42FB">
      <w:pPr>
        <w:tabs>
          <w:tab w:val="clear" w:pos="567"/>
        </w:tabs>
        <w:autoSpaceDE w:val="0"/>
        <w:autoSpaceDN w:val="0"/>
        <w:adjustRightInd w:val="0"/>
        <w:spacing w:line="240" w:lineRule="auto"/>
        <w:rPr>
          <w:szCs w:val="22"/>
          <w:lang w:val="en-US"/>
        </w:rPr>
      </w:pPr>
    </w:p>
    <w:p w14:paraId="543964ED" w14:textId="77777777" w:rsidR="004D42FB" w:rsidRPr="00991CED" w:rsidRDefault="004D42FB" w:rsidP="004D42FB">
      <w:pPr>
        <w:tabs>
          <w:tab w:val="clear" w:pos="567"/>
        </w:tabs>
        <w:autoSpaceDE w:val="0"/>
        <w:autoSpaceDN w:val="0"/>
        <w:adjustRightInd w:val="0"/>
        <w:spacing w:line="240" w:lineRule="auto"/>
        <w:rPr>
          <w:szCs w:val="22"/>
        </w:rPr>
      </w:pPr>
      <w:r>
        <w:t>Левофлоксацин не причинява увреждане на фертилитета или репродуктивната способност при плъхове и неговият единствен ефект върху плода е забавено съзряване вследствие на токсичност при майката.</w:t>
      </w:r>
    </w:p>
    <w:p w14:paraId="38E1B95B" w14:textId="77777777" w:rsidR="004D42FB" w:rsidRPr="00991CED" w:rsidRDefault="004D42FB" w:rsidP="004D42FB">
      <w:pPr>
        <w:tabs>
          <w:tab w:val="clear" w:pos="567"/>
        </w:tabs>
        <w:autoSpaceDE w:val="0"/>
        <w:autoSpaceDN w:val="0"/>
        <w:adjustRightInd w:val="0"/>
        <w:spacing w:line="240" w:lineRule="auto"/>
        <w:rPr>
          <w:szCs w:val="22"/>
          <w:lang w:val="en-US"/>
        </w:rPr>
      </w:pPr>
    </w:p>
    <w:p w14:paraId="4690A90E" w14:textId="77777777" w:rsidR="004D42FB" w:rsidRPr="00991CED" w:rsidRDefault="004D42FB" w:rsidP="004D42FB">
      <w:pPr>
        <w:tabs>
          <w:tab w:val="clear" w:pos="567"/>
        </w:tabs>
        <w:autoSpaceDE w:val="0"/>
        <w:autoSpaceDN w:val="0"/>
        <w:adjustRightInd w:val="0"/>
        <w:spacing w:line="240" w:lineRule="auto"/>
        <w:rPr>
          <w:szCs w:val="22"/>
        </w:rPr>
      </w:pPr>
      <w:r>
        <w:t xml:space="preserve">Левофлоксацин не индуцира генни мутации в бактериални клетки или клетки на бозайници, но индуцира хромозомни аберации в белодробни клетки от китайски хамстер </w:t>
      </w:r>
      <w:r>
        <w:rPr>
          <w:i/>
          <w:iCs/>
          <w:szCs w:val="22"/>
        </w:rPr>
        <w:t xml:space="preserve">in vitro. </w:t>
      </w:r>
      <w:r>
        <w:t xml:space="preserve">Тези ефекти може да се дължат на инхибирането на топоизомераза ІІ. </w:t>
      </w:r>
      <w:r>
        <w:rPr>
          <w:i/>
          <w:iCs/>
          <w:szCs w:val="22"/>
        </w:rPr>
        <w:t xml:space="preserve">In vivo </w:t>
      </w:r>
      <w:r>
        <w:t>тестове (микронуклеарни, обмяна между сестрински хроматиди, непредвиден синтез на ДНК, доминантни летални тестове) не показват генотоксичен потенциал.</w:t>
      </w:r>
    </w:p>
    <w:p w14:paraId="36B2657D" w14:textId="77777777" w:rsidR="004D42FB" w:rsidRPr="00991CED" w:rsidRDefault="004D42FB" w:rsidP="004D42FB">
      <w:pPr>
        <w:tabs>
          <w:tab w:val="clear" w:pos="567"/>
        </w:tabs>
        <w:autoSpaceDE w:val="0"/>
        <w:autoSpaceDN w:val="0"/>
        <w:adjustRightInd w:val="0"/>
        <w:spacing w:line="240" w:lineRule="auto"/>
        <w:rPr>
          <w:szCs w:val="22"/>
        </w:rPr>
      </w:pPr>
      <w:r>
        <w:lastRenderedPageBreak/>
        <w:t>Проучвания при мишки показват, че левофлоксацин има фототоксична активност само при много високи дози. Левофлоксацин не показва генотоксичен потенциал при теста за фотомутагенност и намалява туморното развитие в проучване за фотоканцерогенност.</w:t>
      </w:r>
    </w:p>
    <w:p w14:paraId="74EC395C" w14:textId="77777777" w:rsidR="001D29E6" w:rsidRPr="00991CED" w:rsidRDefault="004D42FB" w:rsidP="00ED50E6">
      <w:pPr>
        <w:tabs>
          <w:tab w:val="clear" w:pos="567"/>
        </w:tabs>
        <w:autoSpaceDE w:val="0"/>
        <w:autoSpaceDN w:val="0"/>
        <w:adjustRightInd w:val="0"/>
        <w:spacing w:line="240" w:lineRule="auto"/>
        <w:rPr>
          <w:szCs w:val="22"/>
        </w:rPr>
      </w:pPr>
      <w:r>
        <w:t>Както при останалите флуорохинолони, левофлоксацин показва ефекти върху хрущялите (отлепване и образуване на кухини) при плъхове и кучета. Тези находки са по-изразени при млади животни.</w:t>
      </w:r>
    </w:p>
    <w:p w14:paraId="25616D2B" w14:textId="77777777" w:rsidR="00ED50E6" w:rsidRPr="00991CED" w:rsidRDefault="00ED50E6" w:rsidP="00ED50E6">
      <w:pPr>
        <w:tabs>
          <w:tab w:val="clear" w:pos="567"/>
        </w:tabs>
        <w:autoSpaceDE w:val="0"/>
        <w:autoSpaceDN w:val="0"/>
        <w:adjustRightInd w:val="0"/>
        <w:spacing w:line="240" w:lineRule="auto"/>
        <w:rPr>
          <w:szCs w:val="22"/>
          <w:lang w:val="en-US"/>
        </w:rPr>
      </w:pPr>
    </w:p>
    <w:p w14:paraId="25A5D015" w14:textId="77777777" w:rsidR="001D29E6" w:rsidRPr="00991CED" w:rsidRDefault="001D29E6" w:rsidP="009F4BA4">
      <w:pPr>
        <w:spacing w:line="240" w:lineRule="auto"/>
        <w:ind w:left="567" w:hanging="567"/>
        <w:rPr>
          <w:b/>
          <w:szCs w:val="22"/>
        </w:rPr>
      </w:pPr>
      <w:r>
        <w:rPr>
          <w:b/>
          <w:szCs w:val="22"/>
        </w:rPr>
        <w:t>6.</w:t>
      </w:r>
      <w:r>
        <w:rPr>
          <w:b/>
          <w:szCs w:val="22"/>
        </w:rPr>
        <w:tab/>
        <w:t>ФАРМАЦЕВТИЧНИ ДАННИ</w:t>
      </w:r>
    </w:p>
    <w:p w14:paraId="652C77B7" w14:textId="77777777" w:rsidR="001D29E6" w:rsidRPr="00991CED" w:rsidRDefault="001D29E6" w:rsidP="009F4BA4">
      <w:pPr>
        <w:spacing w:line="240" w:lineRule="auto"/>
        <w:rPr>
          <w:b/>
          <w:szCs w:val="22"/>
        </w:rPr>
      </w:pPr>
    </w:p>
    <w:p w14:paraId="75F98942" w14:textId="77777777" w:rsidR="001D29E6" w:rsidRPr="00991CED" w:rsidRDefault="001D29E6" w:rsidP="009F4BA4">
      <w:pPr>
        <w:spacing w:line="240" w:lineRule="auto"/>
        <w:ind w:left="567" w:hanging="567"/>
        <w:rPr>
          <w:b/>
          <w:szCs w:val="22"/>
        </w:rPr>
      </w:pPr>
      <w:r>
        <w:rPr>
          <w:b/>
          <w:szCs w:val="22"/>
        </w:rPr>
        <w:t>6.1</w:t>
      </w:r>
      <w:r>
        <w:rPr>
          <w:b/>
          <w:szCs w:val="22"/>
        </w:rPr>
        <w:tab/>
        <w:t>Списък на помощните вещества</w:t>
      </w:r>
    </w:p>
    <w:p w14:paraId="0113AAC2" w14:textId="77777777" w:rsidR="001D29E6" w:rsidRPr="00991CED" w:rsidRDefault="001D29E6" w:rsidP="009F4BA4">
      <w:pPr>
        <w:spacing w:line="240" w:lineRule="auto"/>
        <w:rPr>
          <w:szCs w:val="22"/>
        </w:rPr>
      </w:pPr>
    </w:p>
    <w:p w14:paraId="6A8A78AA" w14:textId="77777777" w:rsidR="00372C80" w:rsidRPr="00991CED" w:rsidRDefault="008445C4" w:rsidP="008445C4">
      <w:pPr>
        <w:autoSpaceDE w:val="0"/>
        <w:autoSpaceDN w:val="0"/>
        <w:adjustRightInd w:val="0"/>
        <w:jc w:val="both"/>
        <w:rPr>
          <w:iCs/>
          <w:szCs w:val="22"/>
        </w:rPr>
      </w:pPr>
      <w:r>
        <w:rPr>
          <w:i/>
          <w:iCs/>
          <w:szCs w:val="22"/>
        </w:rPr>
        <w:t>Сърцевина на таблетката:</w:t>
      </w:r>
    </w:p>
    <w:p w14:paraId="5D4407B2" w14:textId="77777777" w:rsidR="008445C4" w:rsidRPr="00991CED" w:rsidRDefault="006A09F3" w:rsidP="008445C4">
      <w:pPr>
        <w:autoSpaceDE w:val="0"/>
        <w:autoSpaceDN w:val="0"/>
        <w:adjustRightInd w:val="0"/>
        <w:jc w:val="both"/>
        <w:rPr>
          <w:szCs w:val="22"/>
        </w:rPr>
      </w:pPr>
      <w:r>
        <w:t>Микрокристална целулоза</w:t>
      </w:r>
    </w:p>
    <w:p w14:paraId="15E81939" w14:textId="3C7E2FF5" w:rsidR="008445C4" w:rsidRPr="00991CED" w:rsidRDefault="006A09F3" w:rsidP="008445C4">
      <w:pPr>
        <w:autoSpaceDE w:val="0"/>
        <w:autoSpaceDN w:val="0"/>
        <w:adjustRightInd w:val="0"/>
        <w:jc w:val="both"/>
        <w:rPr>
          <w:szCs w:val="22"/>
        </w:rPr>
      </w:pPr>
      <w:r>
        <w:t>Хидроксипропил</w:t>
      </w:r>
      <w:r w:rsidR="00082799">
        <w:t xml:space="preserve"> </w:t>
      </w:r>
      <w:r>
        <w:t>целулоза</w:t>
      </w:r>
    </w:p>
    <w:p w14:paraId="041C6638" w14:textId="77777777" w:rsidR="008445C4" w:rsidRPr="00991CED" w:rsidRDefault="006A09F3" w:rsidP="008445C4">
      <w:pPr>
        <w:autoSpaceDE w:val="0"/>
        <w:autoSpaceDN w:val="0"/>
        <w:adjustRightInd w:val="0"/>
        <w:jc w:val="both"/>
        <w:rPr>
          <w:szCs w:val="22"/>
        </w:rPr>
      </w:pPr>
      <w:r>
        <w:t>Кросповидон</w:t>
      </w:r>
    </w:p>
    <w:p w14:paraId="508A22E6" w14:textId="77777777" w:rsidR="008445C4" w:rsidRPr="00991CED" w:rsidRDefault="008445C4" w:rsidP="008445C4">
      <w:pPr>
        <w:autoSpaceDE w:val="0"/>
        <w:autoSpaceDN w:val="0"/>
        <w:adjustRightInd w:val="0"/>
        <w:jc w:val="both"/>
        <w:rPr>
          <w:rFonts w:eastAsia="Arial Unicode MS"/>
          <w:szCs w:val="22"/>
        </w:rPr>
      </w:pPr>
      <w:r>
        <w:t>Магнезиев стеарат</w:t>
      </w:r>
    </w:p>
    <w:p w14:paraId="5E69A001" w14:textId="77777777" w:rsidR="00372C80" w:rsidRPr="00991CED" w:rsidRDefault="00372C80" w:rsidP="008445C4">
      <w:pPr>
        <w:autoSpaceDE w:val="0"/>
        <w:autoSpaceDN w:val="0"/>
        <w:adjustRightInd w:val="0"/>
        <w:jc w:val="both"/>
        <w:rPr>
          <w:szCs w:val="22"/>
          <w:lang w:val="en-US"/>
        </w:rPr>
      </w:pPr>
    </w:p>
    <w:p w14:paraId="152C2706" w14:textId="77777777" w:rsidR="00372C80" w:rsidRPr="00991CED" w:rsidRDefault="008445C4" w:rsidP="008445C4">
      <w:pPr>
        <w:autoSpaceDE w:val="0"/>
        <w:autoSpaceDN w:val="0"/>
        <w:adjustRightInd w:val="0"/>
        <w:jc w:val="both"/>
        <w:rPr>
          <w:iCs/>
          <w:szCs w:val="22"/>
        </w:rPr>
      </w:pPr>
      <w:r>
        <w:rPr>
          <w:i/>
          <w:iCs/>
          <w:szCs w:val="22"/>
        </w:rPr>
        <w:t>Филмиращо покритие:</w:t>
      </w:r>
    </w:p>
    <w:p w14:paraId="59E1D0CB" w14:textId="77777777" w:rsidR="008445C4" w:rsidRPr="00991CED" w:rsidRDefault="00372C80" w:rsidP="008445C4">
      <w:pPr>
        <w:autoSpaceDE w:val="0"/>
        <w:autoSpaceDN w:val="0"/>
        <w:adjustRightInd w:val="0"/>
        <w:jc w:val="both"/>
        <w:rPr>
          <w:color w:val="000000"/>
          <w:szCs w:val="22"/>
        </w:rPr>
      </w:pPr>
      <w:r>
        <w:rPr>
          <w:color w:val="000000"/>
          <w:szCs w:val="22"/>
        </w:rPr>
        <w:t>Хипромелоза</w:t>
      </w:r>
    </w:p>
    <w:p w14:paraId="4713DDC1" w14:textId="77777777" w:rsidR="008445C4" w:rsidRPr="00991CED" w:rsidRDefault="008445C4" w:rsidP="008445C4">
      <w:pPr>
        <w:autoSpaceDE w:val="0"/>
        <w:autoSpaceDN w:val="0"/>
        <w:adjustRightInd w:val="0"/>
        <w:jc w:val="both"/>
        <w:rPr>
          <w:color w:val="000000"/>
          <w:szCs w:val="22"/>
        </w:rPr>
      </w:pPr>
      <w:r>
        <w:rPr>
          <w:color w:val="000000"/>
          <w:szCs w:val="22"/>
        </w:rPr>
        <w:t>Индиго кармин алуминиев лак (E132)</w:t>
      </w:r>
    </w:p>
    <w:p w14:paraId="602EFF11" w14:textId="77777777" w:rsidR="008445C4" w:rsidRPr="00991CED" w:rsidRDefault="008445C4" w:rsidP="008445C4">
      <w:pPr>
        <w:autoSpaceDE w:val="0"/>
        <w:autoSpaceDN w:val="0"/>
        <w:adjustRightInd w:val="0"/>
        <w:jc w:val="both"/>
        <w:rPr>
          <w:color w:val="000000"/>
          <w:szCs w:val="22"/>
        </w:rPr>
      </w:pPr>
      <w:r>
        <w:rPr>
          <w:color w:val="000000"/>
          <w:szCs w:val="22"/>
        </w:rPr>
        <w:t>Сънсет жълто алуминиев лак (E110)</w:t>
      </w:r>
    </w:p>
    <w:p w14:paraId="05FC13BC" w14:textId="77777777" w:rsidR="008445C4" w:rsidRPr="00991CED" w:rsidRDefault="00372C80" w:rsidP="008445C4">
      <w:pPr>
        <w:autoSpaceDE w:val="0"/>
        <w:autoSpaceDN w:val="0"/>
        <w:adjustRightInd w:val="0"/>
        <w:jc w:val="both"/>
        <w:rPr>
          <w:color w:val="000000"/>
          <w:szCs w:val="22"/>
        </w:rPr>
      </w:pPr>
      <w:r>
        <w:rPr>
          <w:color w:val="000000"/>
          <w:szCs w:val="22"/>
        </w:rPr>
        <w:t>Червен железен оксид (E172)</w:t>
      </w:r>
    </w:p>
    <w:p w14:paraId="328DBDA2" w14:textId="77777777" w:rsidR="008445C4" w:rsidRPr="00991CED" w:rsidRDefault="006A09F3" w:rsidP="008445C4">
      <w:pPr>
        <w:autoSpaceDE w:val="0"/>
        <w:autoSpaceDN w:val="0"/>
        <w:adjustRightInd w:val="0"/>
        <w:jc w:val="both"/>
        <w:rPr>
          <w:color w:val="000000"/>
          <w:szCs w:val="22"/>
        </w:rPr>
      </w:pPr>
      <w:r>
        <w:rPr>
          <w:color w:val="000000"/>
          <w:szCs w:val="22"/>
        </w:rPr>
        <w:t>Макрогол 4000</w:t>
      </w:r>
    </w:p>
    <w:p w14:paraId="02B0BB62" w14:textId="77777777" w:rsidR="008445C4" w:rsidRPr="00991CED" w:rsidRDefault="008445C4" w:rsidP="008445C4">
      <w:pPr>
        <w:autoSpaceDE w:val="0"/>
        <w:autoSpaceDN w:val="0"/>
        <w:adjustRightInd w:val="0"/>
        <w:jc w:val="both"/>
        <w:rPr>
          <w:color w:val="000000"/>
          <w:szCs w:val="22"/>
        </w:rPr>
      </w:pPr>
      <w:r>
        <w:rPr>
          <w:color w:val="000000"/>
          <w:szCs w:val="22"/>
        </w:rPr>
        <w:t>Титанов диоксид (E171)</w:t>
      </w:r>
    </w:p>
    <w:p w14:paraId="511155AC" w14:textId="77777777" w:rsidR="008445C4" w:rsidRPr="00991CED" w:rsidRDefault="008445C4" w:rsidP="008445C4">
      <w:pPr>
        <w:autoSpaceDE w:val="0"/>
        <w:autoSpaceDN w:val="0"/>
        <w:adjustRightInd w:val="0"/>
        <w:jc w:val="both"/>
        <w:rPr>
          <w:i/>
          <w:color w:val="000000"/>
          <w:szCs w:val="22"/>
        </w:rPr>
      </w:pPr>
      <w:r>
        <w:rPr>
          <w:color w:val="000000"/>
          <w:szCs w:val="22"/>
        </w:rPr>
        <w:t>Жълт железен оксид (E172) (</w:t>
      </w:r>
      <w:r>
        <w:rPr>
          <w:i/>
          <w:color w:val="000000"/>
          <w:szCs w:val="22"/>
        </w:rPr>
        <w:t>само за 500 mg)</w:t>
      </w:r>
    </w:p>
    <w:p w14:paraId="211094BC" w14:textId="77777777" w:rsidR="001D29E6" w:rsidRPr="00991CED" w:rsidRDefault="001D29E6" w:rsidP="009F4BA4">
      <w:pPr>
        <w:spacing w:line="240" w:lineRule="auto"/>
        <w:rPr>
          <w:szCs w:val="22"/>
        </w:rPr>
      </w:pPr>
    </w:p>
    <w:p w14:paraId="1426B456" w14:textId="77777777" w:rsidR="00C9718C" w:rsidRDefault="00C9718C" w:rsidP="009F4BA4">
      <w:pPr>
        <w:spacing w:line="240" w:lineRule="auto"/>
        <w:ind w:left="567" w:hanging="567"/>
        <w:rPr>
          <w:b/>
          <w:szCs w:val="22"/>
        </w:rPr>
      </w:pPr>
    </w:p>
    <w:p w14:paraId="2BE0F806" w14:textId="77777777" w:rsidR="00C9718C" w:rsidRDefault="00C9718C" w:rsidP="009F4BA4">
      <w:pPr>
        <w:spacing w:line="240" w:lineRule="auto"/>
        <w:ind w:left="567" w:hanging="567"/>
        <w:rPr>
          <w:b/>
          <w:szCs w:val="22"/>
        </w:rPr>
      </w:pPr>
    </w:p>
    <w:p w14:paraId="7097BB2B" w14:textId="77777777" w:rsidR="001D29E6" w:rsidRPr="00991CED" w:rsidRDefault="001D29E6" w:rsidP="009F4BA4">
      <w:pPr>
        <w:spacing w:line="240" w:lineRule="auto"/>
        <w:ind w:left="567" w:hanging="567"/>
        <w:rPr>
          <w:szCs w:val="22"/>
        </w:rPr>
      </w:pPr>
      <w:r>
        <w:rPr>
          <w:b/>
          <w:szCs w:val="22"/>
        </w:rPr>
        <w:t>6.2</w:t>
      </w:r>
      <w:r>
        <w:rPr>
          <w:b/>
          <w:szCs w:val="22"/>
        </w:rPr>
        <w:tab/>
        <w:t>Несъвместимости</w:t>
      </w:r>
    </w:p>
    <w:p w14:paraId="07F45B48" w14:textId="77777777" w:rsidR="001D29E6" w:rsidRPr="00991CED" w:rsidRDefault="001D29E6" w:rsidP="009F4BA4">
      <w:pPr>
        <w:spacing w:line="240" w:lineRule="auto"/>
        <w:rPr>
          <w:szCs w:val="22"/>
        </w:rPr>
      </w:pPr>
    </w:p>
    <w:p w14:paraId="445E99F8" w14:textId="77777777" w:rsidR="001D29E6" w:rsidRPr="00991CED" w:rsidRDefault="001D29E6" w:rsidP="009F4BA4">
      <w:pPr>
        <w:spacing w:line="240" w:lineRule="auto"/>
        <w:rPr>
          <w:szCs w:val="22"/>
        </w:rPr>
      </w:pPr>
      <w:r>
        <w:t>Неприложимо.</w:t>
      </w:r>
    </w:p>
    <w:p w14:paraId="7C459D80" w14:textId="77777777" w:rsidR="001D29E6" w:rsidRPr="00991CED" w:rsidRDefault="001D29E6" w:rsidP="009F4BA4">
      <w:pPr>
        <w:spacing w:line="240" w:lineRule="auto"/>
        <w:rPr>
          <w:szCs w:val="22"/>
        </w:rPr>
      </w:pPr>
    </w:p>
    <w:p w14:paraId="15B8329C" w14:textId="77777777" w:rsidR="001D29E6" w:rsidRPr="00991CED" w:rsidRDefault="001D29E6" w:rsidP="009F4BA4">
      <w:pPr>
        <w:spacing w:line="240" w:lineRule="auto"/>
        <w:ind w:left="567" w:hanging="567"/>
        <w:rPr>
          <w:szCs w:val="22"/>
        </w:rPr>
      </w:pPr>
      <w:r>
        <w:rPr>
          <w:b/>
          <w:szCs w:val="22"/>
        </w:rPr>
        <w:t>6.3</w:t>
      </w:r>
      <w:r>
        <w:rPr>
          <w:b/>
          <w:szCs w:val="22"/>
        </w:rPr>
        <w:tab/>
        <w:t>Срок на годност</w:t>
      </w:r>
    </w:p>
    <w:p w14:paraId="567A4EEE" w14:textId="77777777" w:rsidR="001D29E6" w:rsidRPr="00991CED" w:rsidRDefault="001D29E6" w:rsidP="009F4BA4">
      <w:pPr>
        <w:spacing w:line="240" w:lineRule="auto"/>
        <w:rPr>
          <w:szCs w:val="22"/>
        </w:rPr>
      </w:pPr>
    </w:p>
    <w:p w14:paraId="2D32EC82" w14:textId="77777777" w:rsidR="001D29E6" w:rsidRPr="00991CED" w:rsidRDefault="008445C4" w:rsidP="009F4BA4">
      <w:pPr>
        <w:spacing w:line="240" w:lineRule="auto"/>
        <w:rPr>
          <w:szCs w:val="22"/>
        </w:rPr>
      </w:pPr>
      <w:r>
        <w:t>5 години</w:t>
      </w:r>
    </w:p>
    <w:p w14:paraId="15A80E39" w14:textId="77777777" w:rsidR="001D29E6" w:rsidRPr="00991CED" w:rsidRDefault="001D29E6" w:rsidP="009F4BA4">
      <w:pPr>
        <w:spacing w:line="240" w:lineRule="auto"/>
        <w:rPr>
          <w:szCs w:val="22"/>
        </w:rPr>
      </w:pPr>
    </w:p>
    <w:p w14:paraId="6B364FC2" w14:textId="77777777" w:rsidR="001D29E6" w:rsidRPr="00991CED" w:rsidRDefault="001D29E6" w:rsidP="009F4BA4">
      <w:pPr>
        <w:spacing w:line="240" w:lineRule="auto"/>
        <w:ind w:left="567" w:hanging="567"/>
        <w:rPr>
          <w:b/>
          <w:szCs w:val="22"/>
        </w:rPr>
      </w:pPr>
      <w:r>
        <w:rPr>
          <w:b/>
          <w:szCs w:val="22"/>
        </w:rPr>
        <w:t>6.4</w:t>
      </w:r>
      <w:r>
        <w:rPr>
          <w:b/>
          <w:szCs w:val="22"/>
        </w:rPr>
        <w:tab/>
        <w:t>Специални условия на съхранение</w:t>
      </w:r>
    </w:p>
    <w:p w14:paraId="1D9EC861" w14:textId="77777777" w:rsidR="001D29E6" w:rsidRPr="00991CED" w:rsidRDefault="001D29E6" w:rsidP="009F4BA4">
      <w:pPr>
        <w:spacing w:line="240" w:lineRule="auto"/>
        <w:rPr>
          <w:i/>
          <w:iCs/>
          <w:szCs w:val="22"/>
        </w:rPr>
      </w:pPr>
    </w:p>
    <w:p w14:paraId="6F79F14D" w14:textId="77777777" w:rsidR="008445C4" w:rsidRPr="00991CED" w:rsidRDefault="00FB2DE1" w:rsidP="008445C4">
      <w:pPr>
        <w:jc w:val="both"/>
        <w:rPr>
          <w:szCs w:val="22"/>
        </w:rPr>
      </w:pPr>
      <w:r>
        <w:t>Този лекарствен продукт не изисква особени условия на съхранение.</w:t>
      </w:r>
    </w:p>
    <w:p w14:paraId="342AFC6D" w14:textId="77777777" w:rsidR="001D29E6" w:rsidRPr="00991CED" w:rsidRDefault="001D29E6" w:rsidP="009F4BA4">
      <w:pPr>
        <w:spacing w:line="240" w:lineRule="auto"/>
        <w:rPr>
          <w:szCs w:val="22"/>
        </w:rPr>
      </w:pPr>
    </w:p>
    <w:p w14:paraId="7022B956" w14:textId="77777777" w:rsidR="001D29E6" w:rsidRPr="00991CED" w:rsidRDefault="001D29E6" w:rsidP="009F4BA4">
      <w:pPr>
        <w:numPr>
          <w:ilvl w:val="1"/>
          <w:numId w:val="11"/>
        </w:numPr>
        <w:spacing w:line="240" w:lineRule="auto"/>
        <w:rPr>
          <w:b/>
          <w:szCs w:val="22"/>
        </w:rPr>
      </w:pPr>
      <w:r>
        <w:rPr>
          <w:b/>
          <w:szCs w:val="22"/>
        </w:rPr>
        <w:t>Вид и съдържание на опаковката</w:t>
      </w:r>
    </w:p>
    <w:p w14:paraId="7F2D0CFA" w14:textId="77777777" w:rsidR="001D29E6" w:rsidRPr="00991CED" w:rsidRDefault="001D29E6" w:rsidP="009F4BA4">
      <w:pPr>
        <w:spacing w:line="240" w:lineRule="auto"/>
        <w:rPr>
          <w:szCs w:val="22"/>
        </w:rPr>
      </w:pPr>
    </w:p>
    <w:p w14:paraId="7E57D305" w14:textId="77777777" w:rsidR="006A09F3" w:rsidRPr="00991CED" w:rsidRDefault="006A09F3" w:rsidP="006A09F3">
      <w:pPr>
        <w:jc w:val="both"/>
        <w:rPr>
          <w:szCs w:val="22"/>
        </w:rPr>
      </w:pPr>
      <w:r>
        <w:t>Фoвeлид 250 mg филмирани таблетки</w:t>
      </w:r>
    </w:p>
    <w:p w14:paraId="0A475EEE" w14:textId="77777777" w:rsidR="006A09F3" w:rsidRPr="00991CED" w:rsidRDefault="006A09F3" w:rsidP="006A09F3">
      <w:pPr>
        <w:jc w:val="both"/>
        <w:rPr>
          <w:szCs w:val="22"/>
        </w:rPr>
      </w:pPr>
      <w:r>
        <w:t>Таблетките са опаковани в прозрачен блистер от PVC/PE/PVDC/алуминий, поставен в картонена кутия.</w:t>
      </w:r>
    </w:p>
    <w:p w14:paraId="6F118A87" w14:textId="77777777" w:rsidR="006A09F3" w:rsidRPr="00991CED" w:rsidRDefault="006A09F3" w:rsidP="006A09F3">
      <w:pPr>
        <w:jc w:val="both"/>
        <w:rPr>
          <w:szCs w:val="22"/>
        </w:rPr>
      </w:pPr>
      <w:r>
        <w:t>Картонената кутия съдържа 5, 7 или 10 таблетки и листовка.</w:t>
      </w:r>
    </w:p>
    <w:p w14:paraId="0EFC547B" w14:textId="77777777" w:rsidR="006A09F3" w:rsidRPr="00991CED" w:rsidRDefault="006A09F3" w:rsidP="006A09F3">
      <w:pPr>
        <w:jc w:val="both"/>
        <w:rPr>
          <w:szCs w:val="22"/>
        </w:rPr>
      </w:pPr>
    </w:p>
    <w:p w14:paraId="0141BAD8" w14:textId="77777777" w:rsidR="006A09F3" w:rsidRPr="00991CED" w:rsidRDefault="006A09F3" w:rsidP="006A09F3">
      <w:pPr>
        <w:jc w:val="both"/>
        <w:rPr>
          <w:szCs w:val="22"/>
        </w:rPr>
      </w:pPr>
      <w:r>
        <w:t>Фoвeлид 500 mg филмирани таблетки</w:t>
      </w:r>
    </w:p>
    <w:p w14:paraId="51A9A0DF" w14:textId="77777777" w:rsidR="006A09F3" w:rsidRPr="00991CED" w:rsidRDefault="006A09F3" w:rsidP="006A09F3">
      <w:pPr>
        <w:jc w:val="both"/>
        <w:rPr>
          <w:szCs w:val="22"/>
        </w:rPr>
      </w:pPr>
      <w:r>
        <w:t>Таблетките са опаковани в прозрачен блистер от PVC/PE/PVDC/алуминий, поставен в картонена кутия.</w:t>
      </w:r>
    </w:p>
    <w:p w14:paraId="145705D5" w14:textId="2734428A" w:rsidR="008445C4" w:rsidRPr="007F5D4C" w:rsidRDefault="006A09F3" w:rsidP="007F5D4C">
      <w:pPr>
        <w:jc w:val="both"/>
        <w:rPr>
          <w:szCs w:val="22"/>
        </w:rPr>
      </w:pPr>
      <w:r>
        <w:t>Картонената кутия съдържа 5, 7 или 10 таблетки и листовка.</w:t>
      </w:r>
    </w:p>
    <w:p w14:paraId="6987734D" w14:textId="77777777" w:rsidR="008445C4" w:rsidRPr="00991CED" w:rsidRDefault="008445C4" w:rsidP="008445C4">
      <w:pPr>
        <w:autoSpaceDE w:val="0"/>
        <w:autoSpaceDN w:val="0"/>
        <w:adjustRightInd w:val="0"/>
        <w:jc w:val="both"/>
        <w:rPr>
          <w:szCs w:val="22"/>
        </w:rPr>
      </w:pPr>
      <w:r>
        <w:lastRenderedPageBreak/>
        <w:t>Не всички размери на опаковката могат да бъдат предлагани на пазара.</w:t>
      </w:r>
    </w:p>
    <w:p w14:paraId="0C5F3049" w14:textId="77777777" w:rsidR="001D29E6" w:rsidRPr="00991CED" w:rsidRDefault="001D29E6" w:rsidP="009F4BA4">
      <w:pPr>
        <w:spacing w:line="240" w:lineRule="auto"/>
        <w:rPr>
          <w:szCs w:val="22"/>
        </w:rPr>
      </w:pPr>
    </w:p>
    <w:p w14:paraId="3ACC15CB" w14:textId="77777777" w:rsidR="001D29E6" w:rsidRPr="00991CED" w:rsidRDefault="001D29E6" w:rsidP="009F4BA4">
      <w:pPr>
        <w:spacing w:line="240" w:lineRule="auto"/>
        <w:ind w:left="567" w:hanging="567"/>
        <w:outlineLvl w:val="0"/>
        <w:rPr>
          <w:szCs w:val="22"/>
        </w:rPr>
      </w:pPr>
      <w:r>
        <w:rPr>
          <w:b/>
          <w:szCs w:val="22"/>
        </w:rPr>
        <w:t>6.6</w:t>
      </w:r>
      <w:r>
        <w:rPr>
          <w:b/>
          <w:szCs w:val="22"/>
        </w:rPr>
        <w:tab/>
        <w:t>Специални предпазни мерки при изхвърляне и работа</w:t>
      </w:r>
    </w:p>
    <w:p w14:paraId="426CEC34" w14:textId="77777777" w:rsidR="001D29E6" w:rsidRPr="00991CED" w:rsidRDefault="001D29E6" w:rsidP="009F4BA4">
      <w:pPr>
        <w:spacing w:line="240" w:lineRule="auto"/>
        <w:rPr>
          <w:szCs w:val="22"/>
        </w:rPr>
      </w:pPr>
    </w:p>
    <w:p w14:paraId="67AE7076" w14:textId="77777777" w:rsidR="008445C4" w:rsidRPr="00991CED" w:rsidRDefault="008445C4" w:rsidP="008445C4">
      <w:pPr>
        <w:jc w:val="both"/>
        <w:rPr>
          <w:szCs w:val="22"/>
        </w:rPr>
      </w:pPr>
      <w:r>
        <w:t>Делителната черта позволява адаптиране на дозата при пациенти с нарушена бъбречна функция.</w:t>
      </w:r>
    </w:p>
    <w:p w14:paraId="2A1D5C73" w14:textId="77777777" w:rsidR="008445C4" w:rsidRPr="00991CED" w:rsidRDefault="008445C4" w:rsidP="008445C4">
      <w:pPr>
        <w:jc w:val="both"/>
        <w:rPr>
          <w:szCs w:val="22"/>
        </w:rPr>
      </w:pPr>
    </w:p>
    <w:p w14:paraId="43706BBD" w14:textId="77777777" w:rsidR="008445C4" w:rsidRPr="00991CED" w:rsidRDefault="008445C4" w:rsidP="008445C4">
      <w:pPr>
        <w:jc w:val="both"/>
        <w:rPr>
          <w:szCs w:val="22"/>
        </w:rPr>
      </w:pPr>
      <w:r>
        <w:t>Неизползваният лекарствен продукт или отпадъчните материали от него трябва да се изхвърлят в съответствие с местните изисквания.</w:t>
      </w:r>
    </w:p>
    <w:p w14:paraId="4AE201D5" w14:textId="77777777" w:rsidR="001D29E6" w:rsidRPr="00991CED" w:rsidRDefault="001D29E6" w:rsidP="009F4BA4">
      <w:pPr>
        <w:spacing w:line="240" w:lineRule="auto"/>
        <w:rPr>
          <w:szCs w:val="22"/>
        </w:rPr>
      </w:pPr>
    </w:p>
    <w:p w14:paraId="5B6D2FDB" w14:textId="77777777" w:rsidR="001D29E6" w:rsidRPr="00991CED" w:rsidRDefault="001D29E6" w:rsidP="009F4BA4">
      <w:pPr>
        <w:spacing w:line="240" w:lineRule="auto"/>
        <w:ind w:left="567" w:hanging="567"/>
        <w:rPr>
          <w:szCs w:val="22"/>
        </w:rPr>
      </w:pPr>
      <w:r>
        <w:rPr>
          <w:b/>
          <w:szCs w:val="22"/>
        </w:rPr>
        <w:t>7.</w:t>
      </w:r>
      <w:r>
        <w:rPr>
          <w:b/>
          <w:szCs w:val="22"/>
        </w:rPr>
        <w:tab/>
        <w:t>ПРИТЕЖАТЕЛ НА РАЗРЕШЕНИЕТО ЗА УПОТРЕБА</w:t>
      </w:r>
    </w:p>
    <w:p w14:paraId="06D1B87B" w14:textId="77777777" w:rsidR="001D29E6" w:rsidRPr="00991CED" w:rsidRDefault="001D29E6" w:rsidP="009F4BA4">
      <w:pPr>
        <w:spacing w:line="240" w:lineRule="auto"/>
        <w:rPr>
          <w:szCs w:val="22"/>
        </w:rPr>
      </w:pPr>
    </w:p>
    <w:p w14:paraId="73681C5B" w14:textId="77777777" w:rsidR="00A80DCD" w:rsidRDefault="00A80DCD" w:rsidP="00A80DCD">
      <w:pPr>
        <w:tabs>
          <w:tab w:val="clear" w:pos="567"/>
        </w:tabs>
        <w:spacing w:line="240" w:lineRule="auto"/>
        <w:ind w:left="567" w:hanging="567"/>
      </w:pPr>
      <w:r>
        <w:t>Alkaloid-INT d.o.o.</w:t>
      </w:r>
    </w:p>
    <w:p w14:paraId="7C14BBB4" w14:textId="77777777" w:rsidR="00A80DCD" w:rsidRDefault="00A80DCD" w:rsidP="00A80DCD">
      <w:pPr>
        <w:tabs>
          <w:tab w:val="clear" w:pos="567"/>
        </w:tabs>
        <w:spacing w:line="240" w:lineRule="auto"/>
        <w:ind w:left="567" w:hanging="567"/>
      </w:pPr>
      <w:r>
        <w:t>Šlandrova ulica 4</w:t>
      </w:r>
    </w:p>
    <w:p w14:paraId="4271D0EA" w14:textId="77777777" w:rsidR="00A80DCD" w:rsidRDefault="00A80DCD" w:rsidP="00A80DCD">
      <w:pPr>
        <w:tabs>
          <w:tab w:val="clear" w:pos="567"/>
        </w:tabs>
        <w:spacing w:line="240" w:lineRule="auto"/>
        <w:ind w:left="567" w:hanging="567"/>
      </w:pPr>
      <w:r>
        <w:t>1231 Ljubljana-Črnuče, Slovenia</w:t>
      </w:r>
    </w:p>
    <w:p w14:paraId="236889D6" w14:textId="77777777" w:rsidR="00A80DCD" w:rsidRDefault="00A80DCD" w:rsidP="00A80DCD">
      <w:pPr>
        <w:tabs>
          <w:tab w:val="clear" w:pos="567"/>
        </w:tabs>
        <w:spacing w:line="240" w:lineRule="auto"/>
        <w:ind w:left="567" w:hanging="567"/>
      </w:pPr>
      <w:r>
        <w:t>тел.: + 386 1 300 42 90</w:t>
      </w:r>
    </w:p>
    <w:p w14:paraId="7C7C8EA3" w14:textId="77777777" w:rsidR="00A80DCD" w:rsidRDefault="00A80DCD" w:rsidP="00A80DCD">
      <w:pPr>
        <w:tabs>
          <w:tab w:val="clear" w:pos="567"/>
        </w:tabs>
        <w:spacing w:line="240" w:lineRule="auto"/>
        <w:ind w:left="567" w:hanging="567"/>
      </w:pPr>
      <w:r>
        <w:t>факс: + 386 1 300 42 91</w:t>
      </w:r>
    </w:p>
    <w:p w14:paraId="7A61A75E" w14:textId="77777777" w:rsidR="00A80DCD" w:rsidRDefault="00A80DCD" w:rsidP="009F4BA4">
      <w:pPr>
        <w:spacing w:line="240" w:lineRule="auto"/>
      </w:pPr>
      <w:r>
        <w:t>имейл: info@alkaloid.si</w:t>
      </w:r>
      <w:r w:rsidDel="00A80DCD">
        <w:t xml:space="preserve"> </w:t>
      </w:r>
    </w:p>
    <w:p w14:paraId="10C0323E" w14:textId="77777777" w:rsidR="00A80DCD" w:rsidRDefault="00A80DCD" w:rsidP="009F4BA4">
      <w:pPr>
        <w:spacing w:line="240" w:lineRule="auto"/>
      </w:pPr>
    </w:p>
    <w:p w14:paraId="020FE8DA" w14:textId="77777777" w:rsidR="001D29E6" w:rsidRPr="00991CED" w:rsidRDefault="001D29E6" w:rsidP="009F4BA4">
      <w:pPr>
        <w:spacing w:line="240" w:lineRule="auto"/>
        <w:rPr>
          <w:szCs w:val="22"/>
        </w:rPr>
      </w:pPr>
    </w:p>
    <w:p w14:paraId="3764A89F" w14:textId="77777777" w:rsidR="001D29E6" w:rsidRPr="00991CED" w:rsidRDefault="001D29E6" w:rsidP="009F4BA4">
      <w:pPr>
        <w:spacing w:line="240" w:lineRule="auto"/>
        <w:ind w:left="567" w:hanging="567"/>
        <w:rPr>
          <w:b/>
          <w:szCs w:val="22"/>
        </w:rPr>
      </w:pPr>
      <w:r>
        <w:rPr>
          <w:b/>
          <w:szCs w:val="22"/>
        </w:rPr>
        <w:t>8.</w:t>
      </w:r>
      <w:r>
        <w:rPr>
          <w:b/>
          <w:szCs w:val="22"/>
        </w:rPr>
        <w:tab/>
        <w:t xml:space="preserve">НОМЕР(А) НА РАЗРЕШЕНИЕТО ЗА УПОТРЕБА </w:t>
      </w:r>
    </w:p>
    <w:p w14:paraId="2BA5A2CC" w14:textId="77777777" w:rsidR="001D29E6" w:rsidRPr="00991CED" w:rsidRDefault="001D29E6" w:rsidP="009F4BA4">
      <w:pPr>
        <w:spacing w:line="240" w:lineRule="auto"/>
        <w:rPr>
          <w:i/>
          <w:szCs w:val="22"/>
        </w:rPr>
      </w:pPr>
    </w:p>
    <w:p w14:paraId="14FE31CB" w14:textId="2D906BB0" w:rsidR="00F62C32" w:rsidRPr="00F62C32" w:rsidRDefault="00F62C32" w:rsidP="00F62C32">
      <w:pPr>
        <w:spacing w:line="240" w:lineRule="auto"/>
        <w:rPr>
          <w:szCs w:val="22"/>
        </w:rPr>
      </w:pPr>
      <w:r w:rsidRPr="00F62C32">
        <w:rPr>
          <w:szCs w:val="22"/>
        </w:rPr>
        <w:t>Фoвeлид 250 mg филмирани таблетки</w:t>
      </w:r>
      <w:r>
        <w:rPr>
          <w:szCs w:val="22"/>
        </w:rPr>
        <w:tab/>
        <w:t>Рег № 20200161</w:t>
      </w:r>
    </w:p>
    <w:p w14:paraId="4926977C" w14:textId="77777777" w:rsidR="00F62C32" w:rsidRDefault="00F62C32" w:rsidP="00F62C32">
      <w:pPr>
        <w:spacing w:line="240" w:lineRule="auto"/>
        <w:rPr>
          <w:szCs w:val="22"/>
        </w:rPr>
      </w:pPr>
    </w:p>
    <w:p w14:paraId="56517A87" w14:textId="57F974B4" w:rsidR="001D29E6" w:rsidRDefault="00F62C32" w:rsidP="00F62C32">
      <w:pPr>
        <w:spacing w:line="240" w:lineRule="auto"/>
        <w:rPr>
          <w:szCs w:val="22"/>
        </w:rPr>
      </w:pPr>
      <w:r w:rsidRPr="00F62C32">
        <w:rPr>
          <w:szCs w:val="22"/>
        </w:rPr>
        <w:t>Фoвeлид 500 mg филмирани таблетки</w:t>
      </w:r>
      <w:r>
        <w:rPr>
          <w:szCs w:val="22"/>
        </w:rPr>
        <w:tab/>
        <w:t>Рег № 20200162</w:t>
      </w:r>
    </w:p>
    <w:p w14:paraId="17FEF210" w14:textId="77777777" w:rsidR="00761C27" w:rsidRDefault="00761C27" w:rsidP="00F62C32">
      <w:pPr>
        <w:spacing w:line="240" w:lineRule="auto"/>
        <w:rPr>
          <w:szCs w:val="22"/>
        </w:rPr>
      </w:pPr>
    </w:p>
    <w:p w14:paraId="05340D73" w14:textId="77777777" w:rsidR="00F62C32" w:rsidRPr="00991CED" w:rsidRDefault="00F62C32" w:rsidP="00F62C32">
      <w:pPr>
        <w:spacing w:line="240" w:lineRule="auto"/>
        <w:rPr>
          <w:szCs w:val="22"/>
        </w:rPr>
      </w:pPr>
    </w:p>
    <w:p w14:paraId="0ED67127" w14:textId="77777777" w:rsidR="001D29E6" w:rsidRPr="00991CED" w:rsidRDefault="001D29E6" w:rsidP="009F4BA4">
      <w:pPr>
        <w:spacing w:line="240" w:lineRule="auto"/>
        <w:ind w:left="567" w:hanging="567"/>
        <w:rPr>
          <w:szCs w:val="22"/>
        </w:rPr>
      </w:pPr>
      <w:r>
        <w:rPr>
          <w:b/>
          <w:szCs w:val="22"/>
        </w:rPr>
        <w:t>9.</w:t>
      </w:r>
      <w:r>
        <w:rPr>
          <w:b/>
          <w:szCs w:val="22"/>
        </w:rPr>
        <w:tab/>
        <w:t>ДАТА НА ПЪРВО РАЗРЕШАВАНЕ/ПОДНОВЯВАНЕ НА РАЗРЕШЕНИЕТО ЗА УПОТРЕБА</w:t>
      </w:r>
    </w:p>
    <w:p w14:paraId="53BF8C0E" w14:textId="77777777" w:rsidR="001D29E6" w:rsidRPr="00991CED" w:rsidRDefault="001D29E6" w:rsidP="009F4BA4">
      <w:pPr>
        <w:spacing w:line="240" w:lineRule="auto"/>
        <w:rPr>
          <w:i/>
          <w:szCs w:val="22"/>
        </w:rPr>
      </w:pPr>
    </w:p>
    <w:p w14:paraId="766CD956" w14:textId="10659684" w:rsidR="00167629" w:rsidRDefault="00197D0B" w:rsidP="009F4BA4">
      <w:pPr>
        <w:spacing w:line="240" w:lineRule="auto"/>
      </w:pPr>
      <w:r>
        <w:t xml:space="preserve">Дата на първо разрешаване: </w:t>
      </w:r>
      <w:r w:rsidR="00F62C32">
        <w:t>2 Октомври 2020</w:t>
      </w:r>
    </w:p>
    <w:p w14:paraId="244BF4A3" w14:textId="042EF967" w:rsidR="00F62C32" w:rsidRPr="00991CED" w:rsidRDefault="00F62C32" w:rsidP="009F4BA4">
      <w:pPr>
        <w:spacing w:line="240" w:lineRule="auto"/>
        <w:rPr>
          <w:i/>
          <w:noProof/>
          <w:szCs w:val="22"/>
        </w:rPr>
      </w:pPr>
    </w:p>
    <w:p w14:paraId="2A25F35E" w14:textId="77777777" w:rsidR="001D29E6" w:rsidRPr="00991CED" w:rsidRDefault="001D29E6" w:rsidP="009F4BA4">
      <w:pPr>
        <w:spacing w:line="240" w:lineRule="auto"/>
        <w:rPr>
          <w:szCs w:val="22"/>
        </w:rPr>
      </w:pPr>
    </w:p>
    <w:p w14:paraId="0CF6369E" w14:textId="77777777" w:rsidR="001D29E6" w:rsidRPr="00991CED" w:rsidRDefault="001D29E6" w:rsidP="009F4BA4">
      <w:pPr>
        <w:spacing w:line="240" w:lineRule="auto"/>
        <w:ind w:left="567" w:hanging="567"/>
        <w:rPr>
          <w:b/>
          <w:szCs w:val="22"/>
        </w:rPr>
      </w:pPr>
      <w:r>
        <w:rPr>
          <w:b/>
          <w:szCs w:val="22"/>
        </w:rPr>
        <w:t>10.</w:t>
      </w:r>
      <w:r>
        <w:rPr>
          <w:b/>
          <w:szCs w:val="22"/>
        </w:rPr>
        <w:tab/>
        <w:t>ДАТА НА АКТУАЛИЗИРАНЕ НА ТЕКСТА</w:t>
      </w:r>
    </w:p>
    <w:p w14:paraId="5C99FA3A" w14:textId="77777777" w:rsidR="001D29E6" w:rsidRPr="00991CED" w:rsidRDefault="001D29E6" w:rsidP="009F4BA4">
      <w:pPr>
        <w:spacing w:line="240" w:lineRule="auto"/>
        <w:rPr>
          <w:szCs w:val="22"/>
        </w:rPr>
      </w:pPr>
    </w:p>
    <w:p w14:paraId="4295362E" w14:textId="18FAD729" w:rsidR="001D29E6" w:rsidRPr="00885830" w:rsidRDefault="00BD32A3" w:rsidP="005755DD">
      <w:pPr>
        <w:numPr>
          <w:ilvl w:val="12"/>
          <w:numId w:val="0"/>
        </w:numPr>
        <w:spacing w:line="240" w:lineRule="auto"/>
        <w:ind w:right="-2"/>
        <w:rPr>
          <w:iCs/>
          <w:szCs w:val="22"/>
          <w:lang w:val="en-US"/>
        </w:rPr>
      </w:pPr>
      <w:r>
        <w:t>01</w:t>
      </w:r>
      <w:r w:rsidR="00A80DCD">
        <w:rPr>
          <w:lang w:val="en-US"/>
        </w:rPr>
        <w:t>/202</w:t>
      </w:r>
      <w:r>
        <w:t>2</w:t>
      </w:r>
    </w:p>
    <w:sectPr w:rsidR="001D29E6" w:rsidRPr="00885830" w:rsidSect="00422D26">
      <w:footerReference w:type="default" r:id="rId8"/>
      <w:footerReference w:type="first" r:id="rId9"/>
      <w:endnotePr>
        <w:numFmt w:val="decimal"/>
      </w:endnotePr>
      <w:pgSz w:w="11907" w:h="16840" w:code="9"/>
      <w:pgMar w:top="2552" w:right="1134" w:bottom="1134" w:left="1418" w:header="731" w:footer="7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6BB5" w14:textId="77777777" w:rsidR="00846201" w:rsidRDefault="00846201">
      <w:r>
        <w:separator/>
      </w:r>
    </w:p>
  </w:endnote>
  <w:endnote w:type="continuationSeparator" w:id="0">
    <w:p w14:paraId="6ABD0CA3" w14:textId="77777777" w:rsidR="00846201" w:rsidRDefault="0084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8559" w14:textId="3A46C43D" w:rsidR="00846201" w:rsidRPr="0010371B" w:rsidRDefault="00846201" w:rsidP="0010371B">
    <w:pPr>
      <w:pStyle w:val="Footer"/>
      <w:jc w:val="right"/>
      <w:rPr>
        <w:caps/>
        <w:noProof/>
        <w:color w:val="000000"/>
      </w:rPr>
    </w:pPr>
    <w:r w:rsidRPr="0010371B">
      <w:rPr>
        <w:caps/>
        <w:color w:val="000000"/>
      </w:rPr>
      <w:fldChar w:fldCharType="begin"/>
    </w:r>
    <w:r w:rsidRPr="0010371B">
      <w:rPr>
        <w:caps/>
        <w:color w:val="000000"/>
      </w:rPr>
      <w:instrText xml:space="preserve"> PAGE   \* MERGEFORMAT </w:instrText>
    </w:r>
    <w:r w:rsidRPr="0010371B">
      <w:rPr>
        <w:caps/>
        <w:color w:val="000000"/>
      </w:rPr>
      <w:fldChar w:fldCharType="separate"/>
    </w:r>
    <w:r w:rsidR="00167009">
      <w:rPr>
        <w:caps/>
        <w:noProof/>
        <w:color w:val="000000"/>
      </w:rPr>
      <w:t>17</w:t>
    </w:r>
    <w:r w:rsidRPr="0010371B">
      <w:rPr>
        <w:caps/>
        <w:noProof/>
        <w:color w:val="000000"/>
      </w:rPr>
      <w:fldChar w:fldCharType="end"/>
    </w:r>
  </w:p>
  <w:p w14:paraId="7D9FEFF8" w14:textId="3BA07F11" w:rsidR="00846201" w:rsidRPr="000C1913" w:rsidRDefault="00846201">
    <w:pPr>
      <w:pStyle w:val="Footer"/>
      <w:tabs>
        <w:tab w:val="clear" w:pos="8930"/>
        <w:tab w:val="right" w:pos="8931"/>
      </w:tabs>
      <w:ind w:right="96"/>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63436" w14:textId="3FC7346D" w:rsidR="00846201" w:rsidRPr="000C1913" w:rsidRDefault="00846201">
    <w:pPr>
      <w:pStyle w:val="Footer"/>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sidRPr="000C1913">
      <w:rPr>
        <w:rFonts w:ascii="Arial" w:hAnsi="Arial" w:cs="Arial"/>
      </w:rPr>
      <w:fldChar w:fldCharType="end"/>
    </w:r>
    <w:r w:rsidRPr="007710EC">
      <w:rPr>
        <w:rStyle w:val="PageNumber"/>
        <w:rFonts w:ascii="Arial" w:hAnsi="Arial" w:cs="Arial"/>
      </w:rPr>
      <w:fldChar w:fldCharType="begin"/>
    </w:r>
    <w:r w:rsidRPr="000C1913">
      <w:rPr>
        <w:rStyle w:val="PageNumber"/>
        <w:rFonts w:ascii="Arial" w:hAnsi="Arial" w:cs="Arial"/>
      </w:rPr>
      <w:instrText xml:space="preserve">PAGE  </w:instrText>
    </w:r>
    <w:r w:rsidRPr="007710EC">
      <w:rPr>
        <w:rStyle w:val="PageNumber"/>
        <w:rFonts w:ascii="Arial" w:hAnsi="Arial" w:cs="Arial"/>
      </w:rPr>
      <w:fldChar w:fldCharType="separate"/>
    </w:r>
    <w:r w:rsidR="00167009">
      <w:rPr>
        <w:rStyle w:val="PageNumber"/>
        <w:rFonts w:ascii="Arial" w:hAnsi="Arial" w:cs="Arial"/>
        <w:noProof/>
      </w:rPr>
      <w:t>1</w:t>
    </w:r>
    <w:r w:rsidRPr="007710E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4C908" w14:textId="77777777" w:rsidR="00846201" w:rsidRDefault="00846201">
      <w:r>
        <w:separator/>
      </w:r>
    </w:p>
  </w:footnote>
  <w:footnote w:type="continuationSeparator" w:id="0">
    <w:p w14:paraId="637309E2" w14:textId="77777777" w:rsidR="00846201" w:rsidRDefault="0084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3B59D8"/>
    <w:multiLevelType w:val="hybridMultilevel"/>
    <w:tmpl w:val="DD3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BB560EF"/>
    <w:multiLevelType w:val="hybridMultilevel"/>
    <w:tmpl w:val="E618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D58"/>
    <w:multiLevelType w:val="hybridMultilevel"/>
    <w:tmpl w:val="9428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2E14DF8"/>
    <w:multiLevelType w:val="hybridMultilevel"/>
    <w:tmpl w:val="D0A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33EBF"/>
    <w:multiLevelType w:val="hybridMultilevel"/>
    <w:tmpl w:val="E8209F3C"/>
    <w:lvl w:ilvl="0" w:tplc="A7CE1C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43814"/>
    <w:multiLevelType w:val="hybridMultilevel"/>
    <w:tmpl w:val="486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4B1E79C4"/>
    <w:multiLevelType w:val="hybridMultilevel"/>
    <w:tmpl w:val="4D32E992"/>
    <w:lvl w:ilvl="0" w:tplc="E144899A">
      <w:start w:val="1"/>
      <w:numFmt w:val="bullet"/>
      <w:lvlText w:val="-"/>
      <w:lvlJc w:val="left"/>
      <w:pPr>
        <w:ind w:left="720" w:hanging="360"/>
      </w:pPr>
      <w:rPr>
        <w:rFonts w:ascii="Courier New" w:hAnsi="Courier New" w:hint="default"/>
        <w:b/>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97309"/>
    <w:multiLevelType w:val="hybridMultilevel"/>
    <w:tmpl w:val="D6E2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44985"/>
    <w:multiLevelType w:val="hybridMultilevel"/>
    <w:tmpl w:val="77E0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3" w15:restartNumberingAfterBreak="0">
    <w:nsid w:val="5C7372DA"/>
    <w:multiLevelType w:val="hybridMultilevel"/>
    <w:tmpl w:val="CD5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7"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9" w15:restartNumberingAfterBreak="0">
    <w:nsid w:val="66FF1626"/>
    <w:multiLevelType w:val="hybridMultilevel"/>
    <w:tmpl w:val="C4E05976"/>
    <w:lvl w:ilvl="0" w:tplc="A7CE1C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4"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3"/>
  </w:num>
  <w:num w:numId="4">
    <w:abstractNumId w:val="42"/>
  </w:num>
  <w:num w:numId="5">
    <w:abstractNumId w:val="15"/>
  </w:num>
  <w:num w:numId="6">
    <w:abstractNumId w:val="29"/>
  </w:num>
  <w:num w:numId="7">
    <w:abstractNumId w:val="25"/>
  </w:num>
  <w:num w:numId="8">
    <w:abstractNumId w:val="9"/>
  </w:num>
  <w:num w:numId="9">
    <w:abstractNumId w:val="40"/>
  </w:num>
  <w:num w:numId="10">
    <w:abstractNumId w:val="41"/>
  </w:num>
  <w:num w:numId="11">
    <w:abstractNumId w:val="21"/>
  </w:num>
  <w:num w:numId="12">
    <w:abstractNumId w:val="17"/>
  </w:num>
  <w:num w:numId="13">
    <w:abstractNumId w:val="2"/>
  </w:num>
  <w:num w:numId="14">
    <w:abstractNumId w:val="38"/>
  </w:num>
  <w:num w:numId="15">
    <w:abstractNumId w:val="23"/>
  </w:num>
  <w:num w:numId="16">
    <w:abstractNumId w:val="44"/>
  </w:num>
  <w:num w:numId="17">
    <w:abstractNumId w:val="10"/>
  </w:num>
  <w:num w:numId="18">
    <w:abstractNumId w:val="1"/>
  </w:num>
  <w:num w:numId="19">
    <w:abstractNumId w:val="22"/>
  </w:num>
  <w:num w:numId="20">
    <w:abstractNumId w:val="4"/>
  </w:num>
  <w:num w:numId="21">
    <w:abstractNumId w:val="8"/>
  </w:num>
  <w:num w:numId="22">
    <w:abstractNumId w:val="32"/>
  </w:num>
  <w:num w:numId="23">
    <w:abstractNumId w:val="37"/>
  </w:num>
  <w:num w:numId="24">
    <w:abstractNumId w:val="31"/>
  </w:num>
  <w:num w:numId="25">
    <w:abstractNumId w:val="16"/>
  </w:num>
  <w:num w:numId="26">
    <w:abstractNumId w:val="12"/>
  </w:num>
  <w:num w:numId="27">
    <w:abstractNumId w:val="24"/>
  </w:num>
  <w:num w:numId="28">
    <w:abstractNumId w:val="30"/>
  </w:num>
  <w:num w:numId="29">
    <w:abstractNumId w:val="18"/>
  </w:num>
  <w:num w:numId="30">
    <w:abstractNumId w:val="11"/>
  </w:num>
  <w:num w:numId="31">
    <w:abstractNumId w:val="35"/>
  </w:num>
  <w:num w:numId="32">
    <w:abstractNumId w:val="36"/>
  </w:num>
  <w:num w:numId="33">
    <w:abstractNumId w:val="34"/>
  </w:num>
  <w:num w:numId="34">
    <w:abstractNumId w:val="19"/>
  </w:num>
  <w:num w:numId="35">
    <w:abstractNumId w:val="5"/>
  </w:num>
  <w:num w:numId="36">
    <w:abstractNumId w:val="45"/>
  </w:num>
  <w:num w:numId="37">
    <w:abstractNumId w:val="0"/>
    <w:lvlOverride w:ilvl="0">
      <w:lvl w:ilvl="0">
        <w:start w:val="1"/>
        <w:numFmt w:val="bullet"/>
        <w:lvlText w:val="-"/>
        <w:legacy w:legacy="1" w:legacySpace="0" w:legacyIndent="360"/>
        <w:lvlJc w:val="left"/>
        <w:pPr>
          <w:ind w:left="360" w:hanging="360"/>
        </w:pPr>
      </w:lvl>
    </w:lvlOverride>
  </w:num>
  <w:num w:numId="38">
    <w:abstractNumId w:val="6"/>
  </w:num>
  <w:num w:numId="39">
    <w:abstractNumId w:val="7"/>
  </w:num>
  <w:num w:numId="40">
    <w:abstractNumId w:val="27"/>
  </w:num>
  <w:num w:numId="41">
    <w:abstractNumId w:val="28"/>
  </w:num>
  <w:num w:numId="42">
    <w:abstractNumId w:val="33"/>
  </w:num>
  <w:num w:numId="43">
    <w:abstractNumId w:val="13"/>
  </w:num>
  <w:num w:numId="44">
    <w:abstractNumId w:val="20"/>
  </w:num>
  <w:num w:numId="45">
    <w:abstractNumId w:val="3"/>
  </w:num>
  <w:num w:numId="46">
    <w:abstractNumId w:val="26"/>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53ACC"/>
    <w:rsid w:val="000064E6"/>
    <w:rsid w:val="000131C2"/>
    <w:rsid w:val="000157A6"/>
    <w:rsid w:val="000250D4"/>
    <w:rsid w:val="00025CED"/>
    <w:rsid w:val="00033EAD"/>
    <w:rsid w:val="000425D4"/>
    <w:rsid w:val="00043AEC"/>
    <w:rsid w:val="00043B8F"/>
    <w:rsid w:val="000562A9"/>
    <w:rsid w:val="00061E2F"/>
    <w:rsid w:val="00067D17"/>
    <w:rsid w:val="000761F1"/>
    <w:rsid w:val="0007735B"/>
    <w:rsid w:val="00082799"/>
    <w:rsid w:val="00083518"/>
    <w:rsid w:val="00085D7E"/>
    <w:rsid w:val="00086803"/>
    <w:rsid w:val="000A671A"/>
    <w:rsid w:val="000C01BA"/>
    <w:rsid w:val="000C1913"/>
    <w:rsid w:val="000D0604"/>
    <w:rsid w:val="000D17B3"/>
    <w:rsid w:val="000D1848"/>
    <w:rsid w:val="000D5780"/>
    <w:rsid w:val="000D7AA6"/>
    <w:rsid w:val="000E23CA"/>
    <w:rsid w:val="000F37B1"/>
    <w:rsid w:val="00100117"/>
    <w:rsid w:val="0010371B"/>
    <w:rsid w:val="00121E9A"/>
    <w:rsid w:val="00126201"/>
    <w:rsid w:val="00132A0E"/>
    <w:rsid w:val="00137770"/>
    <w:rsid w:val="00142B8A"/>
    <w:rsid w:val="00143CA1"/>
    <w:rsid w:val="0014407F"/>
    <w:rsid w:val="00152CC5"/>
    <w:rsid w:val="00152E50"/>
    <w:rsid w:val="001627F5"/>
    <w:rsid w:val="00163764"/>
    <w:rsid w:val="001659FC"/>
    <w:rsid w:val="00167009"/>
    <w:rsid w:val="00167629"/>
    <w:rsid w:val="00174BD5"/>
    <w:rsid w:val="001829D4"/>
    <w:rsid w:val="00185256"/>
    <w:rsid w:val="0018558B"/>
    <w:rsid w:val="00185A99"/>
    <w:rsid w:val="00186520"/>
    <w:rsid w:val="001910E0"/>
    <w:rsid w:val="0019319B"/>
    <w:rsid w:val="00197D0B"/>
    <w:rsid w:val="001B7372"/>
    <w:rsid w:val="001C2E1A"/>
    <w:rsid w:val="001C7A30"/>
    <w:rsid w:val="001D29E6"/>
    <w:rsid w:val="001E1D37"/>
    <w:rsid w:val="001E3123"/>
    <w:rsid w:val="001E32F6"/>
    <w:rsid w:val="001E68EC"/>
    <w:rsid w:val="001E7FCA"/>
    <w:rsid w:val="001F3539"/>
    <w:rsid w:val="00205A98"/>
    <w:rsid w:val="002074BB"/>
    <w:rsid w:val="00211F4D"/>
    <w:rsid w:val="0021571D"/>
    <w:rsid w:val="002175C2"/>
    <w:rsid w:val="0022644F"/>
    <w:rsid w:val="00230EB2"/>
    <w:rsid w:val="00232029"/>
    <w:rsid w:val="002324A9"/>
    <w:rsid w:val="00241658"/>
    <w:rsid w:val="002428C5"/>
    <w:rsid w:val="00242FBE"/>
    <w:rsid w:val="00246C7F"/>
    <w:rsid w:val="00251790"/>
    <w:rsid w:val="002541E4"/>
    <w:rsid w:val="00276569"/>
    <w:rsid w:val="00277888"/>
    <w:rsid w:val="002826DD"/>
    <w:rsid w:val="002839CF"/>
    <w:rsid w:val="002860B1"/>
    <w:rsid w:val="00291AD9"/>
    <w:rsid w:val="00291B18"/>
    <w:rsid w:val="002940F4"/>
    <w:rsid w:val="0029721A"/>
    <w:rsid w:val="002A4582"/>
    <w:rsid w:val="002A78D8"/>
    <w:rsid w:val="002B1F4A"/>
    <w:rsid w:val="002B2EEC"/>
    <w:rsid w:val="002B57B9"/>
    <w:rsid w:val="002C1E21"/>
    <w:rsid w:val="002C2E48"/>
    <w:rsid w:val="002D2585"/>
    <w:rsid w:val="002D46BA"/>
    <w:rsid w:val="002D4A99"/>
    <w:rsid w:val="002D54C1"/>
    <w:rsid w:val="002E4BB5"/>
    <w:rsid w:val="002F20FB"/>
    <w:rsid w:val="002F3AA4"/>
    <w:rsid w:val="002F3D63"/>
    <w:rsid w:val="003000A5"/>
    <w:rsid w:val="00301532"/>
    <w:rsid w:val="00302821"/>
    <w:rsid w:val="00303190"/>
    <w:rsid w:val="003060C0"/>
    <w:rsid w:val="0031220F"/>
    <w:rsid w:val="003128E2"/>
    <w:rsid w:val="003171D7"/>
    <w:rsid w:val="00324A74"/>
    <w:rsid w:val="00325F3F"/>
    <w:rsid w:val="00336871"/>
    <w:rsid w:val="0034005B"/>
    <w:rsid w:val="00340EBE"/>
    <w:rsid w:val="003469A8"/>
    <w:rsid w:val="0035192A"/>
    <w:rsid w:val="003521B2"/>
    <w:rsid w:val="00353B98"/>
    <w:rsid w:val="00362F88"/>
    <w:rsid w:val="003630B2"/>
    <w:rsid w:val="003656EC"/>
    <w:rsid w:val="00372C76"/>
    <w:rsid w:val="00372C80"/>
    <w:rsid w:val="003766FD"/>
    <w:rsid w:val="00380AD5"/>
    <w:rsid w:val="00383760"/>
    <w:rsid w:val="00386975"/>
    <w:rsid w:val="00391668"/>
    <w:rsid w:val="00392765"/>
    <w:rsid w:val="00395EB4"/>
    <w:rsid w:val="00397C81"/>
    <w:rsid w:val="003A3961"/>
    <w:rsid w:val="003A6586"/>
    <w:rsid w:val="003A7A4B"/>
    <w:rsid w:val="003B34B9"/>
    <w:rsid w:val="003B3D77"/>
    <w:rsid w:val="003C3AB3"/>
    <w:rsid w:val="003D212C"/>
    <w:rsid w:val="003D4BCF"/>
    <w:rsid w:val="003D7C74"/>
    <w:rsid w:val="003E355A"/>
    <w:rsid w:val="003F1EE6"/>
    <w:rsid w:val="003F2C14"/>
    <w:rsid w:val="00414A6D"/>
    <w:rsid w:val="00415992"/>
    <w:rsid w:val="00415C6A"/>
    <w:rsid w:val="00422D26"/>
    <w:rsid w:val="004313E7"/>
    <w:rsid w:val="00432A5E"/>
    <w:rsid w:val="004415C6"/>
    <w:rsid w:val="00445248"/>
    <w:rsid w:val="0045748A"/>
    <w:rsid w:val="004601F8"/>
    <w:rsid w:val="00466D2F"/>
    <w:rsid w:val="00467892"/>
    <w:rsid w:val="004714B4"/>
    <w:rsid w:val="00471E9B"/>
    <w:rsid w:val="00483BCE"/>
    <w:rsid w:val="004868D7"/>
    <w:rsid w:val="004A3086"/>
    <w:rsid w:val="004A5069"/>
    <w:rsid w:val="004A67B2"/>
    <w:rsid w:val="004A67CE"/>
    <w:rsid w:val="004B0AD0"/>
    <w:rsid w:val="004B1B10"/>
    <w:rsid w:val="004B4AC3"/>
    <w:rsid w:val="004B59AC"/>
    <w:rsid w:val="004B5A07"/>
    <w:rsid w:val="004C05DF"/>
    <w:rsid w:val="004C33C5"/>
    <w:rsid w:val="004C582F"/>
    <w:rsid w:val="004D42FB"/>
    <w:rsid w:val="004D449C"/>
    <w:rsid w:val="004D4531"/>
    <w:rsid w:val="004E455A"/>
    <w:rsid w:val="004E675C"/>
    <w:rsid w:val="004F3F06"/>
    <w:rsid w:val="004F546E"/>
    <w:rsid w:val="004F5EDF"/>
    <w:rsid w:val="00500D83"/>
    <w:rsid w:val="005022DB"/>
    <w:rsid w:val="00502EC7"/>
    <w:rsid w:val="00505065"/>
    <w:rsid w:val="0051465F"/>
    <w:rsid w:val="00520EA7"/>
    <w:rsid w:val="00521F11"/>
    <w:rsid w:val="00530FF5"/>
    <w:rsid w:val="00534EA6"/>
    <w:rsid w:val="00541925"/>
    <w:rsid w:val="005422DD"/>
    <w:rsid w:val="00546E2D"/>
    <w:rsid w:val="00547410"/>
    <w:rsid w:val="00552CB5"/>
    <w:rsid w:val="0055501D"/>
    <w:rsid w:val="0056303B"/>
    <w:rsid w:val="005642D2"/>
    <w:rsid w:val="0056769B"/>
    <w:rsid w:val="00567DD7"/>
    <w:rsid w:val="005755DD"/>
    <w:rsid w:val="0057617F"/>
    <w:rsid w:val="0058079F"/>
    <w:rsid w:val="00593034"/>
    <w:rsid w:val="00593CDB"/>
    <w:rsid w:val="00595216"/>
    <w:rsid w:val="0059608B"/>
    <w:rsid w:val="005A099B"/>
    <w:rsid w:val="005A3728"/>
    <w:rsid w:val="005A38E4"/>
    <w:rsid w:val="005A49C3"/>
    <w:rsid w:val="005A624F"/>
    <w:rsid w:val="005B0943"/>
    <w:rsid w:val="005B0D65"/>
    <w:rsid w:val="005B34CD"/>
    <w:rsid w:val="005B7FFB"/>
    <w:rsid w:val="005C02C4"/>
    <w:rsid w:val="005C298D"/>
    <w:rsid w:val="005C790E"/>
    <w:rsid w:val="005D4E04"/>
    <w:rsid w:val="005D5343"/>
    <w:rsid w:val="005D5A6A"/>
    <w:rsid w:val="005E0171"/>
    <w:rsid w:val="005E05E2"/>
    <w:rsid w:val="005F1B9D"/>
    <w:rsid w:val="005F4886"/>
    <w:rsid w:val="005F7B5B"/>
    <w:rsid w:val="00605F6A"/>
    <w:rsid w:val="00607091"/>
    <w:rsid w:val="00610B88"/>
    <w:rsid w:val="00611D83"/>
    <w:rsid w:val="00614C9C"/>
    <w:rsid w:val="00615662"/>
    <w:rsid w:val="00616BCA"/>
    <w:rsid w:val="006202F0"/>
    <w:rsid w:val="006348AB"/>
    <w:rsid w:val="00640761"/>
    <w:rsid w:val="00642E0C"/>
    <w:rsid w:val="0064307C"/>
    <w:rsid w:val="0066209A"/>
    <w:rsid w:val="006751F5"/>
    <w:rsid w:val="00683F11"/>
    <w:rsid w:val="00685EF8"/>
    <w:rsid w:val="0068697C"/>
    <w:rsid w:val="006A09F3"/>
    <w:rsid w:val="006A0E4A"/>
    <w:rsid w:val="006A5078"/>
    <w:rsid w:val="006B58B6"/>
    <w:rsid w:val="006B6913"/>
    <w:rsid w:val="006C20FA"/>
    <w:rsid w:val="006C5957"/>
    <w:rsid w:val="006C62AC"/>
    <w:rsid w:val="006C797E"/>
    <w:rsid w:val="006D2A6B"/>
    <w:rsid w:val="006E4252"/>
    <w:rsid w:val="006F305E"/>
    <w:rsid w:val="006F51EA"/>
    <w:rsid w:val="0070170D"/>
    <w:rsid w:val="00704AE7"/>
    <w:rsid w:val="007101D8"/>
    <w:rsid w:val="00713B52"/>
    <w:rsid w:val="00715050"/>
    <w:rsid w:val="00724F33"/>
    <w:rsid w:val="0073003D"/>
    <w:rsid w:val="00744E01"/>
    <w:rsid w:val="00753399"/>
    <w:rsid w:val="0075553F"/>
    <w:rsid w:val="007559BF"/>
    <w:rsid w:val="0075748E"/>
    <w:rsid w:val="00757CB5"/>
    <w:rsid w:val="00760459"/>
    <w:rsid w:val="00761C27"/>
    <w:rsid w:val="007710EC"/>
    <w:rsid w:val="00772956"/>
    <w:rsid w:val="00777769"/>
    <w:rsid w:val="00781A81"/>
    <w:rsid w:val="007833AB"/>
    <w:rsid w:val="00790585"/>
    <w:rsid w:val="00795983"/>
    <w:rsid w:val="00796A93"/>
    <w:rsid w:val="007C2E59"/>
    <w:rsid w:val="007C31BA"/>
    <w:rsid w:val="007C76C8"/>
    <w:rsid w:val="007D3315"/>
    <w:rsid w:val="007D34E2"/>
    <w:rsid w:val="007E3D28"/>
    <w:rsid w:val="007E6AB6"/>
    <w:rsid w:val="007F1A82"/>
    <w:rsid w:val="007F3444"/>
    <w:rsid w:val="007F56A4"/>
    <w:rsid w:val="007F5D4C"/>
    <w:rsid w:val="007F7E38"/>
    <w:rsid w:val="00800787"/>
    <w:rsid w:val="00801D89"/>
    <w:rsid w:val="00802C23"/>
    <w:rsid w:val="0081380E"/>
    <w:rsid w:val="00814497"/>
    <w:rsid w:val="008146DC"/>
    <w:rsid w:val="00815434"/>
    <w:rsid w:val="0082006A"/>
    <w:rsid w:val="00825CF6"/>
    <w:rsid w:val="008272A0"/>
    <w:rsid w:val="00834558"/>
    <w:rsid w:val="0083689F"/>
    <w:rsid w:val="0084172C"/>
    <w:rsid w:val="0084213D"/>
    <w:rsid w:val="008445C4"/>
    <w:rsid w:val="00846201"/>
    <w:rsid w:val="00850DC2"/>
    <w:rsid w:val="00852EA6"/>
    <w:rsid w:val="00854A89"/>
    <w:rsid w:val="00855A0A"/>
    <w:rsid w:val="008578DA"/>
    <w:rsid w:val="00863C00"/>
    <w:rsid w:val="0087542F"/>
    <w:rsid w:val="00877CCC"/>
    <w:rsid w:val="008807F8"/>
    <w:rsid w:val="00880BD3"/>
    <w:rsid w:val="00885830"/>
    <w:rsid w:val="00885DB1"/>
    <w:rsid w:val="0088604B"/>
    <w:rsid w:val="00887CC8"/>
    <w:rsid w:val="008939DF"/>
    <w:rsid w:val="0089504B"/>
    <w:rsid w:val="008A0A16"/>
    <w:rsid w:val="008A3D6B"/>
    <w:rsid w:val="008A5BCA"/>
    <w:rsid w:val="008A7036"/>
    <w:rsid w:val="008B6F26"/>
    <w:rsid w:val="008B72BB"/>
    <w:rsid w:val="008C0B9B"/>
    <w:rsid w:val="008C24B6"/>
    <w:rsid w:val="008C3DC6"/>
    <w:rsid w:val="008C4B7D"/>
    <w:rsid w:val="008C60E8"/>
    <w:rsid w:val="008D32CC"/>
    <w:rsid w:val="008D3617"/>
    <w:rsid w:val="008E3183"/>
    <w:rsid w:val="008E558A"/>
    <w:rsid w:val="008F1151"/>
    <w:rsid w:val="008F2F71"/>
    <w:rsid w:val="008F49E8"/>
    <w:rsid w:val="008F5BFC"/>
    <w:rsid w:val="009004CC"/>
    <w:rsid w:val="00902988"/>
    <w:rsid w:val="00906B69"/>
    <w:rsid w:val="00911BBD"/>
    <w:rsid w:val="009139D3"/>
    <w:rsid w:val="00914632"/>
    <w:rsid w:val="00923175"/>
    <w:rsid w:val="00925295"/>
    <w:rsid w:val="00933B2C"/>
    <w:rsid w:val="009521B7"/>
    <w:rsid w:val="00962267"/>
    <w:rsid w:val="009623D3"/>
    <w:rsid w:val="00967D8A"/>
    <w:rsid w:val="009708B8"/>
    <w:rsid w:val="00971ECC"/>
    <w:rsid w:val="00975056"/>
    <w:rsid w:val="00976075"/>
    <w:rsid w:val="0097648C"/>
    <w:rsid w:val="00984DE0"/>
    <w:rsid w:val="00985A6D"/>
    <w:rsid w:val="00991055"/>
    <w:rsid w:val="00991CED"/>
    <w:rsid w:val="0099472E"/>
    <w:rsid w:val="00994B1D"/>
    <w:rsid w:val="00995160"/>
    <w:rsid w:val="009A16F0"/>
    <w:rsid w:val="009A6FA6"/>
    <w:rsid w:val="009C2ACC"/>
    <w:rsid w:val="009C412B"/>
    <w:rsid w:val="009C7B0A"/>
    <w:rsid w:val="009E0C42"/>
    <w:rsid w:val="009E2420"/>
    <w:rsid w:val="009E3B36"/>
    <w:rsid w:val="009E584F"/>
    <w:rsid w:val="009F1FCA"/>
    <w:rsid w:val="009F4BA4"/>
    <w:rsid w:val="009F7EBF"/>
    <w:rsid w:val="00A0248D"/>
    <w:rsid w:val="00A051BB"/>
    <w:rsid w:val="00A06A17"/>
    <w:rsid w:val="00A14871"/>
    <w:rsid w:val="00A20961"/>
    <w:rsid w:val="00A20993"/>
    <w:rsid w:val="00A359C3"/>
    <w:rsid w:val="00A413B9"/>
    <w:rsid w:val="00A42EE4"/>
    <w:rsid w:val="00A45DD4"/>
    <w:rsid w:val="00A50657"/>
    <w:rsid w:val="00A52FC2"/>
    <w:rsid w:val="00A542C4"/>
    <w:rsid w:val="00A54618"/>
    <w:rsid w:val="00A5469E"/>
    <w:rsid w:val="00A57054"/>
    <w:rsid w:val="00A57F07"/>
    <w:rsid w:val="00A61D57"/>
    <w:rsid w:val="00A62132"/>
    <w:rsid w:val="00A64022"/>
    <w:rsid w:val="00A70A18"/>
    <w:rsid w:val="00A80DCD"/>
    <w:rsid w:val="00A830D3"/>
    <w:rsid w:val="00A867CC"/>
    <w:rsid w:val="00A9381F"/>
    <w:rsid w:val="00A94221"/>
    <w:rsid w:val="00AB275E"/>
    <w:rsid w:val="00AB3E21"/>
    <w:rsid w:val="00AB7EEB"/>
    <w:rsid w:val="00AC1F7C"/>
    <w:rsid w:val="00AC2464"/>
    <w:rsid w:val="00AC3E02"/>
    <w:rsid w:val="00AD660D"/>
    <w:rsid w:val="00AD6E9B"/>
    <w:rsid w:val="00AD74C7"/>
    <w:rsid w:val="00AE1758"/>
    <w:rsid w:val="00AF0A54"/>
    <w:rsid w:val="00AF322D"/>
    <w:rsid w:val="00AF33F8"/>
    <w:rsid w:val="00AF48FD"/>
    <w:rsid w:val="00AF6067"/>
    <w:rsid w:val="00B02B79"/>
    <w:rsid w:val="00B0785D"/>
    <w:rsid w:val="00B16DF8"/>
    <w:rsid w:val="00B257BE"/>
    <w:rsid w:val="00B35E9D"/>
    <w:rsid w:val="00B40968"/>
    <w:rsid w:val="00B41BA2"/>
    <w:rsid w:val="00B4344F"/>
    <w:rsid w:val="00B51B2B"/>
    <w:rsid w:val="00B54AFE"/>
    <w:rsid w:val="00B56B7F"/>
    <w:rsid w:val="00B614CE"/>
    <w:rsid w:val="00B62C7B"/>
    <w:rsid w:val="00B701CC"/>
    <w:rsid w:val="00B70894"/>
    <w:rsid w:val="00B732D5"/>
    <w:rsid w:val="00B810B4"/>
    <w:rsid w:val="00B838B5"/>
    <w:rsid w:val="00B93404"/>
    <w:rsid w:val="00BA3E14"/>
    <w:rsid w:val="00BB0741"/>
    <w:rsid w:val="00BB40DE"/>
    <w:rsid w:val="00BB4C55"/>
    <w:rsid w:val="00BC0DE9"/>
    <w:rsid w:val="00BC2559"/>
    <w:rsid w:val="00BC426C"/>
    <w:rsid w:val="00BD1081"/>
    <w:rsid w:val="00BD32A3"/>
    <w:rsid w:val="00BD4BBA"/>
    <w:rsid w:val="00BD58F3"/>
    <w:rsid w:val="00BE133F"/>
    <w:rsid w:val="00BE43EF"/>
    <w:rsid w:val="00BE4B24"/>
    <w:rsid w:val="00BE5579"/>
    <w:rsid w:val="00BE59C6"/>
    <w:rsid w:val="00BF0EA1"/>
    <w:rsid w:val="00BF70CB"/>
    <w:rsid w:val="00BF77E0"/>
    <w:rsid w:val="00C04163"/>
    <w:rsid w:val="00C05D4F"/>
    <w:rsid w:val="00C1107A"/>
    <w:rsid w:val="00C17115"/>
    <w:rsid w:val="00C20721"/>
    <w:rsid w:val="00C218B2"/>
    <w:rsid w:val="00C224B2"/>
    <w:rsid w:val="00C273AD"/>
    <w:rsid w:val="00C301AE"/>
    <w:rsid w:val="00C30A5C"/>
    <w:rsid w:val="00C33D5F"/>
    <w:rsid w:val="00C34484"/>
    <w:rsid w:val="00C44A97"/>
    <w:rsid w:val="00C45C2C"/>
    <w:rsid w:val="00C53ACC"/>
    <w:rsid w:val="00C54D71"/>
    <w:rsid w:val="00C5585F"/>
    <w:rsid w:val="00C56AB5"/>
    <w:rsid w:val="00C60462"/>
    <w:rsid w:val="00C61F4E"/>
    <w:rsid w:val="00C81213"/>
    <w:rsid w:val="00C815C0"/>
    <w:rsid w:val="00C817A7"/>
    <w:rsid w:val="00C86247"/>
    <w:rsid w:val="00C9230B"/>
    <w:rsid w:val="00C94789"/>
    <w:rsid w:val="00C95CC1"/>
    <w:rsid w:val="00C9718C"/>
    <w:rsid w:val="00CA64FC"/>
    <w:rsid w:val="00CA7EBD"/>
    <w:rsid w:val="00CB327B"/>
    <w:rsid w:val="00CB7703"/>
    <w:rsid w:val="00CC7459"/>
    <w:rsid w:val="00CD02D0"/>
    <w:rsid w:val="00CD494C"/>
    <w:rsid w:val="00CD6CB9"/>
    <w:rsid w:val="00CD758F"/>
    <w:rsid w:val="00CE100D"/>
    <w:rsid w:val="00CE540D"/>
    <w:rsid w:val="00CF68D0"/>
    <w:rsid w:val="00D02829"/>
    <w:rsid w:val="00D02BD3"/>
    <w:rsid w:val="00D03C3C"/>
    <w:rsid w:val="00D10D71"/>
    <w:rsid w:val="00D166D9"/>
    <w:rsid w:val="00D16967"/>
    <w:rsid w:val="00D235ED"/>
    <w:rsid w:val="00D24CAE"/>
    <w:rsid w:val="00D270F8"/>
    <w:rsid w:val="00D27164"/>
    <w:rsid w:val="00D30293"/>
    <w:rsid w:val="00D3319F"/>
    <w:rsid w:val="00D36A0C"/>
    <w:rsid w:val="00D37B85"/>
    <w:rsid w:val="00D4345C"/>
    <w:rsid w:val="00D43772"/>
    <w:rsid w:val="00D452CE"/>
    <w:rsid w:val="00D47C87"/>
    <w:rsid w:val="00D52919"/>
    <w:rsid w:val="00D53579"/>
    <w:rsid w:val="00D54B78"/>
    <w:rsid w:val="00D570BC"/>
    <w:rsid w:val="00D57AC7"/>
    <w:rsid w:val="00D662DB"/>
    <w:rsid w:val="00D720AA"/>
    <w:rsid w:val="00D732C7"/>
    <w:rsid w:val="00D74541"/>
    <w:rsid w:val="00D7632F"/>
    <w:rsid w:val="00D95275"/>
    <w:rsid w:val="00D96977"/>
    <w:rsid w:val="00D9705B"/>
    <w:rsid w:val="00DA3D6D"/>
    <w:rsid w:val="00DA529D"/>
    <w:rsid w:val="00DB6572"/>
    <w:rsid w:val="00DC1818"/>
    <w:rsid w:val="00DC2D03"/>
    <w:rsid w:val="00DC71F8"/>
    <w:rsid w:val="00DD40C2"/>
    <w:rsid w:val="00DD49C5"/>
    <w:rsid w:val="00DD6AAB"/>
    <w:rsid w:val="00DD762B"/>
    <w:rsid w:val="00DF1FD6"/>
    <w:rsid w:val="00E029F8"/>
    <w:rsid w:val="00E035EA"/>
    <w:rsid w:val="00E044A8"/>
    <w:rsid w:val="00E0462F"/>
    <w:rsid w:val="00E06377"/>
    <w:rsid w:val="00E0774C"/>
    <w:rsid w:val="00E1335F"/>
    <w:rsid w:val="00E151F2"/>
    <w:rsid w:val="00E16F4A"/>
    <w:rsid w:val="00E20011"/>
    <w:rsid w:val="00E26E06"/>
    <w:rsid w:val="00E3084C"/>
    <w:rsid w:val="00E351F9"/>
    <w:rsid w:val="00E354E5"/>
    <w:rsid w:val="00E36129"/>
    <w:rsid w:val="00E43E06"/>
    <w:rsid w:val="00E52A3D"/>
    <w:rsid w:val="00E52D3D"/>
    <w:rsid w:val="00E53ED4"/>
    <w:rsid w:val="00E64E3C"/>
    <w:rsid w:val="00E651D3"/>
    <w:rsid w:val="00E65685"/>
    <w:rsid w:val="00E70E83"/>
    <w:rsid w:val="00E72659"/>
    <w:rsid w:val="00E74980"/>
    <w:rsid w:val="00E7688E"/>
    <w:rsid w:val="00E77234"/>
    <w:rsid w:val="00E832BA"/>
    <w:rsid w:val="00E84404"/>
    <w:rsid w:val="00E94888"/>
    <w:rsid w:val="00E95825"/>
    <w:rsid w:val="00EA1BC2"/>
    <w:rsid w:val="00EA2DAC"/>
    <w:rsid w:val="00EA553E"/>
    <w:rsid w:val="00EB5588"/>
    <w:rsid w:val="00EC0B94"/>
    <w:rsid w:val="00EC5904"/>
    <w:rsid w:val="00ED50E6"/>
    <w:rsid w:val="00EE33C0"/>
    <w:rsid w:val="00EE353F"/>
    <w:rsid w:val="00EF2BC4"/>
    <w:rsid w:val="00EF4C71"/>
    <w:rsid w:val="00EF5842"/>
    <w:rsid w:val="00EF6189"/>
    <w:rsid w:val="00F00876"/>
    <w:rsid w:val="00F01C34"/>
    <w:rsid w:val="00F029B6"/>
    <w:rsid w:val="00F13067"/>
    <w:rsid w:val="00F131D3"/>
    <w:rsid w:val="00F150BE"/>
    <w:rsid w:val="00F17057"/>
    <w:rsid w:val="00F245E7"/>
    <w:rsid w:val="00F25AC3"/>
    <w:rsid w:val="00F264A0"/>
    <w:rsid w:val="00F27C06"/>
    <w:rsid w:val="00F32FA4"/>
    <w:rsid w:val="00F349B8"/>
    <w:rsid w:val="00F34D2C"/>
    <w:rsid w:val="00F37E51"/>
    <w:rsid w:val="00F408D6"/>
    <w:rsid w:val="00F4249B"/>
    <w:rsid w:val="00F42CEA"/>
    <w:rsid w:val="00F44663"/>
    <w:rsid w:val="00F44DDB"/>
    <w:rsid w:val="00F46FD8"/>
    <w:rsid w:val="00F50424"/>
    <w:rsid w:val="00F52337"/>
    <w:rsid w:val="00F53A41"/>
    <w:rsid w:val="00F55FFA"/>
    <w:rsid w:val="00F62C32"/>
    <w:rsid w:val="00F63C9F"/>
    <w:rsid w:val="00F63D30"/>
    <w:rsid w:val="00F676BA"/>
    <w:rsid w:val="00F67F7E"/>
    <w:rsid w:val="00F87E05"/>
    <w:rsid w:val="00F916A8"/>
    <w:rsid w:val="00F93D75"/>
    <w:rsid w:val="00F960C1"/>
    <w:rsid w:val="00F96B2D"/>
    <w:rsid w:val="00FA616D"/>
    <w:rsid w:val="00FA7BA3"/>
    <w:rsid w:val="00FB0ED9"/>
    <w:rsid w:val="00FB2A97"/>
    <w:rsid w:val="00FB2DE1"/>
    <w:rsid w:val="00FB7397"/>
    <w:rsid w:val="00FC1853"/>
    <w:rsid w:val="00FC2D13"/>
    <w:rsid w:val="00FC52D7"/>
    <w:rsid w:val="00FD4510"/>
    <w:rsid w:val="00FD669E"/>
    <w:rsid w:val="00FE0D44"/>
    <w:rsid w:val="00FE57C6"/>
    <w:rsid w:val="00FF1CA9"/>
    <w:rsid w:val="00FF4557"/>
    <w:rsid w:val="00FF5578"/>
    <w:rsid w:val="00FF79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B652CE"/>
  <w15:chartTrackingRefBased/>
  <w15:docId w15:val="{F7CABAAC-4878-4DB9-95E9-E57409FD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bg-BG"/>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lang w:val="bg-BG"/>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table" w:styleId="TableGrid">
    <w:name w:val="Table Grid"/>
    <w:basedOn w:val="TableNormal"/>
    <w:uiPriority w:val="59"/>
    <w:rsid w:val="00C207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E1D37"/>
    <w:rPr>
      <w:rFonts w:ascii="Helvetica" w:hAnsi="Helvetica"/>
      <w:sz w:val="16"/>
      <w:lang w:eastAsia="en-US"/>
    </w:rPr>
  </w:style>
  <w:style w:type="paragraph" w:styleId="ListParagraph">
    <w:name w:val="List Paragraph"/>
    <w:basedOn w:val="Normal"/>
    <w:uiPriority w:val="34"/>
    <w:qFormat/>
    <w:rsid w:val="00505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6322</Words>
  <Characters>36040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Hreferralspccleanen</vt:lpstr>
    </vt:vector>
  </TitlesOfParts>
  <Company>EMEA</Company>
  <LinksUpToDate>false</LinksUpToDate>
  <CharactersWithSpaces>42278</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Hreferralspccleanen</dc:title>
  <dc:subject>General-EMA/53548/2010</dc:subject>
  <dc:creator>European Medicines Agency</dc:creator>
  <cp:keywords/>
  <cp:lastModifiedBy>Petja Pencheva</cp:lastModifiedBy>
  <cp:revision>4</cp:revision>
  <cp:lastPrinted>2020-07-17T08:53:00Z</cp:lastPrinted>
  <dcterms:created xsi:type="dcterms:W3CDTF">2022-04-07T11:59:00Z</dcterms:created>
  <dcterms:modified xsi:type="dcterms:W3CDTF">2022-04-07T13:53:00Z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53548</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General-EMA/53548/2010</vt:lpwstr>
  </property>
  <property fmtid="{D5CDD505-2E9C-101B-9397-08002B2CF9AE}" pid="30" name="DM_Version">
    <vt:lpwstr>CURRENT,1.3</vt:lpwstr>
  </property>
  <property fmtid="{D5CDD505-2E9C-101B-9397-08002B2CF9AE}" pid="31" name="DM_Name">
    <vt:lpwstr>Hreferralspccleanen</vt:lpwstr>
  </property>
  <property fmtid="{D5CDD505-2E9C-101B-9397-08002B2CF9AE}" pid="32" name="DM_Creation_Date">
    <vt:lpwstr>05/02/2016 17:09:34</vt:lpwstr>
  </property>
  <property fmtid="{D5CDD505-2E9C-101B-9397-08002B2CF9AE}" pid="33" name="DM_Modify_Date">
    <vt:lpwstr>05/02/2016 17:10:00</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EMA/64179/2016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templates/03 QRD H-Referral templates/08 H Referral template v 4.0 February16</vt:lpwstr>
  </property>
  <property fmtid="{D5CDD505-2E9C-101B-9397-08002B2CF9AE}" pid="40" name="DM_emea_doc_ref_id">
    <vt:lpwstr>EMA/64179/2016</vt:lpwstr>
  </property>
  <property fmtid="{D5CDD505-2E9C-101B-9397-08002B2CF9AE}" pid="41" name="DM_Modifer_Name">
    <vt:lpwstr>Akhtar Tia</vt:lpwstr>
  </property>
  <property fmtid="{D5CDD505-2E9C-101B-9397-08002B2CF9AE}" pid="42" name="DM_Modified_Date">
    <vt:lpwstr>05/02/2016 17:10:00</vt:lpwstr>
  </property>
</Properties>
</file>