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69B00" w14:textId="77777777" w:rsidR="006D116F" w:rsidRDefault="006D116F" w:rsidP="006D116F">
      <w:pPr>
        <w:widowControl w:val="0"/>
        <w:spacing w:line="240" w:lineRule="auto"/>
        <w:jc w:val="center"/>
        <w:rPr>
          <w:bCs/>
          <w:iCs/>
          <w:noProof/>
        </w:rPr>
      </w:pPr>
      <w:r>
        <w:rPr>
          <w:b/>
        </w:rPr>
        <w:t>КРАТКА ХАРАКТЕРИСТИКА НА ПРОДУКТА</w:t>
      </w:r>
    </w:p>
    <w:p w14:paraId="0E64F6B7" w14:textId="77777777" w:rsidR="006D116F" w:rsidRDefault="006D116F" w:rsidP="006D116F">
      <w:pPr>
        <w:widowControl w:val="0"/>
        <w:spacing w:line="240" w:lineRule="auto"/>
        <w:rPr>
          <w:bCs/>
          <w:iCs/>
          <w:noProof/>
        </w:rPr>
      </w:pPr>
    </w:p>
    <w:p w14:paraId="5259884C" w14:textId="77777777" w:rsidR="006D116F" w:rsidRPr="00D74541" w:rsidRDefault="006D116F" w:rsidP="006D116F">
      <w:pPr>
        <w:widowControl w:val="0"/>
        <w:spacing w:line="240" w:lineRule="auto"/>
        <w:rPr>
          <w:szCs w:val="22"/>
        </w:rPr>
      </w:pPr>
    </w:p>
    <w:p w14:paraId="4FCE9FD4" w14:textId="77777777" w:rsidR="006D116F" w:rsidRPr="00D74541" w:rsidRDefault="006D116F" w:rsidP="006D116F">
      <w:pPr>
        <w:widowControl w:val="0"/>
        <w:spacing w:line="240" w:lineRule="auto"/>
        <w:rPr>
          <w:szCs w:val="22"/>
        </w:rPr>
      </w:pPr>
    </w:p>
    <w:p w14:paraId="44D66826" w14:textId="77777777" w:rsidR="006D116F" w:rsidRPr="00B36189" w:rsidRDefault="006D116F" w:rsidP="006D116F">
      <w:pPr>
        <w:widowControl w:val="0"/>
        <w:spacing w:line="240" w:lineRule="auto"/>
        <w:rPr>
          <w:szCs w:val="22"/>
        </w:rPr>
      </w:pPr>
      <w:r>
        <w:t>1.</w:t>
      </w:r>
      <w:r>
        <w:tab/>
      </w:r>
      <w:r>
        <w:rPr>
          <w:b/>
          <w:szCs w:val="22"/>
        </w:rPr>
        <w:t>ИМЕ НА ЛЕКАРСТВЕНИЯ ПРОДУКТ</w:t>
      </w:r>
    </w:p>
    <w:p w14:paraId="7066555D" w14:textId="77777777" w:rsidR="006D116F" w:rsidRPr="00B36189" w:rsidRDefault="006D116F" w:rsidP="006D116F">
      <w:pPr>
        <w:spacing w:line="240" w:lineRule="auto"/>
        <w:rPr>
          <w:iCs/>
          <w:szCs w:val="22"/>
        </w:rPr>
      </w:pPr>
    </w:p>
    <w:p w14:paraId="20E5CFA4" w14:textId="5EA4759E" w:rsidR="006D116F" w:rsidRDefault="006D116F" w:rsidP="006D116F">
      <w:pPr>
        <w:widowControl w:val="0"/>
        <w:spacing w:line="240" w:lineRule="auto"/>
      </w:pPr>
      <w:r>
        <w:t>Ло</w:t>
      </w:r>
      <w:r w:rsidR="004F3EEB">
        <w:t>с</w:t>
      </w:r>
      <w:r>
        <w:t>морид 50 mg филмирани таблетки</w:t>
      </w:r>
    </w:p>
    <w:p w14:paraId="31C0BA0B" w14:textId="60FA01E9" w:rsidR="00BF413B" w:rsidRPr="00B0440C" w:rsidRDefault="00BF413B" w:rsidP="006D116F">
      <w:pPr>
        <w:widowControl w:val="0"/>
        <w:spacing w:line="240" w:lineRule="auto"/>
        <w:rPr>
          <w:noProof/>
          <w:szCs w:val="22"/>
          <w:lang w:val="en-US"/>
        </w:rPr>
      </w:pPr>
      <w:proofErr w:type="spellStart"/>
      <w:r>
        <w:rPr>
          <w:lang w:val="en-US"/>
        </w:rPr>
        <w:t>Losmorid</w:t>
      </w:r>
      <w:proofErr w:type="spellEnd"/>
      <w:r>
        <w:rPr>
          <w:lang w:val="en-US"/>
        </w:rPr>
        <w:t xml:space="preserve"> 50 mg film-coated tablets</w:t>
      </w:r>
    </w:p>
    <w:p w14:paraId="2B5B8DFD" w14:textId="6641107A" w:rsidR="006D116F" w:rsidRDefault="006D116F" w:rsidP="006D116F">
      <w:pPr>
        <w:widowControl w:val="0"/>
        <w:spacing w:line="240" w:lineRule="auto"/>
      </w:pPr>
      <w:r>
        <w:t>Ло</w:t>
      </w:r>
      <w:r w:rsidR="004F3EEB">
        <w:t>с</w:t>
      </w:r>
      <w:r>
        <w:t>морид 100 mg филмирани таблетки</w:t>
      </w:r>
    </w:p>
    <w:p w14:paraId="36528648" w14:textId="1CB12B8A" w:rsidR="00BF413B" w:rsidRPr="00186E20" w:rsidRDefault="00BF413B" w:rsidP="00BF413B">
      <w:pPr>
        <w:widowControl w:val="0"/>
        <w:spacing w:line="240" w:lineRule="auto"/>
        <w:rPr>
          <w:noProof/>
          <w:szCs w:val="22"/>
          <w:lang w:val="en-US"/>
        </w:rPr>
      </w:pPr>
      <w:proofErr w:type="spellStart"/>
      <w:r>
        <w:rPr>
          <w:lang w:val="en-US"/>
        </w:rPr>
        <w:t>Losmorid</w:t>
      </w:r>
      <w:proofErr w:type="spellEnd"/>
      <w:r>
        <w:rPr>
          <w:lang w:val="en-US"/>
        </w:rPr>
        <w:t xml:space="preserve"> 100 mg film-coated tablets</w:t>
      </w:r>
    </w:p>
    <w:p w14:paraId="7262DA5B" w14:textId="69220F9B" w:rsidR="006D116F" w:rsidRDefault="006D116F" w:rsidP="006D116F">
      <w:pPr>
        <w:widowControl w:val="0"/>
        <w:spacing w:line="240" w:lineRule="auto"/>
      </w:pPr>
      <w:r>
        <w:t>Ло</w:t>
      </w:r>
      <w:r w:rsidR="004F3EEB">
        <w:t>с</w:t>
      </w:r>
      <w:r>
        <w:t>морид 150 mg филмирани таблетки</w:t>
      </w:r>
    </w:p>
    <w:p w14:paraId="55D3FBBA" w14:textId="5B5E1F61" w:rsidR="00BF413B" w:rsidRPr="00B36189" w:rsidRDefault="00BF413B" w:rsidP="006D116F">
      <w:pPr>
        <w:widowControl w:val="0"/>
        <w:spacing w:line="240" w:lineRule="auto"/>
        <w:rPr>
          <w:noProof/>
          <w:szCs w:val="22"/>
        </w:rPr>
      </w:pPr>
      <w:r w:rsidRPr="00BF413B">
        <w:rPr>
          <w:noProof/>
          <w:szCs w:val="22"/>
        </w:rPr>
        <w:t xml:space="preserve">Losmorid </w:t>
      </w:r>
      <w:r>
        <w:rPr>
          <w:noProof/>
          <w:szCs w:val="22"/>
          <w:lang w:val="en-US"/>
        </w:rPr>
        <w:t>1</w:t>
      </w:r>
      <w:r w:rsidRPr="00BF413B">
        <w:rPr>
          <w:noProof/>
          <w:szCs w:val="22"/>
        </w:rPr>
        <w:t>50 mg film-coated tablets</w:t>
      </w:r>
    </w:p>
    <w:p w14:paraId="555FBEC8" w14:textId="5ABD8DBD" w:rsidR="006D116F" w:rsidRDefault="006D116F" w:rsidP="006D116F">
      <w:pPr>
        <w:widowControl w:val="0"/>
        <w:spacing w:line="240" w:lineRule="auto"/>
      </w:pPr>
      <w:r>
        <w:t>Ло</w:t>
      </w:r>
      <w:r w:rsidR="004F3EEB">
        <w:t>с</w:t>
      </w:r>
      <w:r>
        <w:t>морид 200 mg филмирани таблетки</w:t>
      </w:r>
    </w:p>
    <w:p w14:paraId="7D8A24FE" w14:textId="4BCB4C33" w:rsidR="00BF413B" w:rsidRPr="00BF413B" w:rsidRDefault="00BF413B" w:rsidP="00BF413B">
      <w:pPr>
        <w:widowControl w:val="0"/>
        <w:spacing w:line="240" w:lineRule="auto"/>
        <w:rPr>
          <w:lang w:val="en-US"/>
        </w:rPr>
      </w:pPr>
      <w:proofErr w:type="spellStart"/>
      <w:r>
        <w:rPr>
          <w:lang w:val="en-US"/>
        </w:rPr>
        <w:t>Losmorid</w:t>
      </w:r>
      <w:proofErr w:type="spellEnd"/>
      <w:r>
        <w:rPr>
          <w:lang w:val="en-US"/>
        </w:rPr>
        <w:t xml:space="preserve"> 20</w:t>
      </w:r>
      <w:r w:rsidRPr="00BF413B">
        <w:rPr>
          <w:lang w:val="en-US"/>
        </w:rPr>
        <w:t>0 mg film-coated tablets</w:t>
      </w:r>
    </w:p>
    <w:p w14:paraId="61B74554" w14:textId="77777777" w:rsidR="00BF413B" w:rsidRPr="00B36189" w:rsidRDefault="00BF413B" w:rsidP="006D116F">
      <w:pPr>
        <w:widowControl w:val="0"/>
        <w:spacing w:line="240" w:lineRule="auto"/>
        <w:rPr>
          <w:noProof/>
          <w:szCs w:val="22"/>
        </w:rPr>
      </w:pPr>
    </w:p>
    <w:p w14:paraId="5526E3E2" w14:textId="7B1F0963" w:rsidR="006D116F" w:rsidRDefault="006D116F" w:rsidP="006D116F">
      <w:pPr>
        <w:widowControl w:val="0"/>
        <w:spacing w:line="240" w:lineRule="auto"/>
        <w:rPr>
          <w:b/>
          <w:szCs w:val="22"/>
        </w:rPr>
      </w:pPr>
    </w:p>
    <w:p w14:paraId="70B814B8" w14:textId="77777777" w:rsidR="00083D1B" w:rsidRPr="00B36189" w:rsidRDefault="00083D1B" w:rsidP="006D116F">
      <w:pPr>
        <w:widowControl w:val="0"/>
        <w:spacing w:line="240" w:lineRule="auto"/>
        <w:rPr>
          <w:b/>
          <w:szCs w:val="22"/>
        </w:rPr>
      </w:pPr>
    </w:p>
    <w:p w14:paraId="50013E26" w14:textId="77777777" w:rsidR="006D116F" w:rsidRPr="00B36189" w:rsidRDefault="006D116F" w:rsidP="006D116F">
      <w:pPr>
        <w:widowControl w:val="0"/>
        <w:spacing w:line="240" w:lineRule="auto"/>
        <w:rPr>
          <w:szCs w:val="22"/>
        </w:rPr>
      </w:pPr>
      <w:r>
        <w:rPr>
          <w:b/>
          <w:szCs w:val="22"/>
        </w:rPr>
        <w:t>2.</w:t>
      </w:r>
      <w:r>
        <w:rPr>
          <w:b/>
          <w:szCs w:val="22"/>
        </w:rPr>
        <w:tab/>
        <w:t>КАЧЕСТВЕН И КОЛИЧЕСТВЕН СЪСТАВ</w:t>
      </w:r>
    </w:p>
    <w:p w14:paraId="5ABA2AF8" w14:textId="77777777" w:rsidR="006D116F" w:rsidRPr="00B36189" w:rsidRDefault="006D116F" w:rsidP="006D116F">
      <w:pPr>
        <w:spacing w:line="240" w:lineRule="auto"/>
        <w:rPr>
          <w:szCs w:val="22"/>
        </w:rPr>
      </w:pPr>
    </w:p>
    <w:p w14:paraId="330F4CE7" w14:textId="34F38319" w:rsidR="00B36189" w:rsidRPr="00B36189" w:rsidRDefault="00B36189" w:rsidP="006D116F">
      <w:pPr>
        <w:spacing w:line="240" w:lineRule="auto"/>
        <w:rPr>
          <w:szCs w:val="22"/>
          <w:u w:val="single"/>
        </w:rPr>
      </w:pPr>
      <w:r>
        <w:rPr>
          <w:szCs w:val="22"/>
          <w:u w:val="single"/>
        </w:rPr>
        <w:t>Ло</w:t>
      </w:r>
      <w:r w:rsidR="004F3EEB">
        <w:rPr>
          <w:szCs w:val="22"/>
          <w:u w:val="single"/>
        </w:rPr>
        <w:t>с</w:t>
      </w:r>
      <w:r>
        <w:rPr>
          <w:szCs w:val="22"/>
          <w:u w:val="single"/>
        </w:rPr>
        <w:t>морид 50 mg филмирани таблетки</w:t>
      </w:r>
    </w:p>
    <w:p w14:paraId="6D060777" w14:textId="77777777" w:rsidR="00B36189" w:rsidRPr="00B36189" w:rsidRDefault="00B36189" w:rsidP="00B36189">
      <w:pPr>
        <w:pStyle w:val="Default"/>
        <w:jc w:val="both"/>
        <w:rPr>
          <w:sz w:val="22"/>
          <w:szCs w:val="22"/>
        </w:rPr>
      </w:pPr>
      <w:r>
        <w:rPr>
          <w:sz w:val="22"/>
          <w:szCs w:val="22"/>
        </w:rPr>
        <w:t>Всяка филмирана таблетка съдържа 50 mg лакозамид.</w:t>
      </w:r>
    </w:p>
    <w:p w14:paraId="1B59605C" w14:textId="77777777" w:rsidR="00B36189" w:rsidRPr="00B36189" w:rsidRDefault="00B36189" w:rsidP="00B36189">
      <w:pPr>
        <w:pStyle w:val="Default"/>
        <w:jc w:val="both"/>
        <w:rPr>
          <w:sz w:val="22"/>
          <w:szCs w:val="22"/>
        </w:rPr>
      </w:pPr>
    </w:p>
    <w:p w14:paraId="4ED27446" w14:textId="7CF91E16" w:rsidR="00B36189" w:rsidRPr="00B36189" w:rsidRDefault="00B36189" w:rsidP="00B36189">
      <w:pPr>
        <w:pStyle w:val="Default"/>
        <w:jc w:val="both"/>
        <w:rPr>
          <w:sz w:val="22"/>
          <w:szCs w:val="22"/>
        </w:rPr>
      </w:pPr>
      <w:r>
        <w:rPr>
          <w:sz w:val="22"/>
          <w:szCs w:val="22"/>
          <w:u w:val="single"/>
        </w:rPr>
        <w:t>Ло</w:t>
      </w:r>
      <w:r w:rsidR="004F3EEB">
        <w:rPr>
          <w:sz w:val="22"/>
          <w:szCs w:val="22"/>
          <w:u w:val="single"/>
        </w:rPr>
        <w:t>с</w:t>
      </w:r>
      <w:r>
        <w:rPr>
          <w:sz w:val="22"/>
          <w:szCs w:val="22"/>
          <w:u w:val="single"/>
        </w:rPr>
        <w:t>морид 100 mg филмирани таблетки</w:t>
      </w:r>
    </w:p>
    <w:p w14:paraId="7AC38CE0" w14:textId="77777777" w:rsidR="00B36189" w:rsidRPr="00B36189" w:rsidRDefault="00B36189" w:rsidP="00B36189">
      <w:pPr>
        <w:pStyle w:val="Default"/>
        <w:jc w:val="both"/>
        <w:rPr>
          <w:sz w:val="22"/>
          <w:szCs w:val="22"/>
        </w:rPr>
      </w:pPr>
      <w:r>
        <w:rPr>
          <w:sz w:val="22"/>
          <w:szCs w:val="22"/>
        </w:rPr>
        <w:t>Всяка филмирана таблетка съдържа 100 mg лакозамид.</w:t>
      </w:r>
    </w:p>
    <w:p w14:paraId="3B005959" w14:textId="77777777" w:rsidR="00B36189" w:rsidRPr="00B36189" w:rsidRDefault="00B36189" w:rsidP="00B36189">
      <w:pPr>
        <w:pStyle w:val="Default"/>
        <w:jc w:val="both"/>
        <w:rPr>
          <w:sz w:val="22"/>
          <w:szCs w:val="22"/>
        </w:rPr>
      </w:pPr>
    </w:p>
    <w:p w14:paraId="17707B6F" w14:textId="7C04212F" w:rsidR="00B36189" w:rsidRPr="00B36189" w:rsidRDefault="00B36189" w:rsidP="00B36189">
      <w:pPr>
        <w:spacing w:line="240" w:lineRule="auto"/>
        <w:rPr>
          <w:szCs w:val="22"/>
          <w:u w:val="single"/>
        </w:rPr>
      </w:pPr>
      <w:r>
        <w:rPr>
          <w:szCs w:val="22"/>
          <w:u w:val="single"/>
        </w:rPr>
        <w:t>Ло</w:t>
      </w:r>
      <w:r w:rsidR="004F3EEB">
        <w:rPr>
          <w:szCs w:val="22"/>
          <w:u w:val="single"/>
        </w:rPr>
        <w:t>с</w:t>
      </w:r>
      <w:r>
        <w:rPr>
          <w:szCs w:val="22"/>
          <w:u w:val="single"/>
        </w:rPr>
        <w:t>морид 150 mg филмирани таблетки</w:t>
      </w:r>
    </w:p>
    <w:p w14:paraId="513C0B78" w14:textId="77777777" w:rsidR="00B36189" w:rsidRPr="00B36189" w:rsidRDefault="00B36189" w:rsidP="00B36189">
      <w:pPr>
        <w:pStyle w:val="Default"/>
        <w:jc w:val="both"/>
        <w:rPr>
          <w:sz w:val="22"/>
          <w:szCs w:val="22"/>
        </w:rPr>
      </w:pPr>
      <w:r>
        <w:rPr>
          <w:sz w:val="22"/>
          <w:szCs w:val="22"/>
        </w:rPr>
        <w:t xml:space="preserve">Всяка филмирана таблетка съдържа 150 mg лакозамид. </w:t>
      </w:r>
    </w:p>
    <w:p w14:paraId="0790D2A3" w14:textId="77777777" w:rsidR="00B36189" w:rsidRPr="00B36189" w:rsidRDefault="00B36189" w:rsidP="00B36189">
      <w:pPr>
        <w:spacing w:line="240" w:lineRule="auto"/>
        <w:rPr>
          <w:szCs w:val="22"/>
          <w:u w:val="single"/>
        </w:rPr>
      </w:pPr>
    </w:p>
    <w:p w14:paraId="59ED7B19" w14:textId="4579F731" w:rsidR="00B36189" w:rsidRPr="00B36189" w:rsidRDefault="00B36189" w:rsidP="00B36189">
      <w:pPr>
        <w:spacing w:line="240" w:lineRule="auto"/>
        <w:rPr>
          <w:szCs w:val="22"/>
          <w:u w:val="single"/>
        </w:rPr>
      </w:pPr>
      <w:r>
        <w:rPr>
          <w:szCs w:val="22"/>
          <w:u w:val="single"/>
        </w:rPr>
        <w:t>Ло</w:t>
      </w:r>
      <w:r w:rsidR="004F3EEB">
        <w:rPr>
          <w:szCs w:val="22"/>
          <w:u w:val="single"/>
        </w:rPr>
        <w:t>с</w:t>
      </w:r>
      <w:r>
        <w:rPr>
          <w:szCs w:val="22"/>
          <w:u w:val="single"/>
        </w:rPr>
        <w:t>морид 200 mg филмирани таблетки</w:t>
      </w:r>
    </w:p>
    <w:p w14:paraId="06985DA7" w14:textId="77777777" w:rsidR="00B36189" w:rsidRPr="00B36189" w:rsidRDefault="00B36189" w:rsidP="006D116F">
      <w:pPr>
        <w:spacing w:line="240" w:lineRule="auto"/>
        <w:rPr>
          <w:bCs/>
          <w:noProof/>
          <w:szCs w:val="22"/>
          <w:u w:val="single"/>
        </w:rPr>
      </w:pPr>
      <w:r>
        <w:t>Всяка филмирана таблетка съдържа 200 mg лакозамид.</w:t>
      </w:r>
    </w:p>
    <w:p w14:paraId="1E4D94E7" w14:textId="77777777" w:rsidR="00B36189" w:rsidRPr="00B36189" w:rsidRDefault="00B36189" w:rsidP="006D116F">
      <w:pPr>
        <w:spacing w:line="240" w:lineRule="auto"/>
        <w:rPr>
          <w:bCs/>
          <w:noProof/>
          <w:szCs w:val="22"/>
          <w:u w:val="single"/>
        </w:rPr>
      </w:pPr>
    </w:p>
    <w:p w14:paraId="21563577" w14:textId="77777777" w:rsidR="006D116F" w:rsidRPr="00B36189" w:rsidRDefault="006D116F" w:rsidP="006D116F">
      <w:pPr>
        <w:spacing w:line="240" w:lineRule="auto"/>
        <w:rPr>
          <w:szCs w:val="22"/>
        </w:rPr>
      </w:pPr>
      <w:r>
        <w:t>За пълния списък на помощните вещества вижте точка 6.1.</w:t>
      </w:r>
    </w:p>
    <w:p w14:paraId="034DDE04" w14:textId="77777777" w:rsidR="006D116F" w:rsidRDefault="006D116F" w:rsidP="006D116F">
      <w:pPr>
        <w:spacing w:line="240" w:lineRule="auto"/>
      </w:pPr>
    </w:p>
    <w:p w14:paraId="5D4AF361" w14:textId="77777777" w:rsidR="006D116F" w:rsidRDefault="006D116F" w:rsidP="006D116F">
      <w:pPr>
        <w:spacing w:line="240" w:lineRule="auto"/>
      </w:pPr>
    </w:p>
    <w:p w14:paraId="1F67A55D" w14:textId="77777777" w:rsidR="006D116F" w:rsidRDefault="006D116F" w:rsidP="006D116F">
      <w:pPr>
        <w:spacing w:line="240" w:lineRule="auto"/>
        <w:ind w:left="567" w:hanging="567"/>
        <w:rPr>
          <w:b/>
          <w:caps/>
        </w:rPr>
      </w:pPr>
      <w:r>
        <w:rPr>
          <w:b/>
        </w:rPr>
        <w:t>3.</w:t>
      </w:r>
      <w:r>
        <w:rPr>
          <w:b/>
        </w:rPr>
        <w:tab/>
        <w:t>ЛЕКАРСТВЕНА ФОРМА</w:t>
      </w:r>
    </w:p>
    <w:p w14:paraId="663F9216" w14:textId="77777777" w:rsidR="006D116F" w:rsidRDefault="006D116F" w:rsidP="006D116F">
      <w:pPr>
        <w:spacing w:line="240" w:lineRule="auto"/>
      </w:pPr>
    </w:p>
    <w:p w14:paraId="2FD443C3" w14:textId="77777777" w:rsidR="006D116F" w:rsidRPr="00B36189" w:rsidRDefault="00B36189" w:rsidP="006D116F">
      <w:pPr>
        <w:spacing w:line="240" w:lineRule="auto"/>
        <w:rPr>
          <w:szCs w:val="22"/>
        </w:rPr>
      </w:pPr>
      <w:r>
        <w:t>Филмирана таблетка.</w:t>
      </w:r>
    </w:p>
    <w:p w14:paraId="7D386DA6" w14:textId="77777777" w:rsidR="006D116F" w:rsidRDefault="006D116F" w:rsidP="006D116F">
      <w:pPr>
        <w:spacing w:line="240" w:lineRule="auto"/>
      </w:pPr>
    </w:p>
    <w:p w14:paraId="3BEB9197" w14:textId="730CFB06" w:rsidR="00083D1B" w:rsidRPr="00A91265" w:rsidRDefault="00083D1B" w:rsidP="00083D1B">
      <w:pPr>
        <w:spacing w:line="240" w:lineRule="auto"/>
        <w:rPr>
          <w:szCs w:val="22"/>
          <w:u w:val="single"/>
        </w:rPr>
      </w:pPr>
      <w:r>
        <w:rPr>
          <w:szCs w:val="22"/>
          <w:u w:val="single"/>
        </w:rPr>
        <w:t>Ло</w:t>
      </w:r>
      <w:r w:rsidR="004F3EEB">
        <w:rPr>
          <w:szCs w:val="22"/>
          <w:u w:val="single"/>
        </w:rPr>
        <w:t>с</w:t>
      </w:r>
      <w:r>
        <w:rPr>
          <w:szCs w:val="22"/>
          <w:u w:val="single"/>
        </w:rPr>
        <w:t>морид 50 mg филмирани таблетки:</w:t>
      </w:r>
    </w:p>
    <w:p w14:paraId="256A06E4" w14:textId="67CDBCF2" w:rsidR="00083D1B" w:rsidRDefault="000E2DA8" w:rsidP="00083D1B">
      <w:pPr>
        <w:pStyle w:val="Default"/>
        <w:spacing w:after="42"/>
        <w:jc w:val="both"/>
        <w:rPr>
          <w:sz w:val="22"/>
          <w:szCs w:val="22"/>
        </w:rPr>
      </w:pPr>
      <w:r>
        <w:rPr>
          <w:sz w:val="22"/>
          <w:szCs w:val="22"/>
        </w:rPr>
        <w:t>Р</w:t>
      </w:r>
      <w:r w:rsidR="00083D1B">
        <w:rPr>
          <w:sz w:val="22"/>
          <w:szCs w:val="22"/>
        </w:rPr>
        <w:t>озови, филмирани, продълговати, двойно изпъкнали таблетки, с релефно обозначение „50“ от едната страна и гладки от другата, с дължина 10,3 mm и широчина</w:t>
      </w:r>
      <w:r w:rsidRPr="000E2DA8">
        <w:rPr>
          <w:sz w:val="22"/>
          <w:szCs w:val="22"/>
        </w:rPr>
        <w:t xml:space="preserve"> </w:t>
      </w:r>
      <w:r>
        <w:rPr>
          <w:sz w:val="22"/>
          <w:szCs w:val="22"/>
        </w:rPr>
        <w:t>приблизително</w:t>
      </w:r>
      <w:r w:rsidR="00083D1B">
        <w:rPr>
          <w:sz w:val="22"/>
          <w:szCs w:val="22"/>
        </w:rPr>
        <w:t xml:space="preserve"> 4,8 mm.</w:t>
      </w:r>
    </w:p>
    <w:p w14:paraId="6F971871" w14:textId="77777777" w:rsidR="00083D1B" w:rsidRPr="00C54B86" w:rsidRDefault="00083D1B" w:rsidP="00083D1B">
      <w:pPr>
        <w:pStyle w:val="Default"/>
        <w:spacing w:after="42"/>
        <w:jc w:val="both"/>
        <w:rPr>
          <w:sz w:val="22"/>
          <w:szCs w:val="22"/>
        </w:rPr>
      </w:pPr>
    </w:p>
    <w:p w14:paraId="049413BD" w14:textId="5407086B" w:rsidR="00083D1B" w:rsidRPr="00B36189" w:rsidRDefault="00083D1B" w:rsidP="00083D1B">
      <w:pPr>
        <w:spacing w:line="240" w:lineRule="auto"/>
        <w:rPr>
          <w:szCs w:val="22"/>
          <w:u w:val="single"/>
        </w:rPr>
      </w:pPr>
      <w:r>
        <w:rPr>
          <w:szCs w:val="22"/>
          <w:u w:val="single"/>
        </w:rPr>
        <w:t>Ло</w:t>
      </w:r>
      <w:r w:rsidR="004F3EEB">
        <w:rPr>
          <w:szCs w:val="22"/>
          <w:u w:val="single"/>
        </w:rPr>
        <w:t>с</w:t>
      </w:r>
      <w:r>
        <w:rPr>
          <w:szCs w:val="22"/>
          <w:u w:val="single"/>
        </w:rPr>
        <w:t>морид 100 mg филмирани таблетки:</w:t>
      </w:r>
    </w:p>
    <w:p w14:paraId="1291890F" w14:textId="73A0295D" w:rsidR="00083D1B" w:rsidRDefault="000E2DA8" w:rsidP="00083D1B">
      <w:pPr>
        <w:pStyle w:val="Default"/>
        <w:spacing w:after="42"/>
        <w:jc w:val="both"/>
        <w:rPr>
          <w:sz w:val="22"/>
          <w:szCs w:val="22"/>
        </w:rPr>
      </w:pPr>
      <w:r>
        <w:rPr>
          <w:sz w:val="22"/>
          <w:szCs w:val="22"/>
        </w:rPr>
        <w:t>Ж</w:t>
      </w:r>
      <w:r w:rsidR="00083D1B">
        <w:rPr>
          <w:sz w:val="22"/>
          <w:szCs w:val="22"/>
        </w:rPr>
        <w:t>ълти, филмирани, продълговати, двойно изпъкнали таблетки, с релефно обозначение „100“ от едната страна и гладки от другата, с дължина 13,1 mm и широчина</w:t>
      </w:r>
      <w:r w:rsidRPr="000E2DA8">
        <w:rPr>
          <w:sz w:val="22"/>
          <w:szCs w:val="22"/>
        </w:rPr>
        <w:t xml:space="preserve"> </w:t>
      </w:r>
      <w:r>
        <w:rPr>
          <w:sz w:val="22"/>
          <w:szCs w:val="22"/>
        </w:rPr>
        <w:t>приблизително</w:t>
      </w:r>
      <w:r w:rsidDel="000E2DA8">
        <w:rPr>
          <w:sz w:val="22"/>
          <w:szCs w:val="22"/>
        </w:rPr>
        <w:t xml:space="preserve"> </w:t>
      </w:r>
      <w:r w:rsidR="00083D1B">
        <w:rPr>
          <w:sz w:val="22"/>
          <w:szCs w:val="22"/>
        </w:rPr>
        <w:t xml:space="preserve">6,1 mm. </w:t>
      </w:r>
    </w:p>
    <w:p w14:paraId="7443CE67" w14:textId="77777777" w:rsidR="00083D1B" w:rsidRPr="00C54B86" w:rsidRDefault="00083D1B" w:rsidP="00083D1B">
      <w:pPr>
        <w:pStyle w:val="Default"/>
        <w:spacing w:after="42"/>
        <w:jc w:val="both"/>
        <w:rPr>
          <w:sz w:val="22"/>
          <w:szCs w:val="22"/>
        </w:rPr>
      </w:pPr>
    </w:p>
    <w:p w14:paraId="7338FD81" w14:textId="2CDAD8CC" w:rsidR="00083D1B" w:rsidRPr="00B36189" w:rsidRDefault="00083D1B" w:rsidP="00083D1B">
      <w:pPr>
        <w:spacing w:line="240" w:lineRule="auto"/>
        <w:rPr>
          <w:szCs w:val="22"/>
          <w:u w:val="single"/>
        </w:rPr>
      </w:pPr>
      <w:r>
        <w:rPr>
          <w:szCs w:val="22"/>
          <w:u w:val="single"/>
        </w:rPr>
        <w:t>Ло</w:t>
      </w:r>
      <w:r w:rsidR="004F3EEB">
        <w:rPr>
          <w:szCs w:val="22"/>
          <w:u w:val="single"/>
        </w:rPr>
        <w:t>с</w:t>
      </w:r>
      <w:r>
        <w:rPr>
          <w:szCs w:val="22"/>
          <w:u w:val="single"/>
        </w:rPr>
        <w:t>морид 150 mg филмирани таблетки:</w:t>
      </w:r>
    </w:p>
    <w:p w14:paraId="685229F8" w14:textId="625FB9DD" w:rsidR="00083D1B" w:rsidRDefault="00EC03E4" w:rsidP="00083D1B">
      <w:pPr>
        <w:pStyle w:val="Default"/>
        <w:spacing w:after="42"/>
        <w:jc w:val="both"/>
        <w:rPr>
          <w:sz w:val="22"/>
          <w:szCs w:val="22"/>
        </w:rPr>
      </w:pPr>
      <w:r>
        <w:rPr>
          <w:sz w:val="22"/>
          <w:szCs w:val="22"/>
        </w:rPr>
        <w:lastRenderedPageBreak/>
        <w:t>Б</w:t>
      </w:r>
      <w:r w:rsidR="00083D1B">
        <w:rPr>
          <w:sz w:val="22"/>
          <w:szCs w:val="22"/>
        </w:rPr>
        <w:t>ежови, филмирани, продълговати, двойно изпъкнали таблетки, с релефно обозначение „150“ от едната страна и гладки от другата, с дължина 15,2 mm и широчина</w:t>
      </w:r>
      <w:r w:rsidRPr="00EC03E4">
        <w:rPr>
          <w:sz w:val="22"/>
          <w:szCs w:val="22"/>
        </w:rPr>
        <w:t xml:space="preserve"> </w:t>
      </w:r>
      <w:r>
        <w:rPr>
          <w:sz w:val="22"/>
          <w:szCs w:val="22"/>
        </w:rPr>
        <w:t>приблизително</w:t>
      </w:r>
      <w:r w:rsidR="00083D1B">
        <w:rPr>
          <w:sz w:val="22"/>
          <w:szCs w:val="22"/>
        </w:rPr>
        <w:t xml:space="preserve"> 7,1 mm.</w:t>
      </w:r>
    </w:p>
    <w:p w14:paraId="3321064E" w14:textId="77777777" w:rsidR="00083D1B" w:rsidRPr="00C54B86" w:rsidRDefault="00083D1B" w:rsidP="00083D1B">
      <w:pPr>
        <w:pStyle w:val="Default"/>
        <w:spacing w:after="42"/>
        <w:jc w:val="both"/>
        <w:rPr>
          <w:sz w:val="22"/>
          <w:szCs w:val="22"/>
        </w:rPr>
      </w:pPr>
    </w:p>
    <w:p w14:paraId="255AFA6B" w14:textId="62BBE179" w:rsidR="00083D1B" w:rsidRPr="00B36189" w:rsidRDefault="00083D1B" w:rsidP="00083D1B">
      <w:pPr>
        <w:spacing w:line="240" w:lineRule="auto"/>
        <w:rPr>
          <w:szCs w:val="22"/>
          <w:u w:val="single"/>
        </w:rPr>
      </w:pPr>
      <w:r>
        <w:rPr>
          <w:szCs w:val="22"/>
          <w:u w:val="single"/>
        </w:rPr>
        <w:t>Ло</w:t>
      </w:r>
      <w:r w:rsidR="004F3EEB">
        <w:rPr>
          <w:szCs w:val="22"/>
          <w:u w:val="single"/>
        </w:rPr>
        <w:t>с</w:t>
      </w:r>
      <w:r>
        <w:rPr>
          <w:szCs w:val="22"/>
          <w:u w:val="single"/>
        </w:rPr>
        <w:t>морид 200 mg филмирани таблетки:</w:t>
      </w:r>
    </w:p>
    <w:p w14:paraId="14FBB7CE" w14:textId="0D6A2E7A" w:rsidR="00083D1B" w:rsidRPr="00EC03E4" w:rsidRDefault="00EC03E4" w:rsidP="00083D1B">
      <w:pPr>
        <w:pStyle w:val="Default"/>
        <w:spacing w:after="42"/>
        <w:jc w:val="both"/>
        <w:rPr>
          <w:sz w:val="22"/>
          <w:szCs w:val="22"/>
        </w:rPr>
      </w:pPr>
      <w:r w:rsidRPr="003D38DA">
        <w:rPr>
          <w:sz w:val="22"/>
          <w:szCs w:val="22"/>
        </w:rPr>
        <w:t>С</w:t>
      </w:r>
      <w:r w:rsidR="00083D1B" w:rsidRPr="003D38DA">
        <w:rPr>
          <w:sz w:val="22"/>
          <w:szCs w:val="22"/>
        </w:rPr>
        <w:t xml:space="preserve">ини, филмирани, продълговати, двойно изпъкнали таблетки, с релефно обозначение „200“ от едната страна и гладки от другата, с дължина 16,6 mm и широчина </w:t>
      </w:r>
      <w:r w:rsidRPr="000C531F">
        <w:rPr>
          <w:sz w:val="22"/>
          <w:szCs w:val="22"/>
        </w:rPr>
        <w:t>приблизително</w:t>
      </w:r>
      <w:r w:rsidRPr="00EC03E4">
        <w:rPr>
          <w:sz w:val="22"/>
          <w:szCs w:val="22"/>
        </w:rPr>
        <w:t xml:space="preserve"> </w:t>
      </w:r>
      <w:r w:rsidR="00083D1B" w:rsidRPr="003D38DA">
        <w:rPr>
          <w:sz w:val="22"/>
          <w:szCs w:val="22"/>
        </w:rPr>
        <w:t>7,7 mm.</w:t>
      </w:r>
    </w:p>
    <w:p w14:paraId="590A99BF" w14:textId="77777777" w:rsidR="00B36189" w:rsidRDefault="00B36189" w:rsidP="00083D1B">
      <w:pPr>
        <w:spacing w:line="240" w:lineRule="auto"/>
      </w:pPr>
    </w:p>
    <w:p w14:paraId="06B90A1C" w14:textId="77777777" w:rsidR="006D116F" w:rsidRDefault="006D116F" w:rsidP="006D116F">
      <w:pPr>
        <w:spacing w:line="240" w:lineRule="auto"/>
      </w:pPr>
    </w:p>
    <w:p w14:paraId="03C57FDC" w14:textId="77777777" w:rsidR="006D116F" w:rsidRDefault="006D116F" w:rsidP="006D116F">
      <w:pPr>
        <w:spacing w:line="240" w:lineRule="auto"/>
        <w:ind w:left="567" w:hanging="567"/>
        <w:rPr>
          <w:caps/>
        </w:rPr>
      </w:pPr>
      <w:r>
        <w:rPr>
          <w:b/>
          <w:caps/>
        </w:rPr>
        <w:t>4.</w:t>
      </w:r>
      <w:r>
        <w:rPr>
          <w:b/>
          <w:caps/>
        </w:rPr>
        <w:tab/>
        <w:t>Клинични данни</w:t>
      </w:r>
    </w:p>
    <w:p w14:paraId="4AC6CA6D" w14:textId="77777777" w:rsidR="006D116F" w:rsidRDefault="006D116F" w:rsidP="006D116F">
      <w:pPr>
        <w:spacing w:line="240" w:lineRule="auto"/>
      </w:pPr>
    </w:p>
    <w:p w14:paraId="47509795" w14:textId="77777777" w:rsidR="006D116F" w:rsidRDefault="006D116F" w:rsidP="006D116F">
      <w:pPr>
        <w:spacing w:line="240" w:lineRule="auto"/>
        <w:ind w:left="567" w:hanging="567"/>
      </w:pPr>
      <w:r>
        <w:rPr>
          <w:b/>
        </w:rPr>
        <w:t>4.1</w:t>
      </w:r>
      <w:r>
        <w:rPr>
          <w:b/>
        </w:rPr>
        <w:tab/>
        <w:t>Терапевтични показания</w:t>
      </w:r>
    </w:p>
    <w:p w14:paraId="79D3FCC0" w14:textId="77777777" w:rsidR="006D116F" w:rsidRDefault="006D116F" w:rsidP="006D116F">
      <w:pPr>
        <w:spacing w:line="240" w:lineRule="auto"/>
      </w:pPr>
    </w:p>
    <w:p w14:paraId="549458D8" w14:textId="4348D7A8" w:rsidR="006D116F" w:rsidRDefault="006D116F" w:rsidP="006D116F">
      <w:pPr>
        <w:spacing w:line="240" w:lineRule="auto"/>
      </w:pPr>
      <w:r>
        <w:t>Ло</w:t>
      </w:r>
      <w:r w:rsidR="004F3EEB">
        <w:t>с</w:t>
      </w:r>
      <w:r>
        <w:t>морид е показан като монотерапия при лечение на парциални пристъпи със или без вторична генерализация при възрастни, юноши и деца на възраст над 4 годи</w:t>
      </w:r>
      <w:r w:rsidR="00161E08">
        <w:t>шна възраст</w:t>
      </w:r>
      <w:r>
        <w:t xml:space="preserve"> с епилепсия.</w:t>
      </w:r>
    </w:p>
    <w:p w14:paraId="3D53A3F2" w14:textId="5C861F65" w:rsidR="00C86B85" w:rsidRDefault="00C86B85" w:rsidP="00C86B85">
      <w:pPr>
        <w:spacing w:line="240" w:lineRule="auto"/>
      </w:pPr>
      <w:r>
        <w:t>Лосморид е показан за допълваща терапия</w:t>
      </w:r>
    </w:p>
    <w:p w14:paraId="47239AE0" w14:textId="143069D4" w:rsidR="00C86B85" w:rsidRDefault="00C86B85" w:rsidP="006150EE">
      <w:pPr>
        <w:pStyle w:val="ListParagraph"/>
        <w:numPr>
          <w:ilvl w:val="0"/>
          <w:numId w:val="14"/>
        </w:numPr>
        <w:spacing w:line="240" w:lineRule="auto"/>
        <w:ind w:left="0"/>
      </w:pPr>
      <w:r>
        <w:t>при лечението на парциални пристъпи със или без вторична генерализация при възрастни, юноши и деца, навършили 4-годишна възраст, с епилепсия;</w:t>
      </w:r>
    </w:p>
    <w:p w14:paraId="3BF9569F" w14:textId="0D571FF1" w:rsidR="00C86B85" w:rsidRDefault="00C86B85" w:rsidP="006150EE">
      <w:pPr>
        <w:pStyle w:val="ListParagraph"/>
        <w:numPr>
          <w:ilvl w:val="0"/>
          <w:numId w:val="14"/>
        </w:numPr>
        <w:spacing w:line="240" w:lineRule="auto"/>
        <w:ind w:left="0"/>
      </w:pPr>
      <w:r>
        <w:t>при лечението на първично генерализирани тонично-клонични пристъпи при възрастни, юноши и деца, навършили 4-годишна възраст, с генерализирана идиопатична епилепсия.</w:t>
      </w:r>
    </w:p>
    <w:p w14:paraId="4926F743" w14:textId="77777777" w:rsidR="00AD6E62" w:rsidRDefault="00AD6E62" w:rsidP="006D116F">
      <w:pPr>
        <w:spacing w:line="240" w:lineRule="auto"/>
      </w:pPr>
    </w:p>
    <w:p w14:paraId="76E8B1E8" w14:textId="77777777" w:rsidR="006D116F" w:rsidRDefault="006D116F" w:rsidP="006D116F">
      <w:pPr>
        <w:spacing w:line="240" w:lineRule="auto"/>
        <w:ind w:left="567" w:hanging="567"/>
        <w:rPr>
          <w:b/>
        </w:rPr>
      </w:pPr>
      <w:r>
        <w:rPr>
          <w:b/>
        </w:rPr>
        <w:t>4.2</w:t>
      </w:r>
      <w:r>
        <w:rPr>
          <w:b/>
        </w:rPr>
        <w:tab/>
        <w:t>Дозировка и начин на приложение</w:t>
      </w:r>
    </w:p>
    <w:p w14:paraId="57FE190D" w14:textId="77777777" w:rsidR="006D116F" w:rsidRDefault="006D116F" w:rsidP="006D116F">
      <w:pPr>
        <w:spacing w:line="240" w:lineRule="auto"/>
        <w:ind w:left="567" w:hanging="567"/>
      </w:pPr>
    </w:p>
    <w:p w14:paraId="4A13E6A8" w14:textId="77777777" w:rsidR="006D116F" w:rsidRDefault="006D116F" w:rsidP="006D116F">
      <w:pPr>
        <w:tabs>
          <w:tab w:val="clear" w:pos="567"/>
        </w:tabs>
        <w:spacing w:line="240" w:lineRule="auto"/>
        <w:rPr>
          <w:szCs w:val="22"/>
          <w:u w:val="single"/>
        </w:rPr>
      </w:pPr>
      <w:r>
        <w:rPr>
          <w:szCs w:val="22"/>
          <w:u w:val="single"/>
        </w:rPr>
        <w:t>Дозировка</w:t>
      </w:r>
    </w:p>
    <w:p w14:paraId="78849A30" w14:textId="77777777" w:rsidR="006D116F" w:rsidRDefault="006D116F" w:rsidP="006D116F">
      <w:pPr>
        <w:tabs>
          <w:tab w:val="clear" w:pos="567"/>
        </w:tabs>
        <w:spacing w:line="240" w:lineRule="auto"/>
        <w:rPr>
          <w:szCs w:val="22"/>
          <w:u w:val="single"/>
        </w:rPr>
      </w:pPr>
    </w:p>
    <w:p w14:paraId="121C1781" w14:textId="77777777" w:rsidR="006D116F" w:rsidRPr="00D80AC2" w:rsidRDefault="006D116F" w:rsidP="006D116F">
      <w:pPr>
        <w:tabs>
          <w:tab w:val="clear" w:pos="567"/>
        </w:tabs>
        <w:spacing w:line="240" w:lineRule="auto"/>
        <w:rPr>
          <w:szCs w:val="22"/>
        </w:rPr>
      </w:pPr>
      <w:r>
        <w:t>Лакозамид трябва да се приема два пъти дневно (обикновено веднъж сутрин и веднъж вечер).</w:t>
      </w:r>
    </w:p>
    <w:p w14:paraId="5ABE7146" w14:textId="77777777" w:rsidR="006D116F" w:rsidRPr="00D80AC2" w:rsidRDefault="006D116F" w:rsidP="006D116F">
      <w:pPr>
        <w:tabs>
          <w:tab w:val="clear" w:pos="567"/>
        </w:tabs>
        <w:spacing w:line="240" w:lineRule="auto"/>
        <w:rPr>
          <w:szCs w:val="22"/>
        </w:rPr>
      </w:pPr>
      <w:r>
        <w:t>Лакозамид може да се приема със или без храна.</w:t>
      </w:r>
    </w:p>
    <w:p w14:paraId="570C7A39" w14:textId="77777777" w:rsidR="006D116F" w:rsidRDefault="006D116F" w:rsidP="006D116F">
      <w:pPr>
        <w:tabs>
          <w:tab w:val="clear" w:pos="567"/>
        </w:tabs>
        <w:spacing w:line="240" w:lineRule="auto"/>
        <w:rPr>
          <w:szCs w:val="22"/>
        </w:rPr>
      </w:pPr>
      <w:r>
        <w:t>Ако се пропусне доза, пациентът трябва да бъде инструктиран да приеме пропуснатата доза незабавно и след това да приеме следващата доза лакозамид в обичайното време по график. Ако пациентът забележи, че е пропуснал дозата в рамките на 6 часа преди следващата, той/тя трябва да бъде инструктиран/а да изчака приема на следващата доза лакозамид в обичайното време по график. Пациентите не трябва да приемат двойна доза.</w:t>
      </w:r>
    </w:p>
    <w:p w14:paraId="14B9B6D9" w14:textId="77777777" w:rsidR="006D116F" w:rsidRDefault="006D116F" w:rsidP="006D116F">
      <w:pPr>
        <w:tabs>
          <w:tab w:val="clear" w:pos="567"/>
        </w:tabs>
        <w:spacing w:line="240" w:lineRule="auto"/>
        <w:rPr>
          <w:szCs w:val="22"/>
        </w:rPr>
      </w:pPr>
    </w:p>
    <w:p w14:paraId="33A86A04" w14:textId="77777777" w:rsidR="006D116F" w:rsidRPr="00D80AC2" w:rsidRDefault="006D116F" w:rsidP="006D116F">
      <w:pPr>
        <w:tabs>
          <w:tab w:val="clear" w:pos="567"/>
        </w:tabs>
        <w:spacing w:line="240" w:lineRule="auto"/>
        <w:rPr>
          <w:i/>
          <w:szCs w:val="22"/>
          <w:u w:val="single"/>
        </w:rPr>
      </w:pPr>
      <w:r>
        <w:rPr>
          <w:i/>
          <w:szCs w:val="22"/>
          <w:u w:val="single"/>
        </w:rPr>
        <w:t>Юноши и деца с тегло 50 kg или повече и възрастни</w:t>
      </w:r>
    </w:p>
    <w:p w14:paraId="5EF7E45B" w14:textId="77777777" w:rsidR="006D116F" w:rsidRDefault="006D116F" w:rsidP="006D116F">
      <w:pPr>
        <w:tabs>
          <w:tab w:val="clear" w:pos="567"/>
        </w:tabs>
        <w:spacing w:line="240" w:lineRule="auto"/>
        <w:rPr>
          <w:szCs w:val="22"/>
        </w:rPr>
      </w:pPr>
      <w:r>
        <w:t>Следващата таблица обобщава препоръчителната дозировка при юноши и деца с тегло 50 kg или повече и при възрастни. Повече подробности са предоставени в таблицата по-долу.</w:t>
      </w:r>
    </w:p>
    <w:p w14:paraId="67006D25" w14:textId="77777777" w:rsidR="00104FEC" w:rsidRPr="00D80AC2" w:rsidRDefault="00104FEC" w:rsidP="006D116F">
      <w:pPr>
        <w:tabs>
          <w:tab w:val="clear" w:pos="567"/>
        </w:tabs>
        <w:spacing w:line="240" w:lineRule="auto"/>
        <w:rPr>
          <w:szCs w:val="22"/>
        </w:rPr>
      </w:pPr>
    </w:p>
    <w:p w14:paraId="16680879" w14:textId="77777777" w:rsidR="006D116F" w:rsidRDefault="006D116F" w:rsidP="006D116F">
      <w:pPr>
        <w:tabs>
          <w:tab w:val="clear" w:pos="567"/>
        </w:tabs>
        <w:spacing w:line="240" w:lineRule="auto"/>
        <w:rPr>
          <w:bCs/>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6D116F" w:rsidRPr="00182522" w14:paraId="3903726F" w14:textId="77777777" w:rsidTr="00104FEC">
        <w:tc>
          <w:tcPr>
            <w:tcW w:w="3095" w:type="dxa"/>
            <w:tcBorders>
              <w:top w:val="nil"/>
              <w:left w:val="nil"/>
            </w:tcBorders>
            <w:shd w:val="clear" w:color="auto" w:fill="auto"/>
          </w:tcPr>
          <w:p w14:paraId="3019D03E" w14:textId="77777777" w:rsidR="006D116F" w:rsidRPr="00182522" w:rsidRDefault="006D116F" w:rsidP="00104FEC">
            <w:pPr>
              <w:tabs>
                <w:tab w:val="clear" w:pos="567"/>
              </w:tabs>
              <w:spacing w:line="240" w:lineRule="auto"/>
              <w:rPr>
                <w:bCs/>
                <w:iCs/>
                <w:szCs w:val="22"/>
              </w:rPr>
            </w:pPr>
          </w:p>
        </w:tc>
        <w:tc>
          <w:tcPr>
            <w:tcW w:w="3096" w:type="dxa"/>
            <w:shd w:val="clear" w:color="auto" w:fill="auto"/>
          </w:tcPr>
          <w:p w14:paraId="69569C88" w14:textId="77777777" w:rsidR="006D116F" w:rsidRPr="00182522" w:rsidRDefault="006D116F" w:rsidP="00104FEC">
            <w:pPr>
              <w:tabs>
                <w:tab w:val="clear" w:pos="567"/>
              </w:tabs>
              <w:spacing w:line="240" w:lineRule="auto"/>
              <w:rPr>
                <w:bCs/>
                <w:iCs/>
                <w:szCs w:val="22"/>
              </w:rPr>
            </w:pPr>
            <w:r>
              <w:t>Монотерапия</w:t>
            </w:r>
          </w:p>
        </w:tc>
        <w:tc>
          <w:tcPr>
            <w:tcW w:w="309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080"/>
            </w:tblGrid>
            <w:tr w:rsidR="006D116F" w:rsidRPr="002F7ACF" w14:paraId="74FC49A9" w14:textId="77777777" w:rsidTr="00104FEC">
              <w:trPr>
                <w:trHeight w:val="100"/>
              </w:trPr>
              <w:tc>
                <w:tcPr>
                  <w:tcW w:w="0" w:type="auto"/>
                </w:tcPr>
                <w:p w14:paraId="3AC00E95" w14:textId="77777777" w:rsidR="006D116F" w:rsidRPr="002F7ACF" w:rsidRDefault="006D116F" w:rsidP="00104FEC">
                  <w:pPr>
                    <w:tabs>
                      <w:tab w:val="clear" w:pos="567"/>
                    </w:tabs>
                    <w:autoSpaceDE w:val="0"/>
                    <w:autoSpaceDN w:val="0"/>
                    <w:adjustRightInd w:val="0"/>
                    <w:spacing w:line="240" w:lineRule="auto"/>
                    <w:rPr>
                      <w:color w:val="000000"/>
                      <w:szCs w:val="22"/>
                    </w:rPr>
                  </w:pPr>
                  <w:r>
                    <w:rPr>
                      <w:color w:val="000000"/>
                      <w:szCs w:val="22"/>
                    </w:rPr>
                    <w:t xml:space="preserve">Допълваща терапия </w:t>
                  </w:r>
                </w:p>
              </w:tc>
            </w:tr>
          </w:tbl>
          <w:p w14:paraId="0DA2C8F1" w14:textId="77777777" w:rsidR="006D116F" w:rsidRPr="00182522" w:rsidRDefault="006D116F" w:rsidP="00104FEC">
            <w:pPr>
              <w:tabs>
                <w:tab w:val="clear" w:pos="567"/>
              </w:tabs>
              <w:spacing w:line="240" w:lineRule="auto"/>
              <w:rPr>
                <w:bCs/>
                <w:i/>
                <w:iCs/>
                <w:szCs w:val="22"/>
              </w:rPr>
            </w:pPr>
          </w:p>
        </w:tc>
      </w:tr>
      <w:tr w:rsidR="006D116F" w:rsidRPr="00182522" w14:paraId="43D7CB9E" w14:textId="77777777" w:rsidTr="00104FEC">
        <w:tc>
          <w:tcPr>
            <w:tcW w:w="3095" w:type="dxa"/>
            <w:vMerge w:val="restart"/>
            <w:shd w:val="clear" w:color="auto" w:fill="auto"/>
          </w:tcPr>
          <w:p w14:paraId="5449DE98" w14:textId="77777777" w:rsidR="006D116F" w:rsidRPr="00182522" w:rsidRDefault="006D116F" w:rsidP="00104FEC">
            <w:pPr>
              <w:tabs>
                <w:tab w:val="clear" w:pos="567"/>
              </w:tabs>
              <w:spacing w:line="240" w:lineRule="auto"/>
              <w:rPr>
                <w:bCs/>
                <w:iCs/>
                <w:szCs w:val="22"/>
              </w:rPr>
            </w:pPr>
            <w:r>
              <w:t>Начална доза</w:t>
            </w:r>
          </w:p>
          <w:p w14:paraId="30ED57FE" w14:textId="77777777" w:rsidR="006D116F" w:rsidRDefault="006D116F" w:rsidP="00104FEC">
            <w:pPr>
              <w:tabs>
                <w:tab w:val="clear" w:pos="567"/>
              </w:tabs>
              <w:spacing w:line="240" w:lineRule="auto"/>
              <w:rPr>
                <w:bCs/>
                <w:iCs/>
                <w:szCs w:val="22"/>
              </w:rPr>
            </w:pPr>
          </w:p>
          <w:p w14:paraId="1C557EE5" w14:textId="77777777" w:rsidR="006D116F" w:rsidRPr="00182522" w:rsidRDefault="006D116F" w:rsidP="00104FEC">
            <w:pPr>
              <w:tabs>
                <w:tab w:val="clear" w:pos="567"/>
              </w:tabs>
              <w:spacing w:line="240" w:lineRule="auto"/>
              <w:rPr>
                <w:bCs/>
                <w:iCs/>
                <w:szCs w:val="22"/>
              </w:rPr>
            </w:pPr>
            <w:r>
              <w:t>Единична натоварваща доза</w:t>
            </w:r>
          </w:p>
          <w:p w14:paraId="16F1E5F2" w14:textId="77777777" w:rsidR="006D116F" w:rsidRPr="00182522" w:rsidRDefault="006D116F" w:rsidP="00104FEC">
            <w:pPr>
              <w:spacing w:line="240" w:lineRule="auto"/>
              <w:rPr>
                <w:bCs/>
                <w:iCs/>
                <w:szCs w:val="22"/>
              </w:rPr>
            </w:pPr>
            <w:r>
              <w:t>(ако е приложимо)</w:t>
            </w:r>
          </w:p>
        </w:tc>
        <w:tc>
          <w:tcPr>
            <w:tcW w:w="3096" w:type="dxa"/>
            <w:shd w:val="clear" w:color="auto" w:fill="auto"/>
          </w:tcPr>
          <w:p w14:paraId="590F24B8" w14:textId="77777777" w:rsidR="006D116F" w:rsidRDefault="006D116F" w:rsidP="00104FEC">
            <w:pPr>
              <w:tabs>
                <w:tab w:val="clear" w:pos="567"/>
              </w:tabs>
              <w:spacing w:line="240" w:lineRule="auto"/>
              <w:rPr>
                <w:bCs/>
                <w:iCs/>
                <w:szCs w:val="22"/>
              </w:rPr>
            </w:pPr>
            <w:r>
              <w:t>100 mg/ден или 200 mg/ден</w:t>
            </w:r>
          </w:p>
          <w:p w14:paraId="35007C57" w14:textId="77777777" w:rsidR="006D116F" w:rsidRPr="00182522" w:rsidRDefault="006D116F" w:rsidP="00104FEC">
            <w:pPr>
              <w:tabs>
                <w:tab w:val="clear" w:pos="567"/>
              </w:tabs>
              <w:spacing w:line="240" w:lineRule="auto"/>
              <w:rPr>
                <w:bCs/>
                <w:iCs/>
                <w:szCs w:val="22"/>
              </w:rPr>
            </w:pPr>
          </w:p>
        </w:tc>
        <w:tc>
          <w:tcPr>
            <w:tcW w:w="3096" w:type="dxa"/>
            <w:shd w:val="clear" w:color="auto" w:fill="auto"/>
          </w:tcPr>
          <w:p w14:paraId="6EAED2BF" w14:textId="77777777" w:rsidR="006D116F" w:rsidRPr="00182522" w:rsidRDefault="006D116F" w:rsidP="00104FEC">
            <w:pPr>
              <w:tabs>
                <w:tab w:val="clear" w:pos="567"/>
              </w:tabs>
              <w:spacing w:line="240" w:lineRule="auto"/>
              <w:rPr>
                <w:bCs/>
                <w:iCs/>
                <w:szCs w:val="22"/>
              </w:rPr>
            </w:pPr>
            <w:r>
              <w:t>100 mg/ден</w:t>
            </w:r>
          </w:p>
        </w:tc>
      </w:tr>
      <w:tr w:rsidR="006D116F" w:rsidRPr="00182522" w14:paraId="30F190A8" w14:textId="77777777" w:rsidTr="00104FEC">
        <w:tc>
          <w:tcPr>
            <w:tcW w:w="3095" w:type="dxa"/>
            <w:vMerge/>
            <w:shd w:val="clear" w:color="auto" w:fill="auto"/>
          </w:tcPr>
          <w:p w14:paraId="48AB4B55" w14:textId="77777777" w:rsidR="006D116F" w:rsidRPr="00182522" w:rsidRDefault="006D116F" w:rsidP="00104FEC">
            <w:pPr>
              <w:tabs>
                <w:tab w:val="clear" w:pos="567"/>
              </w:tabs>
              <w:spacing w:line="240" w:lineRule="auto"/>
              <w:rPr>
                <w:bCs/>
                <w:iCs/>
                <w:szCs w:val="22"/>
              </w:rPr>
            </w:pPr>
          </w:p>
        </w:tc>
        <w:tc>
          <w:tcPr>
            <w:tcW w:w="3096" w:type="dxa"/>
            <w:shd w:val="clear" w:color="auto" w:fill="auto"/>
          </w:tcPr>
          <w:p w14:paraId="6E75DB09" w14:textId="77777777" w:rsidR="006D116F" w:rsidRPr="00182522" w:rsidRDefault="006D116F" w:rsidP="00104FEC">
            <w:pPr>
              <w:tabs>
                <w:tab w:val="clear" w:pos="567"/>
              </w:tabs>
              <w:spacing w:line="240" w:lineRule="auto"/>
              <w:rPr>
                <w:bCs/>
                <w:iCs/>
                <w:szCs w:val="22"/>
              </w:rPr>
            </w:pPr>
            <w:r>
              <w:t>200 mg</w:t>
            </w:r>
          </w:p>
        </w:tc>
        <w:tc>
          <w:tcPr>
            <w:tcW w:w="3096" w:type="dxa"/>
            <w:shd w:val="clear" w:color="auto" w:fill="auto"/>
          </w:tcPr>
          <w:p w14:paraId="3A60DC56" w14:textId="77777777" w:rsidR="006D116F" w:rsidRPr="00182522" w:rsidRDefault="006D116F" w:rsidP="00104FEC">
            <w:pPr>
              <w:tabs>
                <w:tab w:val="clear" w:pos="567"/>
              </w:tabs>
              <w:spacing w:line="240" w:lineRule="auto"/>
              <w:rPr>
                <w:bCs/>
                <w:iCs/>
                <w:szCs w:val="22"/>
              </w:rPr>
            </w:pPr>
            <w:r>
              <w:t>200 mg</w:t>
            </w:r>
          </w:p>
        </w:tc>
      </w:tr>
      <w:tr w:rsidR="006D116F" w:rsidRPr="00182522" w14:paraId="04F4898E" w14:textId="77777777" w:rsidTr="00104FEC">
        <w:tc>
          <w:tcPr>
            <w:tcW w:w="3095" w:type="dxa"/>
            <w:shd w:val="clear" w:color="auto" w:fill="auto"/>
          </w:tcPr>
          <w:p w14:paraId="3E474676" w14:textId="77777777" w:rsidR="006D116F" w:rsidRPr="00182522" w:rsidRDefault="006D116F" w:rsidP="00104FEC">
            <w:pPr>
              <w:tabs>
                <w:tab w:val="clear" w:pos="567"/>
              </w:tabs>
              <w:spacing w:line="240" w:lineRule="auto"/>
              <w:rPr>
                <w:bCs/>
                <w:iCs/>
                <w:szCs w:val="22"/>
              </w:rPr>
            </w:pPr>
            <w:r>
              <w:t>Титриране (нарастващи стъпки)</w:t>
            </w:r>
          </w:p>
        </w:tc>
        <w:tc>
          <w:tcPr>
            <w:tcW w:w="3096" w:type="dxa"/>
            <w:shd w:val="clear" w:color="auto" w:fill="auto"/>
          </w:tcPr>
          <w:p w14:paraId="4F66F701" w14:textId="77777777" w:rsidR="006D116F" w:rsidRPr="00182522" w:rsidRDefault="006D116F" w:rsidP="00104FEC">
            <w:pPr>
              <w:tabs>
                <w:tab w:val="clear" w:pos="567"/>
              </w:tabs>
              <w:spacing w:line="240" w:lineRule="auto"/>
              <w:rPr>
                <w:bCs/>
                <w:iCs/>
                <w:szCs w:val="22"/>
              </w:rPr>
            </w:pPr>
            <w:r>
              <w:t>50 mg два пъти дневно (100 mg/ден) на седмични интервали</w:t>
            </w:r>
          </w:p>
        </w:tc>
        <w:tc>
          <w:tcPr>
            <w:tcW w:w="3096" w:type="dxa"/>
            <w:shd w:val="clear" w:color="auto" w:fill="auto"/>
          </w:tcPr>
          <w:p w14:paraId="3C1ECEE9" w14:textId="77777777" w:rsidR="006D116F" w:rsidRPr="00182522" w:rsidRDefault="006D116F" w:rsidP="00104FEC">
            <w:pPr>
              <w:tabs>
                <w:tab w:val="clear" w:pos="567"/>
              </w:tabs>
              <w:spacing w:line="240" w:lineRule="auto"/>
              <w:rPr>
                <w:bCs/>
                <w:iCs/>
                <w:szCs w:val="22"/>
              </w:rPr>
            </w:pPr>
            <w:r>
              <w:t>50 mg два пъти дневно (100 mg/ден) на седмични интервали</w:t>
            </w:r>
          </w:p>
        </w:tc>
      </w:tr>
      <w:tr w:rsidR="006D116F" w:rsidRPr="00182522" w14:paraId="69B03089" w14:textId="77777777" w:rsidTr="00104FEC">
        <w:tc>
          <w:tcPr>
            <w:tcW w:w="3095" w:type="dxa"/>
            <w:shd w:val="clear" w:color="auto" w:fill="auto"/>
          </w:tcPr>
          <w:p w14:paraId="344DB5F3" w14:textId="77777777" w:rsidR="006D116F" w:rsidRPr="00182522" w:rsidRDefault="006D116F" w:rsidP="00104FEC">
            <w:pPr>
              <w:tabs>
                <w:tab w:val="clear" w:pos="567"/>
              </w:tabs>
              <w:spacing w:line="240" w:lineRule="auto"/>
              <w:rPr>
                <w:bCs/>
                <w:iCs/>
                <w:szCs w:val="22"/>
              </w:rPr>
            </w:pPr>
            <w:r>
              <w:t>Максимална препоръчителна доза</w:t>
            </w:r>
          </w:p>
        </w:tc>
        <w:tc>
          <w:tcPr>
            <w:tcW w:w="3096" w:type="dxa"/>
            <w:shd w:val="clear" w:color="auto" w:fill="auto"/>
          </w:tcPr>
          <w:p w14:paraId="2449E8F2" w14:textId="77777777" w:rsidR="006D116F" w:rsidRPr="00182522" w:rsidRDefault="006D116F" w:rsidP="00104FEC">
            <w:pPr>
              <w:tabs>
                <w:tab w:val="clear" w:pos="567"/>
              </w:tabs>
              <w:spacing w:line="240" w:lineRule="auto"/>
              <w:rPr>
                <w:bCs/>
                <w:iCs/>
                <w:szCs w:val="22"/>
              </w:rPr>
            </w:pPr>
            <w:r>
              <w:t>до 600 mg/ден</w:t>
            </w:r>
          </w:p>
        </w:tc>
        <w:tc>
          <w:tcPr>
            <w:tcW w:w="3096" w:type="dxa"/>
            <w:shd w:val="clear" w:color="auto" w:fill="auto"/>
          </w:tcPr>
          <w:p w14:paraId="427A5232" w14:textId="77777777" w:rsidR="006D116F" w:rsidRPr="00182522" w:rsidRDefault="006D116F" w:rsidP="00104FEC">
            <w:pPr>
              <w:tabs>
                <w:tab w:val="clear" w:pos="567"/>
              </w:tabs>
              <w:spacing w:line="240" w:lineRule="auto"/>
              <w:rPr>
                <w:bCs/>
                <w:iCs/>
                <w:szCs w:val="22"/>
              </w:rPr>
            </w:pPr>
            <w:r>
              <w:t>до 400 mg/ден</w:t>
            </w:r>
          </w:p>
        </w:tc>
      </w:tr>
    </w:tbl>
    <w:p w14:paraId="2742F8F3" w14:textId="77777777" w:rsidR="006D116F" w:rsidRDefault="006D116F" w:rsidP="006D116F">
      <w:pPr>
        <w:tabs>
          <w:tab w:val="clear" w:pos="567"/>
        </w:tabs>
        <w:spacing w:line="240" w:lineRule="auto"/>
        <w:rPr>
          <w:bCs/>
          <w:i/>
          <w:iCs/>
          <w:szCs w:val="22"/>
        </w:rPr>
      </w:pPr>
    </w:p>
    <w:p w14:paraId="4F553B72" w14:textId="3F59D981" w:rsidR="006D116F" w:rsidRDefault="006D116F" w:rsidP="006D116F">
      <w:pPr>
        <w:pStyle w:val="Default"/>
        <w:rPr>
          <w:sz w:val="22"/>
          <w:szCs w:val="22"/>
        </w:rPr>
      </w:pPr>
      <w:r>
        <w:rPr>
          <w:i/>
          <w:iCs/>
          <w:sz w:val="22"/>
          <w:szCs w:val="22"/>
        </w:rPr>
        <w:t xml:space="preserve">Монотерапия </w:t>
      </w:r>
      <w:r w:rsidR="0058028A">
        <w:rPr>
          <w:i/>
          <w:iCs/>
          <w:sz w:val="22"/>
          <w:szCs w:val="22"/>
        </w:rPr>
        <w:t>(при лечението на парциални пристъпи)</w:t>
      </w:r>
    </w:p>
    <w:p w14:paraId="13D674F6" w14:textId="77777777" w:rsidR="006D116F" w:rsidRDefault="006D116F" w:rsidP="006D116F">
      <w:pPr>
        <w:pStyle w:val="Default"/>
        <w:rPr>
          <w:sz w:val="22"/>
          <w:szCs w:val="22"/>
        </w:rPr>
      </w:pPr>
      <w:r>
        <w:rPr>
          <w:sz w:val="22"/>
          <w:szCs w:val="22"/>
        </w:rPr>
        <w:t xml:space="preserve">Препоръчителната начална доза е 50 mg два пъти дневно, която след една седмица трябва да се увеличи до първоначална терапевтична доза 100 mg два пъти дневно. </w:t>
      </w:r>
    </w:p>
    <w:p w14:paraId="2551AE1A" w14:textId="77777777" w:rsidR="006D116F" w:rsidRDefault="006D116F" w:rsidP="006D116F">
      <w:pPr>
        <w:pStyle w:val="Default"/>
        <w:rPr>
          <w:sz w:val="22"/>
          <w:szCs w:val="22"/>
        </w:rPr>
      </w:pPr>
      <w:r>
        <w:rPr>
          <w:sz w:val="22"/>
          <w:szCs w:val="22"/>
        </w:rPr>
        <w:t xml:space="preserve">Лакозамид може също така да започне да се прилага при доза 100 mg два пъти дневно по преценка на лекаря за необходимостта от намаляване на пристъпите спрямо потенциалните нежелани реакции. </w:t>
      </w:r>
    </w:p>
    <w:p w14:paraId="4990DFC8" w14:textId="77777777" w:rsidR="006D116F" w:rsidRDefault="006D116F" w:rsidP="006D116F">
      <w:pPr>
        <w:pStyle w:val="Default"/>
        <w:rPr>
          <w:sz w:val="22"/>
          <w:szCs w:val="22"/>
        </w:rPr>
      </w:pPr>
      <w:r>
        <w:rPr>
          <w:sz w:val="22"/>
          <w:szCs w:val="22"/>
        </w:rPr>
        <w:t xml:space="preserve">В зависимост от отговора и поносимостта поддържащата доза може да бъде допълнително увеличавана на седмични интервали с 50 mg два пъти дневно (100 mg/ден) до максималната препоръчителна дневна доза 300 mg два пъти дневно (600 mg/ден). </w:t>
      </w:r>
    </w:p>
    <w:p w14:paraId="55E5C84F" w14:textId="77777777" w:rsidR="006D116F" w:rsidRDefault="006D116F" w:rsidP="006D116F">
      <w:pPr>
        <w:pStyle w:val="Default"/>
        <w:rPr>
          <w:sz w:val="22"/>
          <w:szCs w:val="22"/>
        </w:rPr>
      </w:pPr>
      <w:r>
        <w:rPr>
          <w:sz w:val="22"/>
          <w:szCs w:val="22"/>
        </w:rPr>
        <w:t xml:space="preserve">При пациенти, достигнали доза по-голяма от 400 mg/ден и които се нуждаят от допълнителен антиепилептичен лекарствен продукт, трябва да се спазва дозировката по-долу, която се препоръчва за допълваща терапия. </w:t>
      </w:r>
    </w:p>
    <w:p w14:paraId="6B425191" w14:textId="77777777" w:rsidR="006D116F" w:rsidRDefault="006D116F" w:rsidP="006D116F">
      <w:pPr>
        <w:pStyle w:val="Default"/>
        <w:rPr>
          <w:i/>
          <w:iCs/>
          <w:sz w:val="22"/>
          <w:szCs w:val="22"/>
        </w:rPr>
      </w:pPr>
    </w:p>
    <w:p w14:paraId="6A4023D4" w14:textId="33172879" w:rsidR="006D116F" w:rsidRDefault="006D116F" w:rsidP="006D116F">
      <w:pPr>
        <w:pStyle w:val="Default"/>
        <w:rPr>
          <w:sz w:val="22"/>
          <w:szCs w:val="22"/>
        </w:rPr>
      </w:pPr>
      <w:r>
        <w:rPr>
          <w:i/>
          <w:iCs/>
          <w:sz w:val="22"/>
          <w:szCs w:val="22"/>
        </w:rPr>
        <w:t xml:space="preserve">Допълваща терапия </w:t>
      </w:r>
      <w:r w:rsidR="0058028A">
        <w:rPr>
          <w:i/>
          <w:iCs/>
          <w:sz w:val="22"/>
          <w:szCs w:val="22"/>
        </w:rPr>
        <w:t>(при лечението на парциални пристъпи или лечението на първично генерализирани тонично-клонични пристъпи)</w:t>
      </w:r>
    </w:p>
    <w:p w14:paraId="39AB7B78" w14:textId="77777777" w:rsidR="006D116F" w:rsidRDefault="006D116F" w:rsidP="006D116F">
      <w:pPr>
        <w:pStyle w:val="Default"/>
        <w:rPr>
          <w:sz w:val="22"/>
          <w:szCs w:val="22"/>
        </w:rPr>
      </w:pPr>
      <w:r>
        <w:rPr>
          <w:sz w:val="22"/>
          <w:szCs w:val="22"/>
        </w:rPr>
        <w:t xml:space="preserve">Препоръчителната начална доза е 50 mg два пъти дневно, която след една седмица трябва да се увеличи до първоначална терапевтична доза 100 mg два пъти дневно. </w:t>
      </w:r>
    </w:p>
    <w:p w14:paraId="02AC8350" w14:textId="77777777" w:rsidR="006D116F" w:rsidRDefault="006D116F" w:rsidP="006D116F">
      <w:pPr>
        <w:pStyle w:val="Default"/>
        <w:rPr>
          <w:sz w:val="22"/>
          <w:szCs w:val="22"/>
        </w:rPr>
      </w:pPr>
      <w:r>
        <w:rPr>
          <w:sz w:val="22"/>
          <w:szCs w:val="22"/>
        </w:rPr>
        <w:t xml:space="preserve">В зависимост от отговора и поносимостта поддържащата доза може да бъде допълнително увеличавана на седмични интервали с 50 mg два пъти дневно (100 mg/ден) до максималната препоръчителна дневна доза 400 mg (200 mg два пъти дневно). </w:t>
      </w:r>
    </w:p>
    <w:p w14:paraId="2F3649F0" w14:textId="77777777" w:rsidR="006D116F" w:rsidRDefault="006D116F" w:rsidP="006D116F">
      <w:pPr>
        <w:pStyle w:val="Default"/>
        <w:rPr>
          <w:sz w:val="22"/>
          <w:szCs w:val="22"/>
        </w:rPr>
      </w:pPr>
    </w:p>
    <w:p w14:paraId="50BF46AB" w14:textId="0976AD41" w:rsidR="006D116F" w:rsidRPr="006150EE" w:rsidRDefault="006D116F" w:rsidP="0058028A">
      <w:pPr>
        <w:pStyle w:val="Default"/>
        <w:rPr>
          <w:rFonts w:ascii="Arial" w:eastAsiaTheme="minorHAnsi" w:hAnsi="Arial" w:cs="Arial"/>
          <w:color w:val="000000"/>
          <w:sz w:val="16"/>
          <w:szCs w:val="16"/>
        </w:rPr>
      </w:pPr>
      <w:r>
        <w:rPr>
          <w:i/>
          <w:iCs/>
          <w:sz w:val="22"/>
          <w:szCs w:val="22"/>
        </w:rPr>
        <w:t xml:space="preserve">Започване на лечение с лакозамид с натоварваща доза </w:t>
      </w:r>
      <w:r w:rsidR="0058028A" w:rsidRPr="0058028A">
        <w:rPr>
          <w:rFonts w:eastAsiaTheme="minorHAnsi"/>
          <w:i/>
          <w:iCs/>
          <w:color w:val="000000"/>
          <w:sz w:val="22"/>
          <w:szCs w:val="22"/>
        </w:rPr>
        <w:t xml:space="preserve">(начална монотерапия или преминаване към монотерапия в лечението на парциални пристъпи или допълваща терапия в лечението на парциални пристъпи, или допълваща терапия в лечението на първично генерализирани </w:t>
      </w:r>
      <w:r w:rsidR="0058028A" w:rsidRPr="0058028A">
        <w:rPr>
          <w:rFonts w:eastAsiaTheme="minorHAnsi"/>
          <w:i/>
          <w:iCs/>
          <w:sz w:val="22"/>
          <w:szCs w:val="22"/>
        </w:rPr>
        <w:t>тонично-клонични пристъпи)</w:t>
      </w:r>
    </w:p>
    <w:p w14:paraId="5506EDBB" w14:textId="2F8AF0A6" w:rsidR="006D116F" w:rsidRDefault="006D116F" w:rsidP="006D116F">
      <w:pPr>
        <w:pStyle w:val="Default"/>
        <w:rPr>
          <w:sz w:val="22"/>
          <w:szCs w:val="22"/>
        </w:rPr>
      </w:pPr>
      <w:r>
        <w:rPr>
          <w:sz w:val="22"/>
          <w:szCs w:val="22"/>
        </w:rPr>
        <w:t>Лечение с лакозамид може да се започне също и с единична натоварваща доза</w:t>
      </w:r>
      <w:r w:rsidR="00EC03E4">
        <w:rPr>
          <w:sz w:val="22"/>
          <w:szCs w:val="22"/>
        </w:rPr>
        <w:t xml:space="preserve"> от</w:t>
      </w:r>
      <w:r>
        <w:rPr>
          <w:sz w:val="22"/>
          <w:szCs w:val="22"/>
        </w:rPr>
        <w:t xml:space="preserve"> 200 mg, последвана приблизително 12 часа по-късно от 100 mg два пъти дневно (200 mg/ден)</w:t>
      </w:r>
      <w:r w:rsidR="00EC03E4">
        <w:rPr>
          <w:sz w:val="22"/>
          <w:szCs w:val="22"/>
        </w:rPr>
        <w:t>,</w:t>
      </w:r>
      <w:r>
        <w:rPr>
          <w:sz w:val="22"/>
          <w:szCs w:val="22"/>
        </w:rPr>
        <w:t xml:space="preserve"> като терапевтичен режим с поддържаща доза. Последващи корекции на дозата трябва да се правят в зависимост от индивидуалния отговор и индивидуалната поносимост, както е описано по-горе. С натоварваща доза може да се започне при пациенти в ситуации, когато лекарят прецени, че е оправдано бързото достигане на стационарна плазмена концентрация на лакозамид и на терапевтичен ефект. Тя трябва да се прилага под лекарско наблюдение, като се вземе под внимание възможността за повишена честота на сериозна сърдечна аритмия и нежелани реакции от страна на централната нервна система (вж. точка 4.8). Прилагането на натоварваща доза не е проучено при остри състояния като статус епилептикус. </w:t>
      </w:r>
    </w:p>
    <w:p w14:paraId="05DAF016" w14:textId="77777777" w:rsidR="006D116F" w:rsidRDefault="006D116F" w:rsidP="006D116F">
      <w:pPr>
        <w:tabs>
          <w:tab w:val="clear" w:pos="567"/>
        </w:tabs>
        <w:spacing w:line="240" w:lineRule="auto"/>
        <w:rPr>
          <w:i/>
          <w:iCs/>
          <w:szCs w:val="22"/>
        </w:rPr>
      </w:pPr>
    </w:p>
    <w:p w14:paraId="3B39249B" w14:textId="77777777" w:rsidR="006D116F" w:rsidRPr="00282881" w:rsidRDefault="006D116F" w:rsidP="006D116F">
      <w:pPr>
        <w:tabs>
          <w:tab w:val="clear" w:pos="567"/>
        </w:tabs>
        <w:spacing w:line="240" w:lineRule="auto"/>
        <w:rPr>
          <w:bCs/>
          <w:iCs/>
          <w:szCs w:val="22"/>
        </w:rPr>
      </w:pPr>
      <w:r>
        <w:rPr>
          <w:i/>
          <w:iCs/>
          <w:szCs w:val="22"/>
        </w:rPr>
        <w:t>Преустановяване на лечението</w:t>
      </w:r>
    </w:p>
    <w:p w14:paraId="1A3E1305" w14:textId="77777777" w:rsidR="006D116F" w:rsidRDefault="006D116F" w:rsidP="006D116F">
      <w:pPr>
        <w:tabs>
          <w:tab w:val="clear" w:pos="567"/>
        </w:tabs>
        <w:spacing w:line="240" w:lineRule="auto"/>
        <w:rPr>
          <w:bCs/>
          <w:iCs/>
          <w:szCs w:val="22"/>
        </w:rPr>
      </w:pPr>
      <w:r>
        <w:t>Според съвременната клинична практика, ако лечението с лакозамид трябва да бъде преустановено, това се препоръчва да става постепенно (напр. намаляване на дневната доза с 200 mg/седмица).</w:t>
      </w:r>
    </w:p>
    <w:p w14:paraId="5A6C6FF2" w14:textId="777A2A76" w:rsidR="006D116F" w:rsidRPr="00344B39" w:rsidRDefault="006D116F" w:rsidP="006D116F">
      <w:pPr>
        <w:tabs>
          <w:tab w:val="clear" w:pos="567"/>
        </w:tabs>
        <w:spacing w:line="240" w:lineRule="auto"/>
        <w:rPr>
          <w:bCs/>
          <w:iCs/>
          <w:szCs w:val="22"/>
        </w:rPr>
      </w:pPr>
      <w:r>
        <w:t xml:space="preserve">При пациенти, които развиват сериозна сърдечна аритмия, трябва да се направи </w:t>
      </w:r>
      <w:r w:rsidR="00EC03E4">
        <w:t xml:space="preserve">клинична </w:t>
      </w:r>
      <w:r>
        <w:t xml:space="preserve">оценка на </w:t>
      </w:r>
      <w:r w:rsidR="00EC03E4">
        <w:t>съотношението</w:t>
      </w:r>
      <w:r>
        <w:t xml:space="preserve"> полза</w:t>
      </w:r>
      <w:r w:rsidR="00EC03E4">
        <w:t>/</w:t>
      </w:r>
      <w:r>
        <w:t>риск и ако е необходимо, да се преустанови лечението с лакозамид.</w:t>
      </w:r>
    </w:p>
    <w:p w14:paraId="0D0F7B8C" w14:textId="77777777" w:rsidR="006D116F" w:rsidRDefault="006D116F" w:rsidP="006D116F">
      <w:pPr>
        <w:pStyle w:val="Default"/>
        <w:rPr>
          <w:sz w:val="22"/>
          <w:szCs w:val="22"/>
          <w:u w:val="single"/>
        </w:rPr>
      </w:pPr>
    </w:p>
    <w:p w14:paraId="26035B2A" w14:textId="77777777" w:rsidR="006D116F" w:rsidRPr="004110B4" w:rsidRDefault="006D116F" w:rsidP="006D116F">
      <w:pPr>
        <w:pStyle w:val="Default"/>
        <w:rPr>
          <w:sz w:val="22"/>
          <w:szCs w:val="22"/>
          <w:u w:val="single"/>
        </w:rPr>
      </w:pPr>
      <w:r>
        <w:rPr>
          <w:sz w:val="22"/>
          <w:szCs w:val="22"/>
          <w:u w:val="single"/>
        </w:rPr>
        <w:t xml:space="preserve">Специални популации </w:t>
      </w:r>
    </w:p>
    <w:p w14:paraId="69CD21AA" w14:textId="77777777" w:rsidR="006D116F" w:rsidRDefault="006D116F" w:rsidP="006D116F">
      <w:pPr>
        <w:pStyle w:val="Default"/>
        <w:rPr>
          <w:i/>
          <w:iCs/>
          <w:sz w:val="22"/>
          <w:szCs w:val="22"/>
        </w:rPr>
      </w:pPr>
    </w:p>
    <w:p w14:paraId="7D915491" w14:textId="77777777" w:rsidR="006D116F" w:rsidRDefault="006D116F" w:rsidP="006D116F">
      <w:pPr>
        <w:pStyle w:val="Default"/>
        <w:rPr>
          <w:sz w:val="22"/>
          <w:szCs w:val="22"/>
        </w:rPr>
      </w:pPr>
      <w:r>
        <w:rPr>
          <w:i/>
          <w:iCs/>
          <w:sz w:val="22"/>
          <w:szCs w:val="22"/>
        </w:rPr>
        <w:t xml:space="preserve">Старческа възраст (възраст над 65 години) </w:t>
      </w:r>
    </w:p>
    <w:p w14:paraId="4B662866" w14:textId="2F9FAA32" w:rsidR="006D116F" w:rsidRDefault="006D116F" w:rsidP="006D116F">
      <w:pPr>
        <w:pStyle w:val="Default"/>
        <w:rPr>
          <w:sz w:val="22"/>
          <w:szCs w:val="22"/>
        </w:rPr>
      </w:pPr>
      <w:r>
        <w:rPr>
          <w:sz w:val="22"/>
          <w:szCs w:val="22"/>
        </w:rPr>
        <w:t>Не е необходимо намаляване на дозата при пациенти в старческа възраст. Свързаното с възрастта понижение на бъбречния клирънс с повишение на нивата на AUC трябва да се има предвид при пациенти в старческа възраст (вж. следващия параграф „</w:t>
      </w:r>
      <w:r w:rsidR="00EC03E4">
        <w:rPr>
          <w:sz w:val="22"/>
          <w:szCs w:val="22"/>
        </w:rPr>
        <w:t>Б</w:t>
      </w:r>
      <w:r>
        <w:rPr>
          <w:sz w:val="22"/>
          <w:szCs w:val="22"/>
        </w:rPr>
        <w:t xml:space="preserve">ъбречно увреждане“ и точка 5.2). Съществуват ограничени клинични данни за пациенти в старческа възраст с епилепсия, особено при дози по-големи от 400 mg/ден (вж. точки 4.4, 4.8 и 5.1). </w:t>
      </w:r>
    </w:p>
    <w:p w14:paraId="2928B649" w14:textId="77777777" w:rsidR="006D116F" w:rsidRDefault="006D116F" w:rsidP="006D116F">
      <w:pPr>
        <w:pStyle w:val="Default"/>
        <w:rPr>
          <w:i/>
          <w:iCs/>
          <w:sz w:val="22"/>
          <w:szCs w:val="22"/>
        </w:rPr>
      </w:pPr>
    </w:p>
    <w:p w14:paraId="19E5D135" w14:textId="77777777" w:rsidR="006D116F" w:rsidRDefault="006D116F" w:rsidP="006D116F">
      <w:pPr>
        <w:pStyle w:val="Default"/>
        <w:rPr>
          <w:sz w:val="22"/>
          <w:szCs w:val="22"/>
        </w:rPr>
      </w:pPr>
      <w:r>
        <w:rPr>
          <w:i/>
          <w:iCs/>
          <w:sz w:val="22"/>
          <w:szCs w:val="22"/>
        </w:rPr>
        <w:t xml:space="preserve">Бъбречно увреждане </w:t>
      </w:r>
    </w:p>
    <w:p w14:paraId="2097AB0F" w14:textId="5AEF2296" w:rsidR="006D116F" w:rsidRDefault="006D116F" w:rsidP="006D116F">
      <w:pPr>
        <w:pStyle w:val="Default"/>
        <w:rPr>
          <w:sz w:val="22"/>
          <w:szCs w:val="22"/>
        </w:rPr>
      </w:pPr>
      <w:r>
        <w:rPr>
          <w:sz w:val="22"/>
          <w:szCs w:val="22"/>
        </w:rPr>
        <w:t>Не е необходимо адаптиране на дозата при възрастни и педиатрични пациенти с леко до умерено бъбречно увреждане (CL</w:t>
      </w:r>
      <w:r>
        <w:rPr>
          <w:sz w:val="14"/>
          <w:szCs w:val="14"/>
        </w:rPr>
        <w:t>CR</w:t>
      </w:r>
      <w:r>
        <w:rPr>
          <w:sz w:val="22"/>
          <w:szCs w:val="22"/>
        </w:rPr>
        <w:t xml:space="preserve"> &gt;30 mL/min). При педиатрични пациенти с тегло 50 kg или повече и при възрастни пациенти с леко или умерено бъбречно увреждане може да се обмисли прилагане на натоварваща доза 200 mg, но бъдещо титриране на дозата (&gt;200 mg дневно) трябва да се извършва с повишено внимание. При педиатрични пациенти с тегло 50 kg или повече и при възрастни пациенти с тежко бъбречно увреждане (CL</w:t>
      </w:r>
      <w:r>
        <w:rPr>
          <w:sz w:val="14"/>
          <w:szCs w:val="14"/>
        </w:rPr>
        <w:t>CR</w:t>
      </w:r>
      <w:r>
        <w:rPr>
          <w:sz w:val="22"/>
          <w:szCs w:val="22"/>
        </w:rPr>
        <w:t xml:space="preserve"> ≤30 mL/min) или в краен стадий на бъбречно заболяване препоръчителната максимална доза е 250 mg/ден и титрирането на дозата трябва да се извършва с повишено внимание. Ако е посочена натоварваща доза, през първата седмица трябва да се използва първоначална доза 100 mg, последвана от терапевтичен режим 50 mg два пъти дневно. При педиатрични пациенти с тегло по-малко от 50 kg с тежко бъбречно увреждане (CL</w:t>
      </w:r>
      <w:r>
        <w:rPr>
          <w:sz w:val="14"/>
          <w:szCs w:val="14"/>
        </w:rPr>
        <w:t>CR</w:t>
      </w:r>
      <w:r>
        <w:rPr>
          <w:sz w:val="22"/>
          <w:szCs w:val="22"/>
        </w:rPr>
        <w:t> ≤ 30 mL/min) и при тези в краен стадий на бъбречно заболяване се препоръчва намаляване на максималната доза с 25%. При вс</w:t>
      </w:r>
      <w:r w:rsidR="00976AF4">
        <w:rPr>
          <w:sz w:val="22"/>
          <w:szCs w:val="22"/>
        </w:rPr>
        <w:t>ички пациенти, които се нуждаят</w:t>
      </w:r>
      <w:r w:rsidR="00976AF4">
        <w:rPr>
          <w:sz w:val="22"/>
          <w:szCs w:val="22"/>
          <w:lang w:val="en-US"/>
        </w:rPr>
        <w:t xml:space="preserve"> </w:t>
      </w:r>
      <w:r>
        <w:rPr>
          <w:sz w:val="22"/>
          <w:szCs w:val="22"/>
        </w:rPr>
        <w:t xml:space="preserve">от хемодиализа, се препоръчва добавяне на до 50% от определената дневна доза непосредствено след приключване на хемодиализата. Лечение на пациенти в краен стадий на бъбречно заболяване трябва да се извършва с повишено внимание поради малкия клиничен опит и кумулиране на метаболит (с неизвестна фармакологична активност). </w:t>
      </w:r>
    </w:p>
    <w:p w14:paraId="758A18E4" w14:textId="77777777" w:rsidR="006D116F" w:rsidRDefault="006D116F" w:rsidP="006D116F">
      <w:pPr>
        <w:pStyle w:val="Default"/>
        <w:rPr>
          <w:i/>
          <w:iCs/>
          <w:sz w:val="22"/>
          <w:szCs w:val="22"/>
        </w:rPr>
      </w:pPr>
    </w:p>
    <w:p w14:paraId="4DE9D6BE" w14:textId="77777777" w:rsidR="006D116F" w:rsidRDefault="006D116F" w:rsidP="006D116F">
      <w:pPr>
        <w:pStyle w:val="Default"/>
        <w:rPr>
          <w:sz w:val="22"/>
          <w:szCs w:val="22"/>
        </w:rPr>
      </w:pPr>
      <w:r>
        <w:rPr>
          <w:i/>
          <w:iCs/>
          <w:sz w:val="22"/>
          <w:szCs w:val="22"/>
        </w:rPr>
        <w:t xml:space="preserve">Чернодробно увреждане </w:t>
      </w:r>
    </w:p>
    <w:p w14:paraId="1EE010DD" w14:textId="77777777" w:rsidR="006D116F" w:rsidRDefault="006D116F" w:rsidP="006D116F">
      <w:pPr>
        <w:pStyle w:val="Default"/>
        <w:rPr>
          <w:sz w:val="22"/>
          <w:szCs w:val="22"/>
        </w:rPr>
      </w:pPr>
      <w:r>
        <w:rPr>
          <w:sz w:val="22"/>
          <w:szCs w:val="22"/>
        </w:rPr>
        <w:t xml:space="preserve">Препоръчва се максимална доза 300 mg дневно при педиатрични пациенти с тегло 50 kg или повече и при възрастни пациенти с леко до умерено чернодробно увреждане. </w:t>
      </w:r>
    </w:p>
    <w:p w14:paraId="14F3BFF6" w14:textId="77777777" w:rsidR="006D116F" w:rsidRDefault="006D116F" w:rsidP="006D116F">
      <w:pPr>
        <w:pStyle w:val="Default"/>
        <w:rPr>
          <w:sz w:val="22"/>
          <w:szCs w:val="22"/>
        </w:rPr>
      </w:pPr>
      <w:r>
        <w:rPr>
          <w:sz w:val="22"/>
          <w:szCs w:val="22"/>
        </w:rPr>
        <w:t xml:space="preserve">Титрирането на дозата при тези пациенти трябва да се извършва с повишено внимание, като се има предвид възможността от съпътстващо бъбречно увреждане. При юноши и възрастни с тегло 50 kg или повече може да се обмисли прилагане на натоварваща доза 200 mg, но бъдещо титриране на дозата (&gt;200 mg дневно) трябва да се извършва с повишено внимание. Въз основа на данни за възрастни, при педиатрични пациенти с тегло по-малко от 50 kg и с леко до умерено чернодробно увреждане трябва да се приложи намаляване на максималната доза с 25%. Фармакокинетиката на лакозамид не е проучвана при пациенти с тежко чернодробно увреждане (вж. точка 5.2). Лакозамид трябва да се прилага при възрастни и педиатрични пациенти с тежко чернодробно увреждане само когато се прецени, че очакваните терапевтични ползи надвишават възможните рискове. Може да се наложи коригиране на дозата, като внимателно се наблюдава активността на заболяването и възможните нежелани реакции на пациента. </w:t>
      </w:r>
    </w:p>
    <w:p w14:paraId="6617F364" w14:textId="77777777" w:rsidR="006D116F" w:rsidRDefault="006D116F" w:rsidP="006D116F">
      <w:pPr>
        <w:pStyle w:val="Default"/>
        <w:rPr>
          <w:sz w:val="22"/>
          <w:szCs w:val="22"/>
        </w:rPr>
      </w:pPr>
    </w:p>
    <w:p w14:paraId="3FE137EB" w14:textId="77777777" w:rsidR="006D116F" w:rsidRPr="00B0440C" w:rsidRDefault="006D116F" w:rsidP="006D116F">
      <w:pPr>
        <w:pStyle w:val="Default"/>
        <w:rPr>
          <w:i/>
          <w:sz w:val="22"/>
          <w:szCs w:val="22"/>
        </w:rPr>
      </w:pPr>
      <w:r w:rsidRPr="00B0440C">
        <w:rPr>
          <w:i/>
          <w:sz w:val="22"/>
          <w:szCs w:val="22"/>
        </w:rPr>
        <w:t xml:space="preserve">Педиатрична популация </w:t>
      </w:r>
    </w:p>
    <w:p w14:paraId="3E2AFE20" w14:textId="77777777" w:rsidR="006D116F" w:rsidRDefault="006D116F" w:rsidP="006D116F">
      <w:pPr>
        <w:pStyle w:val="Default"/>
        <w:rPr>
          <w:sz w:val="22"/>
          <w:szCs w:val="22"/>
        </w:rPr>
      </w:pPr>
      <w:r>
        <w:rPr>
          <w:sz w:val="22"/>
          <w:szCs w:val="22"/>
        </w:rPr>
        <w:t xml:space="preserve">Лекарят трябва да предпише най-подходящата лекарствена форма и концентрация според теглото и дозата. </w:t>
      </w:r>
    </w:p>
    <w:p w14:paraId="1263DD9B" w14:textId="77777777" w:rsidR="006D116F" w:rsidRDefault="006D116F" w:rsidP="006D116F">
      <w:pPr>
        <w:pStyle w:val="Default"/>
        <w:rPr>
          <w:i/>
          <w:iCs/>
          <w:sz w:val="22"/>
          <w:szCs w:val="22"/>
        </w:rPr>
      </w:pPr>
    </w:p>
    <w:p w14:paraId="1C393DD5" w14:textId="77777777" w:rsidR="006D116F" w:rsidRPr="009932F4" w:rsidRDefault="006D116F" w:rsidP="006D116F">
      <w:pPr>
        <w:pStyle w:val="Default"/>
        <w:rPr>
          <w:sz w:val="22"/>
          <w:szCs w:val="22"/>
          <w:u w:val="single"/>
        </w:rPr>
      </w:pPr>
      <w:r>
        <w:rPr>
          <w:i/>
          <w:iCs/>
          <w:sz w:val="22"/>
          <w:szCs w:val="22"/>
          <w:u w:val="single"/>
        </w:rPr>
        <w:t xml:space="preserve">Юноши и деца с тегло 50 kg или повече </w:t>
      </w:r>
    </w:p>
    <w:p w14:paraId="5B05C289" w14:textId="77777777" w:rsidR="006D116F" w:rsidRDefault="006D116F" w:rsidP="006D116F">
      <w:pPr>
        <w:pStyle w:val="Default"/>
        <w:rPr>
          <w:sz w:val="22"/>
          <w:szCs w:val="22"/>
        </w:rPr>
      </w:pPr>
      <w:r>
        <w:rPr>
          <w:sz w:val="22"/>
          <w:szCs w:val="22"/>
        </w:rPr>
        <w:t xml:space="preserve">Дозировката при юноши и деца с тегло 50 kg или повече е същата като при възрастни (вж. по-горе). </w:t>
      </w:r>
    </w:p>
    <w:p w14:paraId="0704D76B" w14:textId="77777777" w:rsidR="006D116F" w:rsidRDefault="006D116F" w:rsidP="006D116F">
      <w:pPr>
        <w:pStyle w:val="Default"/>
        <w:rPr>
          <w:i/>
          <w:iCs/>
          <w:sz w:val="22"/>
          <w:szCs w:val="22"/>
        </w:rPr>
      </w:pPr>
    </w:p>
    <w:p w14:paraId="5FC8C896" w14:textId="77777777" w:rsidR="006D116F" w:rsidRPr="00EE2CBA" w:rsidRDefault="006D116F" w:rsidP="006D116F">
      <w:pPr>
        <w:pStyle w:val="Default"/>
        <w:rPr>
          <w:sz w:val="22"/>
          <w:szCs w:val="22"/>
          <w:u w:val="single"/>
        </w:rPr>
      </w:pPr>
      <w:r>
        <w:rPr>
          <w:i/>
          <w:iCs/>
          <w:sz w:val="22"/>
          <w:szCs w:val="22"/>
          <w:u w:val="single"/>
        </w:rPr>
        <w:t xml:space="preserve">Деца (на възраст над 4 години) и юноши с тегло по-малко от 50 kg </w:t>
      </w:r>
    </w:p>
    <w:p w14:paraId="34C3FC7B" w14:textId="72511321" w:rsidR="006D116F" w:rsidRDefault="006D116F" w:rsidP="006D116F">
      <w:pPr>
        <w:pStyle w:val="Default"/>
        <w:rPr>
          <w:sz w:val="22"/>
          <w:szCs w:val="22"/>
        </w:rPr>
      </w:pPr>
      <w:r>
        <w:rPr>
          <w:sz w:val="22"/>
          <w:szCs w:val="22"/>
        </w:rPr>
        <w:t xml:space="preserve">Дозата се определя въз основа на телесното тегло. </w:t>
      </w:r>
      <w:r>
        <w:rPr>
          <w:bCs/>
          <w:sz w:val="22"/>
          <w:szCs w:val="22"/>
        </w:rPr>
        <w:t>За дозировки под 50 mg може да се предлага сироп лакозамид.</w:t>
      </w:r>
      <w:r>
        <w:rPr>
          <w:b/>
          <w:bCs/>
          <w:sz w:val="22"/>
          <w:szCs w:val="22"/>
        </w:rPr>
        <w:t xml:space="preserve"> </w:t>
      </w:r>
      <w:r>
        <w:rPr>
          <w:sz w:val="22"/>
          <w:szCs w:val="22"/>
        </w:rPr>
        <w:t xml:space="preserve">Поради това се препоръчва започване на лечението със сироп и преминаване към таблетки по желание. </w:t>
      </w:r>
    </w:p>
    <w:p w14:paraId="5DB9DA4A" w14:textId="77777777" w:rsidR="006D116F" w:rsidRDefault="006D116F" w:rsidP="006D116F">
      <w:pPr>
        <w:pStyle w:val="Default"/>
        <w:rPr>
          <w:i/>
          <w:iCs/>
          <w:sz w:val="22"/>
          <w:szCs w:val="22"/>
        </w:rPr>
      </w:pPr>
    </w:p>
    <w:p w14:paraId="3DF84065" w14:textId="68AA2615" w:rsidR="006D116F" w:rsidRDefault="006D116F" w:rsidP="006D116F">
      <w:pPr>
        <w:pStyle w:val="Default"/>
        <w:rPr>
          <w:sz w:val="22"/>
          <w:szCs w:val="22"/>
        </w:rPr>
      </w:pPr>
      <w:r>
        <w:rPr>
          <w:i/>
          <w:iCs/>
          <w:sz w:val="22"/>
          <w:szCs w:val="22"/>
        </w:rPr>
        <w:t xml:space="preserve">Монотерапия </w:t>
      </w:r>
      <w:r w:rsidR="0058028A">
        <w:rPr>
          <w:i/>
          <w:iCs/>
          <w:sz w:val="22"/>
          <w:szCs w:val="22"/>
        </w:rPr>
        <w:t>(при лечението на парциални пристъпи)</w:t>
      </w:r>
    </w:p>
    <w:p w14:paraId="77CB31AA" w14:textId="77777777" w:rsidR="006D116F" w:rsidRDefault="006D116F" w:rsidP="006D116F">
      <w:pPr>
        <w:pStyle w:val="Default"/>
        <w:rPr>
          <w:sz w:val="22"/>
          <w:szCs w:val="22"/>
        </w:rPr>
      </w:pPr>
      <w:r>
        <w:rPr>
          <w:sz w:val="22"/>
          <w:szCs w:val="22"/>
        </w:rPr>
        <w:t xml:space="preserve">Препоръчителната начална доза е 2 mg/kg/ден и след една седмица тя трябва да се увеличи до първоначална терапевтична доза 4 mg/kg/ден. </w:t>
      </w:r>
    </w:p>
    <w:p w14:paraId="493D31D5" w14:textId="77777777" w:rsidR="006D116F" w:rsidRPr="002543B5" w:rsidRDefault="006D116F" w:rsidP="006D116F">
      <w:pPr>
        <w:tabs>
          <w:tab w:val="clear" w:pos="567"/>
        </w:tabs>
        <w:spacing w:line="240" w:lineRule="auto"/>
        <w:rPr>
          <w:szCs w:val="22"/>
        </w:rPr>
      </w:pPr>
      <w:r>
        <w:t>В зависимост от отговора и поносимостта поддържащата доза може да бъде допълнително увеличавана с 2 mg/kg/ден всяка седмица. Дозата трябва да се увеличава постепенно до достигане на оптимален отговор. При деца с тегло по-малко от 40 kg се препоръчва максимална доза до 12 mg/kg/ден. При деца с тегло от 40 kg до под 50 kg се препоръчва максимална доза 10 mg/kg/ден.</w:t>
      </w:r>
    </w:p>
    <w:p w14:paraId="4BAD8195" w14:textId="77777777" w:rsidR="00104FEC" w:rsidRDefault="00104FEC" w:rsidP="006D116F">
      <w:pPr>
        <w:tabs>
          <w:tab w:val="clear" w:pos="567"/>
        </w:tabs>
        <w:spacing w:line="240" w:lineRule="auto"/>
        <w:rPr>
          <w:szCs w:val="22"/>
        </w:rPr>
      </w:pPr>
    </w:p>
    <w:p w14:paraId="5A511CBA" w14:textId="77777777" w:rsidR="006D116F" w:rsidRDefault="006D116F" w:rsidP="006D116F">
      <w:pPr>
        <w:tabs>
          <w:tab w:val="clear" w:pos="567"/>
        </w:tabs>
        <w:spacing w:line="240" w:lineRule="auto"/>
        <w:rPr>
          <w:szCs w:val="22"/>
        </w:rPr>
      </w:pPr>
      <w:r>
        <w:t>Следващата таблица обобщава препоръчителната дозировка за монотерапия при деца и юноши с тегло по-малко от 50 kg.</w:t>
      </w:r>
    </w:p>
    <w:p w14:paraId="74C7DF1D" w14:textId="77777777" w:rsidR="00104FEC" w:rsidRDefault="00104FEC" w:rsidP="006D116F">
      <w:pPr>
        <w:tabs>
          <w:tab w:val="clear" w:pos="567"/>
        </w:tabs>
        <w:spacing w:line="240" w:lineRule="auto"/>
        <w:rPr>
          <w:szCs w:val="22"/>
        </w:rPr>
      </w:pPr>
    </w:p>
    <w:p w14:paraId="32C749AE" w14:textId="77777777" w:rsidR="006D116F" w:rsidRDefault="006D116F" w:rsidP="006D116F">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6D116F" w:rsidRPr="00182522" w14:paraId="224D1F7A" w14:textId="77777777" w:rsidTr="00104FEC">
        <w:tc>
          <w:tcPr>
            <w:tcW w:w="4643" w:type="dxa"/>
            <w:vMerge w:val="restart"/>
            <w:shd w:val="clear" w:color="auto" w:fill="auto"/>
          </w:tcPr>
          <w:p w14:paraId="226272A7" w14:textId="77777777" w:rsidR="006D116F" w:rsidRPr="00182522" w:rsidRDefault="006D116F" w:rsidP="00104FEC">
            <w:pPr>
              <w:tabs>
                <w:tab w:val="clear" w:pos="567"/>
              </w:tabs>
              <w:spacing w:line="240" w:lineRule="auto"/>
              <w:rPr>
                <w:bCs/>
                <w:iCs/>
                <w:szCs w:val="22"/>
              </w:rPr>
            </w:pPr>
            <w:r>
              <w:t>Начална доза</w:t>
            </w:r>
          </w:p>
          <w:p w14:paraId="35D52D5C" w14:textId="77777777" w:rsidR="006D116F" w:rsidRPr="00182522" w:rsidRDefault="006D116F" w:rsidP="00104FEC">
            <w:pPr>
              <w:spacing w:line="240" w:lineRule="auto"/>
              <w:rPr>
                <w:bCs/>
                <w:iCs/>
                <w:szCs w:val="22"/>
              </w:rPr>
            </w:pPr>
            <w:r>
              <w:t>Единична натоварваща доза</w:t>
            </w:r>
          </w:p>
        </w:tc>
        <w:tc>
          <w:tcPr>
            <w:tcW w:w="4644" w:type="dxa"/>
            <w:shd w:val="clear" w:color="auto" w:fill="auto"/>
          </w:tcPr>
          <w:p w14:paraId="4E3A0135" w14:textId="77777777" w:rsidR="006D116F" w:rsidRPr="00182522" w:rsidRDefault="006D116F" w:rsidP="00104FEC">
            <w:pPr>
              <w:tabs>
                <w:tab w:val="clear" w:pos="567"/>
              </w:tabs>
              <w:spacing w:line="240" w:lineRule="auto"/>
              <w:rPr>
                <w:bCs/>
                <w:iCs/>
                <w:szCs w:val="22"/>
              </w:rPr>
            </w:pPr>
            <w:r>
              <w:t>2 mg/kg/ден</w:t>
            </w:r>
          </w:p>
        </w:tc>
      </w:tr>
      <w:tr w:rsidR="006D116F" w:rsidRPr="00182522" w14:paraId="7981BCBF" w14:textId="77777777" w:rsidTr="00104FEC">
        <w:tc>
          <w:tcPr>
            <w:tcW w:w="4643" w:type="dxa"/>
            <w:vMerge/>
            <w:shd w:val="clear" w:color="auto" w:fill="auto"/>
          </w:tcPr>
          <w:p w14:paraId="03BD6144" w14:textId="77777777" w:rsidR="006D116F" w:rsidRPr="00182522" w:rsidRDefault="006D116F" w:rsidP="00104FEC">
            <w:pPr>
              <w:tabs>
                <w:tab w:val="clear" w:pos="567"/>
              </w:tabs>
              <w:spacing w:line="240" w:lineRule="auto"/>
              <w:rPr>
                <w:bCs/>
                <w:iCs/>
                <w:szCs w:val="22"/>
              </w:rPr>
            </w:pPr>
          </w:p>
        </w:tc>
        <w:tc>
          <w:tcPr>
            <w:tcW w:w="4644" w:type="dxa"/>
            <w:shd w:val="clear" w:color="auto" w:fill="auto"/>
          </w:tcPr>
          <w:p w14:paraId="13492E4B" w14:textId="77777777" w:rsidR="006D116F" w:rsidRPr="00182522" w:rsidRDefault="006D116F" w:rsidP="00104FEC">
            <w:pPr>
              <w:tabs>
                <w:tab w:val="clear" w:pos="567"/>
              </w:tabs>
              <w:spacing w:line="240" w:lineRule="auto"/>
              <w:rPr>
                <w:bCs/>
                <w:iCs/>
                <w:szCs w:val="22"/>
              </w:rPr>
            </w:pPr>
            <w:r>
              <w:t>Не се препоръчва</w:t>
            </w:r>
          </w:p>
        </w:tc>
      </w:tr>
      <w:tr w:rsidR="006D116F" w:rsidRPr="00182522" w14:paraId="601520D4" w14:textId="77777777" w:rsidTr="00104FEC">
        <w:tc>
          <w:tcPr>
            <w:tcW w:w="4643" w:type="dxa"/>
            <w:shd w:val="clear" w:color="auto" w:fill="auto"/>
          </w:tcPr>
          <w:p w14:paraId="0132F2DC" w14:textId="77777777" w:rsidR="006D116F" w:rsidRPr="00182522" w:rsidRDefault="006D116F" w:rsidP="00104FEC">
            <w:pPr>
              <w:tabs>
                <w:tab w:val="clear" w:pos="567"/>
              </w:tabs>
              <w:spacing w:line="240" w:lineRule="auto"/>
              <w:rPr>
                <w:bCs/>
                <w:iCs/>
                <w:szCs w:val="22"/>
              </w:rPr>
            </w:pPr>
            <w:r>
              <w:t>Титриране (нарастващи стъпки)</w:t>
            </w:r>
          </w:p>
        </w:tc>
        <w:tc>
          <w:tcPr>
            <w:tcW w:w="4644" w:type="dxa"/>
            <w:shd w:val="clear" w:color="auto" w:fill="auto"/>
          </w:tcPr>
          <w:p w14:paraId="1A9BA4FC" w14:textId="77777777" w:rsidR="006D116F" w:rsidRPr="00182522" w:rsidRDefault="006D116F" w:rsidP="00104FEC">
            <w:pPr>
              <w:tabs>
                <w:tab w:val="clear" w:pos="567"/>
              </w:tabs>
              <w:spacing w:line="240" w:lineRule="auto"/>
              <w:rPr>
                <w:bCs/>
                <w:iCs/>
                <w:szCs w:val="22"/>
              </w:rPr>
            </w:pPr>
            <w:r>
              <w:t>2 mg/kg/ден всяка седмица</w:t>
            </w:r>
          </w:p>
        </w:tc>
      </w:tr>
      <w:tr w:rsidR="006D116F" w:rsidRPr="00182522" w14:paraId="641E3BDF" w14:textId="77777777" w:rsidTr="00104FEC">
        <w:tc>
          <w:tcPr>
            <w:tcW w:w="4643" w:type="dxa"/>
            <w:shd w:val="clear" w:color="auto" w:fill="auto"/>
          </w:tcPr>
          <w:p w14:paraId="25993CB9" w14:textId="77777777" w:rsidR="006D116F" w:rsidRPr="00182522" w:rsidRDefault="006D116F" w:rsidP="00104FEC">
            <w:pPr>
              <w:tabs>
                <w:tab w:val="clear" w:pos="567"/>
              </w:tabs>
              <w:spacing w:line="240" w:lineRule="auto"/>
              <w:rPr>
                <w:bCs/>
                <w:iCs/>
                <w:szCs w:val="22"/>
              </w:rPr>
            </w:pPr>
            <w:r>
              <w:t>Максимална препоръчителна доза при пациенти &lt;40 kg</w:t>
            </w:r>
          </w:p>
        </w:tc>
        <w:tc>
          <w:tcPr>
            <w:tcW w:w="4644" w:type="dxa"/>
            <w:shd w:val="clear" w:color="auto" w:fill="auto"/>
          </w:tcPr>
          <w:p w14:paraId="02BB3CF5" w14:textId="77777777" w:rsidR="006D116F" w:rsidRPr="00182522" w:rsidRDefault="006D116F" w:rsidP="00104FEC">
            <w:pPr>
              <w:tabs>
                <w:tab w:val="clear" w:pos="567"/>
              </w:tabs>
              <w:spacing w:line="240" w:lineRule="auto"/>
              <w:rPr>
                <w:bCs/>
                <w:iCs/>
                <w:szCs w:val="22"/>
              </w:rPr>
            </w:pPr>
            <w:r>
              <w:t>до 12 mg/kg/ден</w:t>
            </w:r>
          </w:p>
        </w:tc>
      </w:tr>
      <w:tr w:rsidR="006D116F" w:rsidRPr="00182522" w14:paraId="019E6AE7" w14:textId="77777777" w:rsidTr="00104FEC">
        <w:tc>
          <w:tcPr>
            <w:tcW w:w="4643" w:type="dxa"/>
            <w:shd w:val="clear" w:color="auto" w:fill="auto"/>
          </w:tcPr>
          <w:p w14:paraId="76EBD50B" w14:textId="77777777" w:rsidR="006D116F" w:rsidRPr="00182522" w:rsidRDefault="006D116F" w:rsidP="00104FEC">
            <w:pPr>
              <w:tabs>
                <w:tab w:val="clear" w:pos="567"/>
              </w:tabs>
              <w:spacing w:line="240" w:lineRule="auto"/>
              <w:rPr>
                <w:bCs/>
                <w:iCs/>
                <w:szCs w:val="22"/>
              </w:rPr>
            </w:pPr>
            <w:r>
              <w:t>Максимална препоръчителна доза при пациенти ≥40 kg до &lt;50 kg</w:t>
            </w:r>
          </w:p>
        </w:tc>
        <w:tc>
          <w:tcPr>
            <w:tcW w:w="4644" w:type="dxa"/>
            <w:shd w:val="clear" w:color="auto" w:fill="auto"/>
          </w:tcPr>
          <w:p w14:paraId="50590194" w14:textId="77777777" w:rsidR="006D116F" w:rsidRPr="00182522" w:rsidRDefault="006D116F" w:rsidP="00104FEC">
            <w:pPr>
              <w:tabs>
                <w:tab w:val="clear" w:pos="567"/>
              </w:tabs>
              <w:spacing w:line="240" w:lineRule="auto"/>
              <w:rPr>
                <w:bCs/>
                <w:iCs/>
                <w:szCs w:val="22"/>
              </w:rPr>
            </w:pPr>
            <w:r>
              <w:t>до 10 mg/kg/ден</w:t>
            </w:r>
          </w:p>
        </w:tc>
      </w:tr>
    </w:tbl>
    <w:p w14:paraId="3577D51E" w14:textId="77777777" w:rsidR="006D116F" w:rsidRPr="00377581" w:rsidRDefault="006D116F" w:rsidP="006D116F">
      <w:pPr>
        <w:tabs>
          <w:tab w:val="clear" w:pos="567"/>
        </w:tabs>
        <w:spacing w:line="240" w:lineRule="auto"/>
        <w:rPr>
          <w:bCs/>
          <w:iCs/>
          <w:szCs w:val="22"/>
        </w:rPr>
      </w:pPr>
    </w:p>
    <w:p w14:paraId="5137B864" w14:textId="4F2EE992" w:rsidR="006D116F" w:rsidRPr="0051547D" w:rsidRDefault="006D116F" w:rsidP="006D116F">
      <w:pPr>
        <w:tabs>
          <w:tab w:val="clear" w:pos="567"/>
        </w:tabs>
        <w:spacing w:line="240" w:lineRule="auto"/>
        <w:rPr>
          <w:bCs/>
          <w:i/>
          <w:iCs/>
          <w:szCs w:val="22"/>
        </w:rPr>
      </w:pPr>
      <w:r>
        <w:rPr>
          <w:bCs/>
          <w:i/>
          <w:iCs/>
          <w:szCs w:val="22"/>
        </w:rPr>
        <w:t>Допълваща терапия</w:t>
      </w:r>
      <w:r w:rsidR="00A035A2">
        <w:rPr>
          <w:bCs/>
          <w:i/>
          <w:iCs/>
          <w:szCs w:val="22"/>
        </w:rPr>
        <w:t xml:space="preserve"> </w:t>
      </w:r>
      <w:r w:rsidR="00A035A2">
        <w:rPr>
          <w:i/>
          <w:iCs/>
          <w:szCs w:val="22"/>
        </w:rPr>
        <w:t>(при лечението на парциални пристъпи или при лечението на първично генерализирани тонично-клонични пристъпи)</w:t>
      </w:r>
    </w:p>
    <w:p w14:paraId="61A9A71F" w14:textId="77777777" w:rsidR="006D116F" w:rsidRPr="0051547D" w:rsidRDefault="006D116F" w:rsidP="006D116F">
      <w:pPr>
        <w:tabs>
          <w:tab w:val="clear" w:pos="567"/>
        </w:tabs>
        <w:spacing w:line="240" w:lineRule="auto"/>
        <w:rPr>
          <w:bCs/>
          <w:iCs/>
          <w:szCs w:val="22"/>
        </w:rPr>
      </w:pPr>
      <w:r>
        <w:t>Препоръчителната начална доза е 2 mg/kg/ден и след една седмица тя трябва да се увеличи до първоначална терапевтична доза 4 mg/kg/ден.</w:t>
      </w:r>
    </w:p>
    <w:p w14:paraId="447D4573" w14:textId="77777777" w:rsidR="006D116F" w:rsidRDefault="006D116F" w:rsidP="006D116F">
      <w:pPr>
        <w:tabs>
          <w:tab w:val="clear" w:pos="567"/>
        </w:tabs>
        <w:spacing w:line="240" w:lineRule="auto"/>
        <w:rPr>
          <w:bCs/>
          <w:iCs/>
          <w:szCs w:val="22"/>
        </w:rPr>
      </w:pPr>
      <w:r>
        <w:t>В зависимост от отговора и поносимостта поддържащата доза може да бъде допълнително увеличавана с 2 mg/kg/ден всяка седмица. Дозата трябва да се коригира постепенно до достигане на оптимален отговор. При деца с тегло по-малко от 20 kg, поради увеличен клирънс в сравнение с възрастните, се препоръчва максимална доза 12 mg/kg/ден. При деца с тегло от 20 kg до 30 kg се препоръчва максимална доза 10 mg/kg/ден и при деца с тегло от 30 kg до под 50 kg се препоръчва максимална доза 8 mg/kg/ден, въпреки че в отворени проучвания (вж. точки 4.8 и 5.2) при малък брой от тези деца е използвана доза до 12 mg/kg/ден.</w:t>
      </w:r>
    </w:p>
    <w:p w14:paraId="14DE29EB" w14:textId="77777777" w:rsidR="006D116F" w:rsidRDefault="006D116F" w:rsidP="006D116F">
      <w:pPr>
        <w:tabs>
          <w:tab w:val="clear" w:pos="567"/>
        </w:tabs>
        <w:spacing w:line="240" w:lineRule="auto"/>
        <w:rPr>
          <w:bCs/>
          <w:iCs/>
          <w:szCs w:val="22"/>
        </w:rPr>
      </w:pPr>
    </w:p>
    <w:p w14:paraId="29FAC762" w14:textId="77777777" w:rsidR="006D116F" w:rsidRDefault="006D116F" w:rsidP="006D116F">
      <w:pPr>
        <w:tabs>
          <w:tab w:val="clear" w:pos="567"/>
        </w:tabs>
        <w:spacing w:line="240" w:lineRule="auto"/>
        <w:rPr>
          <w:bCs/>
          <w:iCs/>
          <w:szCs w:val="22"/>
        </w:rPr>
      </w:pPr>
      <w:r>
        <w:t>Следващата таблица обобщава препоръчителната дозировка при допълваща терапия за деца и юноши с тегло по-малко от 50 kg.</w:t>
      </w:r>
    </w:p>
    <w:p w14:paraId="14BFB81F" w14:textId="77777777" w:rsidR="006D116F" w:rsidRDefault="006D116F" w:rsidP="006D116F">
      <w:pPr>
        <w:tabs>
          <w:tab w:val="clear" w:pos="567"/>
        </w:tabs>
        <w:spacing w:line="240" w:lineRule="auto"/>
        <w:rPr>
          <w:bCs/>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6D116F" w:rsidRPr="00182522" w14:paraId="548C3478" w14:textId="77777777" w:rsidTr="00104FEC">
        <w:tc>
          <w:tcPr>
            <w:tcW w:w="4643" w:type="dxa"/>
            <w:vMerge w:val="restart"/>
            <w:shd w:val="clear" w:color="auto" w:fill="auto"/>
          </w:tcPr>
          <w:p w14:paraId="1A07359C" w14:textId="77777777" w:rsidR="006D116F" w:rsidRPr="00182522" w:rsidRDefault="006D116F" w:rsidP="00104FEC">
            <w:pPr>
              <w:tabs>
                <w:tab w:val="clear" w:pos="567"/>
              </w:tabs>
              <w:spacing w:line="240" w:lineRule="auto"/>
              <w:rPr>
                <w:bCs/>
                <w:iCs/>
                <w:szCs w:val="22"/>
              </w:rPr>
            </w:pPr>
            <w:r>
              <w:t>Начална доза</w:t>
            </w:r>
          </w:p>
          <w:p w14:paraId="21A06BEE" w14:textId="77777777" w:rsidR="006D116F" w:rsidRPr="00182522" w:rsidRDefault="006D116F" w:rsidP="00104FEC">
            <w:pPr>
              <w:spacing w:line="240" w:lineRule="auto"/>
              <w:rPr>
                <w:bCs/>
                <w:iCs/>
                <w:szCs w:val="22"/>
              </w:rPr>
            </w:pPr>
            <w:r>
              <w:t>Единична натоварваща доза</w:t>
            </w:r>
          </w:p>
        </w:tc>
        <w:tc>
          <w:tcPr>
            <w:tcW w:w="4644" w:type="dxa"/>
            <w:shd w:val="clear" w:color="auto" w:fill="auto"/>
          </w:tcPr>
          <w:p w14:paraId="22593D2A" w14:textId="77777777" w:rsidR="006D116F" w:rsidRPr="00182522" w:rsidRDefault="006D116F" w:rsidP="00104FEC">
            <w:pPr>
              <w:tabs>
                <w:tab w:val="clear" w:pos="567"/>
              </w:tabs>
              <w:spacing w:line="240" w:lineRule="auto"/>
              <w:rPr>
                <w:bCs/>
                <w:iCs/>
                <w:szCs w:val="22"/>
              </w:rPr>
            </w:pPr>
            <w:r>
              <w:t>2 mg/kg/ден</w:t>
            </w:r>
          </w:p>
        </w:tc>
      </w:tr>
      <w:tr w:rsidR="006D116F" w:rsidRPr="00182522" w14:paraId="3C9624BE" w14:textId="77777777" w:rsidTr="00104FEC">
        <w:tc>
          <w:tcPr>
            <w:tcW w:w="4643" w:type="dxa"/>
            <w:vMerge/>
            <w:shd w:val="clear" w:color="auto" w:fill="auto"/>
          </w:tcPr>
          <w:p w14:paraId="21C5D2FC" w14:textId="77777777" w:rsidR="006D116F" w:rsidRPr="00182522" w:rsidRDefault="006D116F" w:rsidP="00104FEC">
            <w:pPr>
              <w:tabs>
                <w:tab w:val="clear" w:pos="567"/>
              </w:tabs>
              <w:spacing w:line="240" w:lineRule="auto"/>
              <w:rPr>
                <w:bCs/>
                <w:iCs/>
                <w:szCs w:val="22"/>
              </w:rPr>
            </w:pPr>
          </w:p>
        </w:tc>
        <w:tc>
          <w:tcPr>
            <w:tcW w:w="4644" w:type="dxa"/>
            <w:shd w:val="clear" w:color="auto" w:fill="auto"/>
          </w:tcPr>
          <w:p w14:paraId="3D3BDCE5" w14:textId="77777777" w:rsidR="006D116F" w:rsidRPr="00182522" w:rsidRDefault="006D116F" w:rsidP="00104FEC">
            <w:pPr>
              <w:tabs>
                <w:tab w:val="clear" w:pos="567"/>
              </w:tabs>
              <w:spacing w:line="240" w:lineRule="auto"/>
              <w:rPr>
                <w:bCs/>
                <w:iCs/>
                <w:szCs w:val="22"/>
              </w:rPr>
            </w:pPr>
            <w:r>
              <w:t>Не се препоръчва</w:t>
            </w:r>
          </w:p>
        </w:tc>
      </w:tr>
      <w:tr w:rsidR="006D116F" w:rsidRPr="00182522" w14:paraId="7E3F43DC" w14:textId="77777777" w:rsidTr="00104FEC">
        <w:tc>
          <w:tcPr>
            <w:tcW w:w="4643" w:type="dxa"/>
            <w:shd w:val="clear" w:color="auto" w:fill="auto"/>
          </w:tcPr>
          <w:p w14:paraId="670C67E9" w14:textId="77777777" w:rsidR="006D116F" w:rsidRPr="00182522" w:rsidRDefault="006D116F" w:rsidP="00104FEC">
            <w:pPr>
              <w:tabs>
                <w:tab w:val="clear" w:pos="567"/>
              </w:tabs>
              <w:spacing w:line="240" w:lineRule="auto"/>
              <w:rPr>
                <w:bCs/>
                <w:iCs/>
                <w:szCs w:val="22"/>
              </w:rPr>
            </w:pPr>
            <w:r>
              <w:t>Титриране (нарастващи стъпки)</w:t>
            </w:r>
          </w:p>
        </w:tc>
        <w:tc>
          <w:tcPr>
            <w:tcW w:w="4644" w:type="dxa"/>
            <w:shd w:val="clear" w:color="auto" w:fill="auto"/>
          </w:tcPr>
          <w:p w14:paraId="61FB3C25" w14:textId="77777777" w:rsidR="006D116F" w:rsidRPr="00182522" w:rsidRDefault="006D116F" w:rsidP="00104FEC">
            <w:pPr>
              <w:tabs>
                <w:tab w:val="clear" w:pos="567"/>
              </w:tabs>
              <w:spacing w:line="240" w:lineRule="auto"/>
              <w:rPr>
                <w:bCs/>
                <w:iCs/>
                <w:szCs w:val="22"/>
              </w:rPr>
            </w:pPr>
            <w:r>
              <w:t>2 mg/kg/ден всяка седмица</w:t>
            </w:r>
          </w:p>
        </w:tc>
      </w:tr>
      <w:tr w:rsidR="006D116F" w:rsidRPr="00182522" w14:paraId="5C34E408" w14:textId="77777777" w:rsidTr="00104FEC">
        <w:tc>
          <w:tcPr>
            <w:tcW w:w="4643" w:type="dxa"/>
            <w:shd w:val="clear" w:color="auto" w:fill="auto"/>
          </w:tcPr>
          <w:p w14:paraId="5C1B48C1" w14:textId="77777777" w:rsidR="006D116F" w:rsidRPr="00182522" w:rsidRDefault="006D116F" w:rsidP="00104FEC">
            <w:pPr>
              <w:tabs>
                <w:tab w:val="clear" w:pos="567"/>
              </w:tabs>
              <w:spacing w:line="240" w:lineRule="auto"/>
              <w:rPr>
                <w:bCs/>
                <w:iCs/>
                <w:szCs w:val="22"/>
              </w:rPr>
            </w:pPr>
            <w:r>
              <w:t>Максимална препоръчителна доза при пациенти &lt;20 kg</w:t>
            </w:r>
          </w:p>
        </w:tc>
        <w:tc>
          <w:tcPr>
            <w:tcW w:w="4644" w:type="dxa"/>
            <w:shd w:val="clear" w:color="auto" w:fill="auto"/>
          </w:tcPr>
          <w:p w14:paraId="1DC2FB71" w14:textId="77777777" w:rsidR="006D116F" w:rsidRPr="00182522" w:rsidRDefault="006D116F" w:rsidP="00104FEC">
            <w:pPr>
              <w:tabs>
                <w:tab w:val="clear" w:pos="567"/>
              </w:tabs>
              <w:spacing w:line="240" w:lineRule="auto"/>
              <w:rPr>
                <w:bCs/>
                <w:iCs/>
                <w:szCs w:val="22"/>
              </w:rPr>
            </w:pPr>
            <w:r>
              <w:t>до 12 mg/kg/ден</w:t>
            </w:r>
          </w:p>
        </w:tc>
      </w:tr>
      <w:tr w:rsidR="006D116F" w:rsidRPr="00182522" w14:paraId="1BCD2D53" w14:textId="77777777" w:rsidTr="00104FEC">
        <w:tc>
          <w:tcPr>
            <w:tcW w:w="4643" w:type="dxa"/>
            <w:shd w:val="clear" w:color="auto" w:fill="auto"/>
          </w:tcPr>
          <w:p w14:paraId="741CF9C5" w14:textId="77777777" w:rsidR="006D116F" w:rsidRPr="00182522" w:rsidRDefault="006D116F" w:rsidP="00104FEC">
            <w:pPr>
              <w:tabs>
                <w:tab w:val="clear" w:pos="567"/>
              </w:tabs>
              <w:spacing w:line="240" w:lineRule="auto"/>
              <w:rPr>
                <w:bCs/>
                <w:iCs/>
                <w:szCs w:val="22"/>
              </w:rPr>
            </w:pPr>
            <w:r>
              <w:t>Максимална препоръчителна доза при пациенти ≥20 kg до &lt;30 kg</w:t>
            </w:r>
          </w:p>
        </w:tc>
        <w:tc>
          <w:tcPr>
            <w:tcW w:w="4644" w:type="dxa"/>
            <w:shd w:val="clear" w:color="auto" w:fill="auto"/>
          </w:tcPr>
          <w:p w14:paraId="16A6E5DE" w14:textId="77777777" w:rsidR="006D116F" w:rsidRPr="00182522" w:rsidRDefault="006D116F" w:rsidP="00104FEC">
            <w:pPr>
              <w:tabs>
                <w:tab w:val="clear" w:pos="567"/>
              </w:tabs>
              <w:spacing w:line="240" w:lineRule="auto"/>
              <w:rPr>
                <w:bCs/>
                <w:iCs/>
                <w:szCs w:val="22"/>
              </w:rPr>
            </w:pPr>
            <w:r>
              <w:t>до 10 mg/kg/ден</w:t>
            </w:r>
          </w:p>
        </w:tc>
      </w:tr>
      <w:tr w:rsidR="006D116F" w:rsidRPr="00182522" w14:paraId="47619494" w14:textId="77777777" w:rsidTr="00104FEC">
        <w:tc>
          <w:tcPr>
            <w:tcW w:w="4643" w:type="dxa"/>
            <w:shd w:val="clear" w:color="auto" w:fill="auto"/>
          </w:tcPr>
          <w:p w14:paraId="29507B0E" w14:textId="77777777" w:rsidR="006D116F" w:rsidRPr="00182522" w:rsidRDefault="006D116F" w:rsidP="00104FEC">
            <w:pPr>
              <w:tabs>
                <w:tab w:val="clear" w:pos="567"/>
              </w:tabs>
              <w:spacing w:line="240" w:lineRule="auto"/>
              <w:rPr>
                <w:bCs/>
                <w:iCs/>
                <w:szCs w:val="22"/>
              </w:rPr>
            </w:pPr>
            <w:r>
              <w:t>Максимална препоръчителна доза при пациенти ≥30 kg до &lt;50 kg</w:t>
            </w:r>
          </w:p>
        </w:tc>
        <w:tc>
          <w:tcPr>
            <w:tcW w:w="4644" w:type="dxa"/>
            <w:shd w:val="clear" w:color="auto" w:fill="auto"/>
          </w:tcPr>
          <w:p w14:paraId="0F8DA0E1" w14:textId="77777777" w:rsidR="006D116F" w:rsidRPr="00182522" w:rsidRDefault="006D116F" w:rsidP="00104FEC">
            <w:pPr>
              <w:tabs>
                <w:tab w:val="clear" w:pos="567"/>
              </w:tabs>
              <w:spacing w:line="240" w:lineRule="auto"/>
              <w:rPr>
                <w:bCs/>
                <w:iCs/>
                <w:szCs w:val="22"/>
              </w:rPr>
            </w:pPr>
            <w:r>
              <w:t>до 8 mg/kg/ден</w:t>
            </w:r>
          </w:p>
        </w:tc>
      </w:tr>
    </w:tbl>
    <w:p w14:paraId="058DDE7E" w14:textId="77777777" w:rsidR="006D116F" w:rsidRDefault="006D116F" w:rsidP="006D116F">
      <w:pPr>
        <w:tabs>
          <w:tab w:val="clear" w:pos="567"/>
        </w:tabs>
        <w:spacing w:line="240" w:lineRule="auto"/>
        <w:rPr>
          <w:bCs/>
          <w:iCs/>
          <w:szCs w:val="22"/>
        </w:rPr>
      </w:pPr>
    </w:p>
    <w:p w14:paraId="2E9D2A64" w14:textId="77777777" w:rsidR="006D116F" w:rsidRDefault="006D116F" w:rsidP="006D116F">
      <w:pPr>
        <w:pStyle w:val="Default"/>
        <w:rPr>
          <w:sz w:val="22"/>
          <w:szCs w:val="22"/>
        </w:rPr>
      </w:pPr>
      <w:r>
        <w:rPr>
          <w:i/>
          <w:iCs/>
          <w:sz w:val="22"/>
          <w:szCs w:val="22"/>
        </w:rPr>
        <w:t xml:space="preserve">Натоварваща доза </w:t>
      </w:r>
    </w:p>
    <w:p w14:paraId="5E701505" w14:textId="77777777" w:rsidR="006D116F" w:rsidRDefault="006D116F" w:rsidP="006D116F">
      <w:pPr>
        <w:pStyle w:val="Default"/>
        <w:rPr>
          <w:sz w:val="22"/>
          <w:szCs w:val="22"/>
        </w:rPr>
      </w:pPr>
      <w:r>
        <w:rPr>
          <w:sz w:val="22"/>
          <w:szCs w:val="22"/>
        </w:rPr>
        <w:t xml:space="preserve">Прилагането на натоварваща доза не е проучено при деца. Използването на натоварваща доза не се препоръчва при юноши и деца с тегло по-малко от 50 kg. </w:t>
      </w:r>
    </w:p>
    <w:p w14:paraId="0CE340BA" w14:textId="77777777" w:rsidR="006D116F" w:rsidRDefault="006D116F" w:rsidP="006D116F">
      <w:pPr>
        <w:pStyle w:val="Default"/>
        <w:rPr>
          <w:i/>
          <w:iCs/>
          <w:sz w:val="22"/>
          <w:szCs w:val="22"/>
        </w:rPr>
      </w:pPr>
    </w:p>
    <w:p w14:paraId="0536E63B" w14:textId="77777777" w:rsidR="006D116F" w:rsidRPr="006B7911" w:rsidRDefault="006D116F" w:rsidP="006D116F">
      <w:pPr>
        <w:pStyle w:val="Default"/>
        <w:rPr>
          <w:sz w:val="22"/>
          <w:szCs w:val="22"/>
          <w:u w:val="single"/>
        </w:rPr>
      </w:pPr>
      <w:r>
        <w:rPr>
          <w:i/>
          <w:iCs/>
          <w:sz w:val="22"/>
          <w:szCs w:val="22"/>
          <w:u w:val="single"/>
        </w:rPr>
        <w:t xml:space="preserve">Деца на възраст под 4 години </w:t>
      </w:r>
    </w:p>
    <w:p w14:paraId="262B23ED" w14:textId="77777777" w:rsidR="006D116F" w:rsidRDefault="006D116F" w:rsidP="006D116F">
      <w:pPr>
        <w:pStyle w:val="Default"/>
        <w:rPr>
          <w:sz w:val="22"/>
          <w:szCs w:val="22"/>
        </w:rPr>
      </w:pPr>
      <w:r>
        <w:rPr>
          <w:sz w:val="22"/>
          <w:szCs w:val="22"/>
        </w:rPr>
        <w:t xml:space="preserve">Безопасността и ефикасността на лакозамид при деца на възраст под 4 години все още не са установени. Липсват данни. </w:t>
      </w:r>
    </w:p>
    <w:p w14:paraId="600E014E" w14:textId="77777777" w:rsidR="006D116F" w:rsidRDefault="006D116F" w:rsidP="006D116F">
      <w:pPr>
        <w:pStyle w:val="Default"/>
        <w:rPr>
          <w:sz w:val="22"/>
          <w:szCs w:val="22"/>
        </w:rPr>
      </w:pPr>
    </w:p>
    <w:p w14:paraId="1454EEBF" w14:textId="77777777" w:rsidR="006D116F" w:rsidRPr="006B7911" w:rsidRDefault="006D116F" w:rsidP="006D116F">
      <w:pPr>
        <w:pStyle w:val="Default"/>
        <w:rPr>
          <w:sz w:val="22"/>
          <w:szCs w:val="22"/>
          <w:u w:val="single"/>
        </w:rPr>
      </w:pPr>
      <w:r>
        <w:rPr>
          <w:sz w:val="22"/>
          <w:szCs w:val="22"/>
          <w:u w:val="single"/>
        </w:rPr>
        <w:t xml:space="preserve">Начин на приложение </w:t>
      </w:r>
    </w:p>
    <w:p w14:paraId="1957CDF6" w14:textId="77777777" w:rsidR="006D116F" w:rsidRDefault="006D116F" w:rsidP="006D116F">
      <w:pPr>
        <w:tabs>
          <w:tab w:val="clear" w:pos="567"/>
        </w:tabs>
        <w:spacing w:line="240" w:lineRule="auto"/>
        <w:rPr>
          <w:bCs/>
          <w:iCs/>
          <w:szCs w:val="22"/>
        </w:rPr>
      </w:pPr>
      <w:r>
        <w:t>Лакозамид филмирани таблетки са за перорално приложение. Лакозамид може да се приема със или без храна.</w:t>
      </w:r>
    </w:p>
    <w:p w14:paraId="58850F29" w14:textId="77777777" w:rsidR="006D116F" w:rsidRDefault="006D116F" w:rsidP="006D116F">
      <w:pPr>
        <w:spacing w:line="240" w:lineRule="auto"/>
      </w:pPr>
    </w:p>
    <w:p w14:paraId="03A38BF6" w14:textId="77777777" w:rsidR="00AD6E62" w:rsidRDefault="00AD6E62" w:rsidP="006D116F">
      <w:pPr>
        <w:spacing w:line="240" w:lineRule="auto"/>
      </w:pPr>
    </w:p>
    <w:p w14:paraId="343D1DB5" w14:textId="77777777" w:rsidR="006D116F" w:rsidRDefault="006D116F" w:rsidP="006D116F">
      <w:pPr>
        <w:spacing w:line="240" w:lineRule="auto"/>
        <w:ind w:left="567" w:hanging="567"/>
      </w:pPr>
      <w:r>
        <w:rPr>
          <w:b/>
        </w:rPr>
        <w:t>4.3</w:t>
      </w:r>
      <w:r>
        <w:rPr>
          <w:b/>
        </w:rPr>
        <w:tab/>
        <w:t>Противопоказания</w:t>
      </w:r>
    </w:p>
    <w:p w14:paraId="27A96B38" w14:textId="77777777" w:rsidR="006D116F" w:rsidRDefault="006D116F" w:rsidP="006D116F">
      <w:pPr>
        <w:spacing w:line="240" w:lineRule="auto"/>
      </w:pPr>
    </w:p>
    <w:p w14:paraId="2982FB3E" w14:textId="77777777" w:rsidR="006D116F" w:rsidRDefault="006D116F" w:rsidP="006D116F">
      <w:pPr>
        <w:spacing w:line="240" w:lineRule="auto"/>
      </w:pPr>
      <w:r>
        <w:t>Свръхчувствителност към активното вещество или към някое от помощните вещества, изброени в точка 6.1.</w:t>
      </w:r>
    </w:p>
    <w:p w14:paraId="20ED4055" w14:textId="1CF63369" w:rsidR="006D116F" w:rsidRDefault="006D116F" w:rsidP="006D116F">
      <w:pPr>
        <w:spacing w:line="240" w:lineRule="auto"/>
      </w:pPr>
      <w:r>
        <w:t>Данни за втора или трета степен на атриовентрикуларен (А</w:t>
      </w:r>
      <w:r w:rsidR="0050116D">
        <w:rPr>
          <w:lang w:val="en-US"/>
        </w:rPr>
        <w:t>V</w:t>
      </w:r>
      <w:r>
        <w:t>) блок.</w:t>
      </w:r>
    </w:p>
    <w:p w14:paraId="48C9C94E" w14:textId="77777777" w:rsidR="006D116F" w:rsidRDefault="006D116F" w:rsidP="006D116F">
      <w:pPr>
        <w:spacing w:line="240" w:lineRule="auto"/>
      </w:pPr>
    </w:p>
    <w:p w14:paraId="003C99AB" w14:textId="77777777" w:rsidR="00B36189" w:rsidRDefault="00B36189" w:rsidP="00B36189">
      <w:pPr>
        <w:spacing w:line="240" w:lineRule="auto"/>
      </w:pPr>
    </w:p>
    <w:p w14:paraId="2FDFF0EA" w14:textId="77777777" w:rsidR="006D116F" w:rsidRDefault="006D116F" w:rsidP="00B36189">
      <w:pPr>
        <w:spacing w:line="240" w:lineRule="auto"/>
        <w:rPr>
          <w:b/>
        </w:rPr>
      </w:pPr>
      <w:r>
        <w:rPr>
          <w:b/>
        </w:rPr>
        <w:t>4.4</w:t>
      </w:r>
      <w:r>
        <w:rPr>
          <w:b/>
        </w:rPr>
        <w:tab/>
        <w:t>Специални предупреждения и предпазни мерки при употреба</w:t>
      </w:r>
    </w:p>
    <w:p w14:paraId="3D2A18E7" w14:textId="77777777" w:rsidR="006D116F" w:rsidRDefault="006D116F" w:rsidP="006D116F">
      <w:pPr>
        <w:spacing w:line="240" w:lineRule="auto"/>
        <w:ind w:left="567" w:hanging="567"/>
        <w:rPr>
          <w:b/>
        </w:rPr>
      </w:pPr>
    </w:p>
    <w:p w14:paraId="130A1A41" w14:textId="77777777" w:rsidR="006D116F" w:rsidRDefault="006D116F" w:rsidP="006D116F">
      <w:pPr>
        <w:pStyle w:val="Default"/>
        <w:rPr>
          <w:sz w:val="22"/>
          <w:szCs w:val="22"/>
          <w:u w:val="single"/>
        </w:rPr>
      </w:pPr>
      <w:r>
        <w:rPr>
          <w:sz w:val="22"/>
          <w:szCs w:val="22"/>
          <w:u w:val="single"/>
        </w:rPr>
        <w:t xml:space="preserve">Суицидна идеация и поведение </w:t>
      </w:r>
    </w:p>
    <w:p w14:paraId="059DFC45" w14:textId="77777777" w:rsidR="006D116F" w:rsidRPr="007F76F6" w:rsidRDefault="006D116F" w:rsidP="006D116F">
      <w:pPr>
        <w:pStyle w:val="Default"/>
        <w:rPr>
          <w:sz w:val="22"/>
          <w:szCs w:val="22"/>
          <w:u w:val="single"/>
        </w:rPr>
      </w:pPr>
    </w:p>
    <w:p w14:paraId="18E38F94" w14:textId="206F5DF4" w:rsidR="006D116F" w:rsidRDefault="006D116F" w:rsidP="006D116F">
      <w:pPr>
        <w:pStyle w:val="Default"/>
        <w:rPr>
          <w:sz w:val="22"/>
          <w:szCs w:val="22"/>
        </w:rPr>
      </w:pPr>
      <w:r>
        <w:rPr>
          <w:sz w:val="22"/>
          <w:szCs w:val="22"/>
        </w:rPr>
        <w:t>Суицидна идеация и поведение са съобщавани при пациенти, лекувани с антиепилептични лекарствени продукти п</w:t>
      </w:r>
      <w:r w:rsidR="0050116D">
        <w:rPr>
          <w:sz w:val="22"/>
          <w:szCs w:val="22"/>
        </w:rPr>
        <w:t>ри</w:t>
      </w:r>
      <w:r>
        <w:rPr>
          <w:sz w:val="22"/>
          <w:szCs w:val="22"/>
        </w:rPr>
        <w:t xml:space="preserve"> различни показания. Метаанализ на рандомизирани, плацебо контролирани </w:t>
      </w:r>
      <w:r w:rsidR="00A035A2">
        <w:rPr>
          <w:sz w:val="22"/>
          <w:szCs w:val="22"/>
        </w:rPr>
        <w:t xml:space="preserve">проучвания </w:t>
      </w:r>
      <w:r>
        <w:rPr>
          <w:sz w:val="22"/>
          <w:szCs w:val="22"/>
        </w:rPr>
        <w:t xml:space="preserve">на антиепилептични лекарствени продукти също показва </w:t>
      </w:r>
      <w:r w:rsidR="0050116D">
        <w:rPr>
          <w:sz w:val="22"/>
          <w:szCs w:val="22"/>
        </w:rPr>
        <w:t xml:space="preserve">леко </w:t>
      </w:r>
      <w:r>
        <w:rPr>
          <w:sz w:val="22"/>
          <w:szCs w:val="22"/>
        </w:rPr>
        <w:t xml:space="preserve">повишен риск от суицидна идеация и поведение. Механизмът на този риск не е </w:t>
      </w:r>
      <w:r w:rsidR="0050116D">
        <w:rPr>
          <w:sz w:val="22"/>
          <w:szCs w:val="22"/>
        </w:rPr>
        <w:t>известен</w:t>
      </w:r>
      <w:r>
        <w:rPr>
          <w:sz w:val="22"/>
          <w:szCs w:val="22"/>
        </w:rPr>
        <w:t xml:space="preserve"> и наличните данни не изключват възможността за повишен риск при лакозамид. </w:t>
      </w:r>
    </w:p>
    <w:p w14:paraId="6D07D031" w14:textId="7AD280C5" w:rsidR="006D116F" w:rsidRDefault="0050116D" w:rsidP="006D116F">
      <w:pPr>
        <w:pStyle w:val="Default"/>
        <w:rPr>
          <w:sz w:val="22"/>
          <w:szCs w:val="22"/>
        </w:rPr>
      </w:pPr>
      <w:r>
        <w:rPr>
          <w:sz w:val="22"/>
          <w:szCs w:val="22"/>
        </w:rPr>
        <w:t xml:space="preserve">Поради </w:t>
      </w:r>
      <w:r w:rsidR="006D116F">
        <w:rPr>
          <w:sz w:val="22"/>
          <w:szCs w:val="22"/>
        </w:rPr>
        <w:t xml:space="preserve">това пациентите трябва да бъдат проследявани за признаци на суицидна идеация и поведение и трябва да се предприеме съответното лечение. Пациентите (и хората, които се грижат за тях) трябва да бъдат </w:t>
      </w:r>
      <w:r>
        <w:rPr>
          <w:sz w:val="22"/>
          <w:szCs w:val="22"/>
        </w:rPr>
        <w:t>по</w:t>
      </w:r>
      <w:r w:rsidR="006D116F">
        <w:rPr>
          <w:sz w:val="22"/>
          <w:szCs w:val="22"/>
        </w:rPr>
        <w:t xml:space="preserve">съветвани да потърсят медицинска помощ, в случай че се появят признаци на суицидна идеация или поведение (вж. точка 4.8). </w:t>
      </w:r>
    </w:p>
    <w:p w14:paraId="3A25E5DD" w14:textId="77777777" w:rsidR="00B36189" w:rsidRDefault="00B36189" w:rsidP="006D116F">
      <w:pPr>
        <w:pStyle w:val="Default"/>
        <w:rPr>
          <w:sz w:val="22"/>
          <w:szCs w:val="22"/>
          <w:u w:val="single"/>
        </w:rPr>
      </w:pPr>
    </w:p>
    <w:p w14:paraId="5AF01963" w14:textId="77777777" w:rsidR="006D116F" w:rsidRDefault="006D116F" w:rsidP="006D116F">
      <w:pPr>
        <w:pStyle w:val="Default"/>
        <w:rPr>
          <w:sz w:val="22"/>
          <w:szCs w:val="22"/>
          <w:u w:val="single"/>
        </w:rPr>
      </w:pPr>
      <w:r>
        <w:rPr>
          <w:sz w:val="22"/>
          <w:szCs w:val="22"/>
          <w:u w:val="single"/>
        </w:rPr>
        <w:t xml:space="preserve">Сърдечен ритъм и проводимост </w:t>
      </w:r>
    </w:p>
    <w:p w14:paraId="480ADD75" w14:textId="0FFC83B9" w:rsidR="006D116F" w:rsidRPr="00815027" w:rsidRDefault="006D116F" w:rsidP="006D116F">
      <w:pPr>
        <w:pStyle w:val="Default"/>
        <w:rPr>
          <w:sz w:val="22"/>
          <w:szCs w:val="22"/>
        </w:rPr>
      </w:pPr>
      <w:r>
        <w:rPr>
          <w:sz w:val="22"/>
          <w:szCs w:val="22"/>
        </w:rPr>
        <w:t>По време на клинични проучвания е наблюдавано свързано с дозата удължаване на PR-интервала при прилагане на лакозамид. Лакозамид трябва да се прилага с повишено внимание при пациенти със съпътстващи проаритмични състояния, като пациенти с</w:t>
      </w:r>
      <w:r w:rsidR="0050116D">
        <w:rPr>
          <w:sz w:val="22"/>
          <w:szCs w:val="22"/>
        </w:rPr>
        <w:t xml:space="preserve"> известни проблеми на</w:t>
      </w:r>
      <w:r>
        <w:rPr>
          <w:sz w:val="22"/>
          <w:szCs w:val="22"/>
        </w:rPr>
        <w:t xml:space="preserve"> сърдечн</w:t>
      </w:r>
      <w:r w:rsidR="0050116D">
        <w:rPr>
          <w:sz w:val="22"/>
          <w:szCs w:val="22"/>
        </w:rPr>
        <w:t>ата</w:t>
      </w:r>
      <w:r>
        <w:rPr>
          <w:sz w:val="22"/>
          <w:szCs w:val="22"/>
        </w:rPr>
        <w:t xml:space="preserve"> провод</w:t>
      </w:r>
      <w:r w:rsidR="0050116D">
        <w:rPr>
          <w:sz w:val="22"/>
          <w:szCs w:val="22"/>
        </w:rPr>
        <w:t>имост</w:t>
      </w:r>
      <w:r>
        <w:rPr>
          <w:sz w:val="22"/>
          <w:szCs w:val="22"/>
        </w:rPr>
        <w:t xml:space="preserve"> или с тежко сърдечно заболяване (напр. миокардна исхемия/инфаркт, сърдечна недостатъчност, структурно сърдечно заболяване или сърдечни натриеви каналопатии) или пациенти, лекувани с лекарствени продукти, засягащи сърдечната проводимост, включително антиаритмици и антиепилептични лекарствени продукти, блокиращи натриевите канали (вж. точка 4.5), както и при пациенти в старческа възраст.</w:t>
      </w:r>
    </w:p>
    <w:p w14:paraId="63DE99F5" w14:textId="77777777" w:rsidR="006D116F" w:rsidRPr="00815027" w:rsidRDefault="006D116F" w:rsidP="006D116F">
      <w:pPr>
        <w:pStyle w:val="Default"/>
        <w:rPr>
          <w:sz w:val="22"/>
          <w:szCs w:val="22"/>
        </w:rPr>
      </w:pPr>
      <w:r>
        <w:rPr>
          <w:sz w:val="22"/>
          <w:szCs w:val="22"/>
        </w:rPr>
        <w:t>При тези пациенти трябва да се обмисли извършване на ЕКГ преди увеличение на дозата на лакозамид над 400 mg/ден и след като лакозамид се титрира до стационарно състояние.</w:t>
      </w:r>
    </w:p>
    <w:p w14:paraId="6DC53EA4" w14:textId="77777777" w:rsidR="006D116F" w:rsidRDefault="006D116F" w:rsidP="006D116F">
      <w:pPr>
        <w:pStyle w:val="Default"/>
        <w:rPr>
          <w:sz w:val="22"/>
          <w:szCs w:val="22"/>
        </w:rPr>
      </w:pPr>
    </w:p>
    <w:p w14:paraId="43011655" w14:textId="77777777" w:rsidR="006D116F" w:rsidRDefault="006D116F" w:rsidP="006D116F">
      <w:pPr>
        <w:pStyle w:val="Default"/>
        <w:rPr>
          <w:sz w:val="22"/>
          <w:szCs w:val="22"/>
        </w:rPr>
      </w:pPr>
      <w:r>
        <w:rPr>
          <w:sz w:val="22"/>
          <w:szCs w:val="22"/>
        </w:rPr>
        <w:t>В плацебо контролирани проучвания с лакозамид при пациенти с епилепсия не се съобщава за предсърдно мъждене или трептене, но за тези две ритъмни нарушения се съобщава в отворени проучвания за епилепсия и при постмаркетинговия опит.</w:t>
      </w:r>
    </w:p>
    <w:p w14:paraId="1BC2A55B" w14:textId="77777777" w:rsidR="00104FEC" w:rsidRPr="00815027" w:rsidRDefault="00104FEC" w:rsidP="006D116F">
      <w:pPr>
        <w:pStyle w:val="Default"/>
        <w:rPr>
          <w:sz w:val="22"/>
          <w:szCs w:val="22"/>
        </w:rPr>
      </w:pPr>
    </w:p>
    <w:p w14:paraId="154E4BCF" w14:textId="328FC2F3" w:rsidR="006D116F" w:rsidRDefault="006D116F" w:rsidP="006D116F">
      <w:pPr>
        <w:pStyle w:val="Default"/>
        <w:rPr>
          <w:sz w:val="22"/>
          <w:szCs w:val="22"/>
        </w:rPr>
      </w:pPr>
      <w:r>
        <w:rPr>
          <w:sz w:val="22"/>
          <w:szCs w:val="22"/>
        </w:rPr>
        <w:t>При постмаркетинговия опит се съобщава за А</w:t>
      </w:r>
      <w:r w:rsidR="00F93F00">
        <w:rPr>
          <w:sz w:val="22"/>
          <w:szCs w:val="22"/>
          <w:lang w:val="en-US"/>
        </w:rPr>
        <w:t>V</w:t>
      </w:r>
      <w:r>
        <w:rPr>
          <w:sz w:val="22"/>
          <w:szCs w:val="22"/>
        </w:rPr>
        <w:t xml:space="preserve"> блок (включително втора или по-висока степен на А</w:t>
      </w:r>
      <w:r w:rsidR="00F93F00">
        <w:rPr>
          <w:sz w:val="22"/>
          <w:szCs w:val="22"/>
          <w:lang w:val="en-US"/>
        </w:rPr>
        <w:t>V</w:t>
      </w:r>
      <w:r>
        <w:rPr>
          <w:sz w:val="22"/>
          <w:szCs w:val="22"/>
        </w:rPr>
        <w:t xml:space="preserve"> блок). При пациенти с проаритмични състояния се съобщава за камерна тахиаритмия. В редки случаи тези събития са довели до асистолия, сърдечен арест и смърт при пациенти със съпътстващи проаритмични състояния.</w:t>
      </w:r>
    </w:p>
    <w:p w14:paraId="77BEFD11" w14:textId="77777777" w:rsidR="006D116F" w:rsidRDefault="006D116F" w:rsidP="006D116F">
      <w:pPr>
        <w:pStyle w:val="Default"/>
        <w:rPr>
          <w:sz w:val="22"/>
          <w:szCs w:val="22"/>
        </w:rPr>
      </w:pPr>
    </w:p>
    <w:p w14:paraId="74FF7035" w14:textId="77777777" w:rsidR="006D116F" w:rsidRDefault="006D116F" w:rsidP="006D116F">
      <w:pPr>
        <w:pStyle w:val="Default"/>
        <w:rPr>
          <w:sz w:val="22"/>
          <w:szCs w:val="22"/>
        </w:rPr>
      </w:pPr>
      <w:r>
        <w:rPr>
          <w:sz w:val="22"/>
          <w:szCs w:val="22"/>
        </w:rPr>
        <w:t>Пациентите трябва да са запознати със симптомите на сърдечната аритмия (напр. бавен, бърз или неравномерен пулс, палпитации, задух, чувство на замаяност, припадане). Пациентите трябва да се посъветват да търсят незабавна медицинска помощ, ако някой от тези симптоми се появи.</w:t>
      </w:r>
    </w:p>
    <w:p w14:paraId="068084FD" w14:textId="77777777" w:rsidR="006D116F" w:rsidRDefault="006D116F" w:rsidP="006D116F">
      <w:pPr>
        <w:pStyle w:val="Default"/>
        <w:rPr>
          <w:sz w:val="22"/>
          <w:szCs w:val="22"/>
        </w:rPr>
      </w:pPr>
    </w:p>
    <w:p w14:paraId="0B7A8866" w14:textId="77777777" w:rsidR="006D116F" w:rsidRPr="003B224F" w:rsidRDefault="006D116F" w:rsidP="006D116F">
      <w:pPr>
        <w:pStyle w:val="Default"/>
        <w:rPr>
          <w:sz w:val="22"/>
          <w:szCs w:val="22"/>
          <w:u w:val="single"/>
        </w:rPr>
      </w:pPr>
      <w:r>
        <w:rPr>
          <w:sz w:val="22"/>
          <w:szCs w:val="22"/>
          <w:u w:val="single"/>
        </w:rPr>
        <w:t xml:space="preserve">Замаяност </w:t>
      </w:r>
    </w:p>
    <w:p w14:paraId="76CF6427" w14:textId="77777777" w:rsidR="006D116F" w:rsidRDefault="006D116F" w:rsidP="006D116F">
      <w:pPr>
        <w:pStyle w:val="Default"/>
        <w:rPr>
          <w:sz w:val="22"/>
          <w:szCs w:val="22"/>
        </w:rPr>
      </w:pPr>
      <w:r>
        <w:rPr>
          <w:sz w:val="22"/>
          <w:szCs w:val="22"/>
        </w:rPr>
        <w:t xml:space="preserve">Лечението с лакозамид се свързва със замаяност, която може да увеличи случаите на случайно нараняване или падане. Затова на пациентите трябва да се обърне внимание да бъдат особено внимателни, докато разберат потенциалните ефекти на лекарството (вж. точка 4.8). </w:t>
      </w:r>
    </w:p>
    <w:p w14:paraId="0EEE71B0" w14:textId="77777777" w:rsidR="009E2837" w:rsidRDefault="009E2837" w:rsidP="009E2837">
      <w:pPr>
        <w:tabs>
          <w:tab w:val="clear" w:pos="567"/>
        </w:tabs>
        <w:autoSpaceDE w:val="0"/>
        <w:autoSpaceDN w:val="0"/>
        <w:adjustRightInd w:val="0"/>
        <w:spacing w:line="240" w:lineRule="auto"/>
        <w:rPr>
          <w:rFonts w:eastAsiaTheme="minorHAnsi"/>
          <w:color w:val="000000"/>
          <w:szCs w:val="22"/>
        </w:rPr>
      </w:pPr>
    </w:p>
    <w:p w14:paraId="1657FFA9" w14:textId="614AD586" w:rsidR="009E2837" w:rsidRPr="006150EE" w:rsidRDefault="009E2837" w:rsidP="009E2837">
      <w:pPr>
        <w:tabs>
          <w:tab w:val="clear" w:pos="567"/>
        </w:tabs>
        <w:autoSpaceDE w:val="0"/>
        <w:autoSpaceDN w:val="0"/>
        <w:adjustRightInd w:val="0"/>
        <w:spacing w:line="240" w:lineRule="auto"/>
        <w:rPr>
          <w:rFonts w:eastAsiaTheme="minorHAnsi"/>
          <w:color w:val="000000"/>
          <w:szCs w:val="22"/>
          <w:u w:val="single"/>
        </w:rPr>
      </w:pPr>
      <w:r w:rsidRPr="006150EE">
        <w:rPr>
          <w:rFonts w:eastAsiaTheme="minorHAnsi"/>
          <w:color w:val="000000"/>
          <w:szCs w:val="22"/>
          <w:u w:val="single"/>
        </w:rPr>
        <w:t xml:space="preserve">Потенциал за възобновяване или влошаване на миоклонични пристъпи </w:t>
      </w:r>
    </w:p>
    <w:p w14:paraId="0D4227BA" w14:textId="0D1B939D" w:rsidR="006D116F" w:rsidRDefault="009E2837" w:rsidP="009E2837">
      <w:pPr>
        <w:pStyle w:val="Default"/>
        <w:rPr>
          <w:rFonts w:eastAsiaTheme="minorHAnsi"/>
          <w:color w:val="000000"/>
          <w:sz w:val="22"/>
          <w:szCs w:val="22"/>
        </w:rPr>
      </w:pPr>
      <w:r w:rsidRPr="009E2837">
        <w:rPr>
          <w:rFonts w:eastAsiaTheme="minorHAnsi"/>
          <w:color w:val="000000"/>
          <w:sz w:val="22"/>
          <w:szCs w:val="22"/>
        </w:rPr>
        <w:t>Съобщено е възобновяване или влошаване на миоклонични пристъпи както при възрастни, така и при педиатрични пациенти с</w:t>
      </w:r>
      <w:r w:rsidRPr="009E2837">
        <w:t xml:space="preserve"> </w:t>
      </w:r>
      <w:r w:rsidRPr="009E2837">
        <w:rPr>
          <w:rFonts w:eastAsiaTheme="minorHAnsi"/>
          <w:color w:val="000000"/>
          <w:sz w:val="22"/>
          <w:szCs w:val="22"/>
        </w:rPr>
        <w:t xml:space="preserve">първично генерализирани тонично-клонични пристъпи </w:t>
      </w:r>
      <w:r>
        <w:rPr>
          <w:rFonts w:eastAsiaTheme="minorHAnsi"/>
          <w:color w:val="000000"/>
          <w:sz w:val="22"/>
          <w:szCs w:val="22"/>
        </w:rPr>
        <w:t>(</w:t>
      </w:r>
      <w:r w:rsidRPr="009E2837">
        <w:rPr>
          <w:rFonts w:eastAsiaTheme="minorHAnsi"/>
          <w:color w:val="000000"/>
          <w:sz w:val="22"/>
          <w:szCs w:val="22"/>
        </w:rPr>
        <w:t>ПГТКП</w:t>
      </w:r>
      <w:r>
        <w:rPr>
          <w:rFonts w:eastAsiaTheme="minorHAnsi"/>
          <w:color w:val="000000"/>
          <w:sz w:val="22"/>
          <w:szCs w:val="22"/>
        </w:rPr>
        <w:t>)</w:t>
      </w:r>
      <w:r w:rsidRPr="009E2837">
        <w:rPr>
          <w:rFonts w:eastAsiaTheme="minorHAnsi"/>
          <w:color w:val="000000"/>
          <w:sz w:val="22"/>
          <w:szCs w:val="22"/>
        </w:rPr>
        <w:t>, по-специално по време на титриране. При пациенти с повече от един тип пристъпи, наблюдаваните ползи от контролирането на пристъп от един тип, трябва да се съпостави с всички наблюдавани признаци на влошаване по отношение на пристъп от друг тип.</w:t>
      </w:r>
    </w:p>
    <w:p w14:paraId="5A4DCB71" w14:textId="77777777" w:rsidR="009E2837" w:rsidRDefault="009E2837" w:rsidP="009E2837">
      <w:pPr>
        <w:pStyle w:val="Default"/>
        <w:rPr>
          <w:sz w:val="22"/>
          <w:szCs w:val="22"/>
        </w:rPr>
      </w:pPr>
    </w:p>
    <w:p w14:paraId="3DFAD247" w14:textId="77777777" w:rsidR="006D116F" w:rsidRPr="007F10F9" w:rsidRDefault="006D116F" w:rsidP="006D116F">
      <w:pPr>
        <w:pStyle w:val="Default"/>
        <w:rPr>
          <w:sz w:val="22"/>
          <w:szCs w:val="22"/>
          <w:u w:val="single"/>
        </w:rPr>
      </w:pPr>
      <w:r>
        <w:rPr>
          <w:sz w:val="22"/>
          <w:szCs w:val="22"/>
          <w:u w:val="single"/>
        </w:rPr>
        <w:t xml:space="preserve">Потенциал за електро-клинично влошаване при специфични синдроми на педиатрична епилепсия </w:t>
      </w:r>
    </w:p>
    <w:p w14:paraId="1EECE895" w14:textId="2BBD6C44" w:rsidR="006D116F" w:rsidRDefault="006D116F" w:rsidP="003D38DA">
      <w:pPr>
        <w:spacing w:line="240" w:lineRule="auto"/>
        <w:rPr>
          <w:b/>
        </w:rPr>
      </w:pPr>
      <w:r>
        <w:t>Безопасността и ефикасността на лакозамид при педиатрични пациенти със синдроми на епилепсия, при които е възможно едновременно съществуване на фокални и генерализирани пристъпи, не са установени.</w:t>
      </w:r>
    </w:p>
    <w:p w14:paraId="01A37047" w14:textId="77777777" w:rsidR="006D116F" w:rsidRDefault="006D116F" w:rsidP="006D116F">
      <w:pPr>
        <w:spacing w:line="240" w:lineRule="auto"/>
        <w:ind w:left="567" w:hanging="567"/>
        <w:rPr>
          <w:b/>
        </w:rPr>
      </w:pPr>
    </w:p>
    <w:p w14:paraId="76170697" w14:textId="77777777" w:rsidR="006D116F" w:rsidRDefault="006D116F" w:rsidP="006D116F">
      <w:pPr>
        <w:spacing w:line="240" w:lineRule="auto"/>
      </w:pPr>
    </w:p>
    <w:p w14:paraId="6C64D4E7" w14:textId="77777777" w:rsidR="006D116F" w:rsidRDefault="006D116F" w:rsidP="006D116F">
      <w:pPr>
        <w:spacing w:line="240" w:lineRule="auto"/>
        <w:ind w:left="567" w:hanging="567"/>
      </w:pPr>
      <w:r>
        <w:rPr>
          <w:b/>
        </w:rPr>
        <w:t>4.5</w:t>
      </w:r>
      <w:r>
        <w:rPr>
          <w:b/>
        </w:rPr>
        <w:tab/>
        <w:t>Взаимодействие с други лекарствени продукти и други форми на взаимодействие</w:t>
      </w:r>
    </w:p>
    <w:p w14:paraId="734885A5" w14:textId="77777777" w:rsidR="006D116F" w:rsidRDefault="006D116F" w:rsidP="006D116F">
      <w:pPr>
        <w:spacing w:line="240" w:lineRule="auto"/>
      </w:pPr>
    </w:p>
    <w:p w14:paraId="403C0227" w14:textId="6B742192" w:rsidR="006D116F" w:rsidRDefault="006D116F" w:rsidP="006D116F">
      <w:pPr>
        <w:pStyle w:val="Default"/>
        <w:rPr>
          <w:sz w:val="22"/>
          <w:szCs w:val="22"/>
        </w:rPr>
      </w:pPr>
      <w:r>
        <w:rPr>
          <w:sz w:val="22"/>
          <w:szCs w:val="22"/>
        </w:rPr>
        <w:t xml:space="preserve">Лакозамид трябва да се използва с повишено внимание при пациенти, лекувани с лекарствени продукти, свързани с удължаване на PR-интервала (включително антиепилептични лекарствени продукти, блокиращи натриевите канали), и при пациенти, лекувани с антиаритмици. Анализът по подгрупи при клиничните </w:t>
      </w:r>
      <w:r w:rsidR="009E2837">
        <w:rPr>
          <w:sz w:val="22"/>
          <w:szCs w:val="22"/>
        </w:rPr>
        <w:t>проучвания</w:t>
      </w:r>
      <w:r>
        <w:rPr>
          <w:sz w:val="22"/>
          <w:szCs w:val="22"/>
        </w:rPr>
        <w:t xml:space="preserve"> обаче не установява повишено удължаване на PR-интервала при пациенти със съпътстваща употреба на карбамазепин или ламотригин.</w:t>
      </w:r>
    </w:p>
    <w:p w14:paraId="592B6BB5" w14:textId="77777777" w:rsidR="006D116F" w:rsidRDefault="006D116F" w:rsidP="006D116F">
      <w:pPr>
        <w:pStyle w:val="Default"/>
        <w:rPr>
          <w:sz w:val="22"/>
          <w:szCs w:val="22"/>
        </w:rPr>
      </w:pPr>
    </w:p>
    <w:p w14:paraId="71CFDAEA" w14:textId="77777777" w:rsidR="006D116F" w:rsidRPr="00A7772B" w:rsidRDefault="006D116F" w:rsidP="006D116F">
      <w:pPr>
        <w:pStyle w:val="Default"/>
        <w:rPr>
          <w:sz w:val="22"/>
          <w:szCs w:val="22"/>
          <w:u w:val="single"/>
        </w:rPr>
      </w:pPr>
      <w:r>
        <w:rPr>
          <w:i/>
          <w:iCs/>
          <w:sz w:val="22"/>
          <w:szCs w:val="22"/>
          <w:u w:val="single"/>
        </w:rPr>
        <w:t xml:space="preserve">In vitro </w:t>
      </w:r>
      <w:r>
        <w:rPr>
          <w:sz w:val="22"/>
          <w:szCs w:val="22"/>
          <w:u w:val="single"/>
        </w:rPr>
        <w:t xml:space="preserve">данни </w:t>
      </w:r>
    </w:p>
    <w:p w14:paraId="4E0E2CE2" w14:textId="77777777" w:rsidR="006D116F" w:rsidRDefault="006D116F" w:rsidP="006D116F">
      <w:pPr>
        <w:spacing w:line="240" w:lineRule="auto"/>
      </w:pPr>
      <w:r>
        <w:t xml:space="preserve">Най-общо, данните предполагат, че лакозамид има нисък потенциал на взаимодействие. </w:t>
      </w:r>
      <w:r>
        <w:rPr>
          <w:i/>
          <w:iCs/>
          <w:szCs w:val="22"/>
        </w:rPr>
        <w:t>In vitro</w:t>
      </w:r>
      <w:r>
        <w:t xml:space="preserve"> проучванията показват, че ензимите CYP1A2, CYP2B6 и CYP2C9 не се индуцират, а CYP1A1, CYP1A2, CYP2A6, CYP2B6, CYP2C8, CYP2C9, CYP2D6 и CYP2E1 не се инхибират от лакозамид при плазмени концентрации, наблюдавани по време на клиничните проучвания. </w:t>
      </w:r>
      <w:r>
        <w:rPr>
          <w:i/>
          <w:iCs/>
          <w:szCs w:val="22"/>
        </w:rPr>
        <w:t>In vitro</w:t>
      </w:r>
      <w:r>
        <w:t xml:space="preserve"> проучванията показват, че лакозамид не се транспортира чрез P-гликопротеин в червата. </w:t>
      </w:r>
      <w:r>
        <w:rPr>
          <w:i/>
          <w:iCs/>
          <w:szCs w:val="22"/>
        </w:rPr>
        <w:t xml:space="preserve">In vitro </w:t>
      </w:r>
      <w:r>
        <w:t>данните показват, че CYP2C9, CYP2C19 и CYP3A4 могат да катализират образуването на метаболита О-дезметил.</w:t>
      </w:r>
    </w:p>
    <w:p w14:paraId="7BFBCCB9" w14:textId="77777777" w:rsidR="00B36189" w:rsidRDefault="00B36189" w:rsidP="006D116F">
      <w:pPr>
        <w:pStyle w:val="Default"/>
        <w:rPr>
          <w:i/>
          <w:iCs/>
          <w:sz w:val="22"/>
          <w:szCs w:val="22"/>
          <w:u w:val="single"/>
        </w:rPr>
      </w:pPr>
    </w:p>
    <w:p w14:paraId="05E9C920" w14:textId="77777777" w:rsidR="006D116F" w:rsidRPr="00C72FEF" w:rsidRDefault="006D116F" w:rsidP="006D116F">
      <w:pPr>
        <w:pStyle w:val="Default"/>
        <w:rPr>
          <w:sz w:val="22"/>
          <w:szCs w:val="22"/>
          <w:u w:val="single"/>
        </w:rPr>
      </w:pPr>
      <w:r>
        <w:rPr>
          <w:i/>
          <w:iCs/>
          <w:sz w:val="22"/>
          <w:szCs w:val="22"/>
          <w:u w:val="single"/>
        </w:rPr>
        <w:t xml:space="preserve">In vivo </w:t>
      </w:r>
      <w:r>
        <w:rPr>
          <w:sz w:val="22"/>
          <w:szCs w:val="22"/>
          <w:u w:val="single"/>
        </w:rPr>
        <w:t xml:space="preserve">данни </w:t>
      </w:r>
    </w:p>
    <w:p w14:paraId="74D58419" w14:textId="394F2160" w:rsidR="006D116F" w:rsidRDefault="006D116F" w:rsidP="006D116F">
      <w:pPr>
        <w:pStyle w:val="Default"/>
        <w:rPr>
          <w:sz w:val="22"/>
          <w:szCs w:val="22"/>
        </w:rPr>
      </w:pPr>
      <w:r>
        <w:rPr>
          <w:sz w:val="22"/>
          <w:szCs w:val="22"/>
        </w:rPr>
        <w:t>Лакозамид не инхибира или индуцира до клинично значима степен ензима CYP2C19 и CYP3A4. Лакозамид не повлиява AUC на мидазолам (метаболизиращ се от CYP3A4, лакозамид е прилаган 200 mg два пъти на ден), но C</w:t>
      </w:r>
      <w:r>
        <w:rPr>
          <w:sz w:val="14"/>
          <w:szCs w:val="14"/>
        </w:rPr>
        <w:t>max</w:t>
      </w:r>
      <w:r>
        <w:t xml:space="preserve"> </w:t>
      </w:r>
      <w:r>
        <w:rPr>
          <w:sz w:val="22"/>
          <w:szCs w:val="22"/>
        </w:rPr>
        <w:t xml:space="preserve">на мидазолам </w:t>
      </w:r>
      <w:r w:rsidR="000D321E">
        <w:rPr>
          <w:sz w:val="22"/>
          <w:szCs w:val="22"/>
        </w:rPr>
        <w:t>с</w:t>
      </w:r>
      <w:r>
        <w:rPr>
          <w:sz w:val="22"/>
          <w:szCs w:val="22"/>
        </w:rPr>
        <w:t xml:space="preserve">е </w:t>
      </w:r>
      <w:r w:rsidR="000D321E">
        <w:rPr>
          <w:sz w:val="22"/>
          <w:szCs w:val="22"/>
        </w:rPr>
        <w:t xml:space="preserve">повишава </w:t>
      </w:r>
      <w:r>
        <w:rPr>
          <w:sz w:val="22"/>
          <w:szCs w:val="22"/>
        </w:rPr>
        <w:t xml:space="preserve">леко (30%). Лакозамид не повлиява фармакокинетиката на омепразол (метаболизиращ се от CYP2C19 и CYP3A4, лакозамид е прилаган 300 mg два пъти на ден). </w:t>
      </w:r>
    </w:p>
    <w:p w14:paraId="3E39AB1E" w14:textId="77777777" w:rsidR="006D116F" w:rsidRDefault="006D116F" w:rsidP="006D116F">
      <w:pPr>
        <w:pStyle w:val="Default"/>
        <w:rPr>
          <w:sz w:val="22"/>
          <w:szCs w:val="22"/>
        </w:rPr>
      </w:pPr>
      <w:r>
        <w:rPr>
          <w:sz w:val="22"/>
          <w:szCs w:val="22"/>
        </w:rPr>
        <w:t xml:space="preserve">Инхибиторът на CYP2C19, омепразол (40 mg един път дневно) не поражда клинично значима промяна в експозицията на лакозамид. Ето защо умерените инхибитори на CYP2C19 е малко вероятно да повлияят на системната експозиция на лакозамид до клинично значима степен. </w:t>
      </w:r>
    </w:p>
    <w:p w14:paraId="45667770" w14:textId="77777777" w:rsidR="006D116F" w:rsidRDefault="006D116F" w:rsidP="006D116F">
      <w:pPr>
        <w:pStyle w:val="Default"/>
        <w:rPr>
          <w:sz w:val="22"/>
          <w:szCs w:val="22"/>
        </w:rPr>
      </w:pPr>
      <w:r>
        <w:rPr>
          <w:sz w:val="22"/>
          <w:szCs w:val="22"/>
        </w:rPr>
        <w:t xml:space="preserve">Препоръчва се повишено внимание при съпътстващо лечение с мощни инхибитори на CYP2C9 (напр. флуконазол) и CYP3A4 (напр. итраконазол, кетоконазол, ритонавир, кларитромицин), което може да доведе до повишаване на системната експозиция на лакозамид. Такива взаимодействия не са установени </w:t>
      </w:r>
      <w:r>
        <w:rPr>
          <w:i/>
          <w:iCs/>
          <w:sz w:val="22"/>
          <w:szCs w:val="22"/>
        </w:rPr>
        <w:t>in vivo</w:t>
      </w:r>
      <w:r>
        <w:rPr>
          <w:sz w:val="22"/>
          <w:szCs w:val="22"/>
        </w:rPr>
        <w:t xml:space="preserve">, но са възможни на основата на </w:t>
      </w:r>
      <w:r>
        <w:rPr>
          <w:i/>
          <w:iCs/>
          <w:sz w:val="22"/>
          <w:szCs w:val="22"/>
        </w:rPr>
        <w:t>in vitro</w:t>
      </w:r>
      <w:r>
        <w:rPr>
          <w:sz w:val="22"/>
          <w:szCs w:val="22"/>
        </w:rPr>
        <w:t xml:space="preserve"> данни. </w:t>
      </w:r>
    </w:p>
    <w:p w14:paraId="0700DFDA" w14:textId="77777777" w:rsidR="00104FEC" w:rsidRDefault="00104FEC" w:rsidP="006D116F">
      <w:pPr>
        <w:pStyle w:val="Default"/>
        <w:rPr>
          <w:sz w:val="22"/>
          <w:szCs w:val="22"/>
        </w:rPr>
      </w:pPr>
    </w:p>
    <w:p w14:paraId="479871B5" w14:textId="2BC039B7" w:rsidR="006D116F" w:rsidRDefault="006D116F" w:rsidP="006D116F">
      <w:pPr>
        <w:pStyle w:val="Default"/>
        <w:rPr>
          <w:sz w:val="22"/>
          <w:szCs w:val="22"/>
        </w:rPr>
      </w:pPr>
      <w:r>
        <w:rPr>
          <w:sz w:val="22"/>
          <w:szCs w:val="22"/>
        </w:rPr>
        <w:t>Мощните ензимни индуктори като рифампицин или жълт кантарион (</w:t>
      </w:r>
      <w:r w:rsidRPr="003D38DA">
        <w:rPr>
          <w:i/>
          <w:sz w:val="22"/>
          <w:szCs w:val="22"/>
        </w:rPr>
        <w:t>Hypericum perforatum</w:t>
      </w:r>
      <w:r>
        <w:rPr>
          <w:sz w:val="22"/>
          <w:szCs w:val="22"/>
        </w:rPr>
        <w:t xml:space="preserve">) могат умерено да намалят системната експозиция на лакозамид. </w:t>
      </w:r>
      <w:r w:rsidR="000D321E">
        <w:rPr>
          <w:sz w:val="22"/>
          <w:szCs w:val="22"/>
        </w:rPr>
        <w:t>Поради това,</w:t>
      </w:r>
      <w:r>
        <w:rPr>
          <w:sz w:val="22"/>
          <w:szCs w:val="22"/>
        </w:rPr>
        <w:t xml:space="preserve"> започването или спирането на лечение с тези ензимни индуктори трябва да се извършва с повишено внимание. </w:t>
      </w:r>
    </w:p>
    <w:p w14:paraId="3E4EF97B" w14:textId="77777777" w:rsidR="006D116F" w:rsidRDefault="006D116F" w:rsidP="006D116F">
      <w:pPr>
        <w:pStyle w:val="Default"/>
        <w:rPr>
          <w:sz w:val="22"/>
          <w:szCs w:val="22"/>
        </w:rPr>
      </w:pPr>
    </w:p>
    <w:p w14:paraId="76C5BD85" w14:textId="77777777" w:rsidR="006D116F" w:rsidRDefault="006D116F" w:rsidP="006D116F">
      <w:pPr>
        <w:pStyle w:val="Default"/>
        <w:rPr>
          <w:sz w:val="22"/>
          <w:szCs w:val="22"/>
          <w:u w:val="single"/>
        </w:rPr>
      </w:pPr>
      <w:r>
        <w:rPr>
          <w:sz w:val="22"/>
          <w:szCs w:val="22"/>
          <w:u w:val="single"/>
        </w:rPr>
        <w:t xml:space="preserve">Антиепилептични лекарствени продукти </w:t>
      </w:r>
    </w:p>
    <w:p w14:paraId="18FC493D" w14:textId="77777777" w:rsidR="006D116F" w:rsidRDefault="006D116F" w:rsidP="006D116F">
      <w:pPr>
        <w:pStyle w:val="Default"/>
        <w:rPr>
          <w:sz w:val="22"/>
          <w:szCs w:val="22"/>
        </w:rPr>
      </w:pPr>
      <w:r>
        <w:rPr>
          <w:sz w:val="22"/>
          <w:szCs w:val="22"/>
        </w:rPr>
        <w:t xml:space="preserve">По време на проучванията за лекарствени взаимодействия лакозамид не повлиява значително плазмените концентрации на карбамазепин и валпроева киселина. Плазмените концентрации на лакозамид също не се повлияват от карбамазепин и валпроева киселина. Популационни фармакокинетични анализи в различни възрастови групи установяват, че съпътстващо лечение с други антиепилептични лекарствени продукти, известни като ензимни индуктори (карбамазепин, фенитоин и фенобарбитал в различни дози), понижава с 25% общата системна експозиция на лакозамид при възрастни и със 17% при педиатрични пациенти. </w:t>
      </w:r>
    </w:p>
    <w:p w14:paraId="21925EF6" w14:textId="77777777" w:rsidR="006D116F" w:rsidRDefault="006D116F" w:rsidP="006D116F">
      <w:pPr>
        <w:pStyle w:val="Default"/>
        <w:rPr>
          <w:sz w:val="22"/>
          <w:szCs w:val="22"/>
        </w:rPr>
      </w:pPr>
    </w:p>
    <w:p w14:paraId="0751C6E2" w14:textId="77777777" w:rsidR="006D116F" w:rsidRDefault="006D116F" w:rsidP="006D116F">
      <w:pPr>
        <w:pStyle w:val="Default"/>
        <w:rPr>
          <w:sz w:val="22"/>
          <w:szCs w:val="22"/>
          <w:u w:val="single"/>
        </w:rPr>
      </w:pPr>
      <w:r>
        <w:rPr>
          <w:sz w:val="22"/>
          <w:szCs w:val="22"/>
          <w:u w:val="single"/>
        </w:rPr>
        <w:t xml:space="preserve">Перорални контрацептиви </w:t>
      </w:r>
    </w:p>
    <w:p w14:paraId="3AFF1912" w14:textId="77777777" w:rsidR="006D116F" w:rsidRDefault="006D116F" w:rsidP="006D116F">
      <w:pPr>
        <w:pStyle w:val="Default"/>
        <w:rPr>
          <w:sz w:val="22"/>
          <w:szCs w:val="22"/>
        </w:rPr>
      </w:pPr>
      <w:r>
        <w:rPr>
          <w:sz w:val="22"/>
          <w:szCs w:val="22"/>
        </w:rPr>
        <w:t xml:space="preserve">По време на проучване за лекарствени взаимодействия не са наблюдавани клинично значими взаимодействия между лакозамид и пероралните контрацептиви етинилестрадиол и левоноргестрел. Концентрациите на прогестерон не са повлияни при съвместното приложение на лекарствените продукти. </w:t>
      </w:r>
    </w:p>
    <w:p w14:paraId="67719935" w14:textId="77777777" w:rsidR="006D116F" w:rsidRDefault="006D116F" w:rsidP="006D116F">
      <w:pPr>
        <w:pStyle w:val="Default"/>
        <w:rPr>
          <w:sz w:val="22"/>
          <w:szCs w:val="22"/>
        </w:rPr>
      </w:pPr>
    </w:p>
    <w:p w14:paraId="4A94C8F4" w14:textId="053B4E63" w:rsidR="006D116F" w:rsidRPr="00B01FBE" w:rsidRDefault="001460BA" w:rsidP="006D116F">
      <w:pPr>
        <w:pStyle w:val="Default"/>
        <w:rPr>
          <w:sz w:val="22"/>
          <w:szCs w:val="22"/>
          <w:u w:val="single"/>
        </w:rPr>
      </w:pPr>
      <w:r>
        <w:rPr>
          <w:sz w:val="22"/>
          <w:szCs w:val="22"/>
          <w:u w:val="single"/>
        </w:rPr>
        <w:t xml:space="preserve">Други </w:t>
      </w:r>
    </w:p>
    <w:p w14:paraId="48EE0465" w14:textId="77777777" w:rsidR="006D116F" w:rsidRDefault="006D116F" w:rsidP="006D116F">
      <w:pPr>
        <w:pStyle w:val="Default"/>
        <w:rPr>
          <w:sz w:val="22"/>
          <w:szCs w:val="22"/>
        </w:rPr>
      </w:pPr>
      <w:r>
        <w:rPr>
          <w:sz w:val="22"/>
          <w:szCs w:val="22"/>
        </w:rPr>
        <w:t xml:space="preserve">Проучванията върху лекарствените взаимодействия показват, че лакозамид не оказва влияние върху фармакокинетиката на дигоксин. Няма клинично значими взаимодействия между лакозамид и метформин. </w:t>
      </w:r>
    </w:p>
    <w:p w14:paraId="6E2B62AB" w14:textId="77777777" w:rsidR="006D116F" w:rsidRDefault="006D116F" w:rsidP="006D116F">
      <w:pPr>
        <w:pStyle w:val="Default"/>
        <w:rPr>
          <w:sz w:val="22"/>
          <w:szCs w:val="22"/>
        </w:rPr>
      </w:pPr>
      <w:r>
        <w:rPr>
          <w:sz w:val="22"/>
          <w:szCs w:val="22"/>
        </w:rPr>
        <w:t xml:space="preserve">Съвместното приложение на варфарин с лакозамид не води до клинично значима промяна във фармакокинетиката и фармакодинамиката на варфарин. </w:t>
      </w:r>
    </w:p>
    <w:p w14:paraId="11751B02" w14:textId="77777777" w:rsidR="006D116F" w:rsidRDefault="006D116F" w:rsidP="006D116F">
      <w:pPr>
        <w:pStyle w:val="Default"/>
        <w:rPr>
          <w:sz w:val="22"/>
          <w:szCs w:val="22"/>
        </w:rPr>
      </w:pPr>
      <w:r>
        <w:rPr>
          <w:sz w:val="22"/>
          <w:szCs w:val="22"/>
        </w:rPr>
        <w:t xml:space="preserve">Въпреки че няма фармакокинетични данни за взаимодействието на лакозамид с алкохол, не може да се изключи фармакодинамичен ефект. </w:t>
      </w:r>
    </w:p>
    <w:p w14:paraId="5499C9F5" w14:textId="77777777" w:rsidR="006D116F" w:rsidRDefault="006D116F" w:rsidP="006D116F">
      <w:pPr>
        <w:spacing w:line="240" w:lineRule="auto"/>
      </w:pPr>
      <w:r>
        <w:t>Лакозамидът има нисък процент на свързване с протеини – под 15%. Поради това не се очакват клинично значими взаимодействия с други лекарствени продукти по механизма на конкурентно свързване с протеини.</w:t>
      </w:r>
    </w:p>
    <w:p w14:paraId="451CAC5B" w14:textId="77777777" w:rsidR="006D116F" w:rsidRDefault="006D116F" w:rsidP="006D116F">
      <w:pPr>
        <w:spacing w:line="240" w:lineRule="auto"/>
      </w:pPr>
    </w:p>
    <w:p w14:paraId="780CF96B" w14:textId="77777777" w:rsidR="006D116F" w:rsidRDefault="006D116F" w:rsidP="006D116F">
      <w:pPr>
        <w:spacing w:line="240" w:lineRule="auto"/>
        <w:ind w:left="567" w:hanging="567"/>
      </w:pPr>
      <w:r>
        <w:rPr>
          <w:b/>
        </w:rPr>
        <w:t>4.6</w:t>
      </w:r>
      <w:r>
        <w:rPr>
          <w:b/>
        </w:rPr>
        <w:tab/>
        <w:t>Фертилитет, бременност и кърмене</w:t>
      </w:r>
    </w:p>
    <w:p w14:paraId="24C98053" w14:textId="77777777" w:rsidR="006D116F" w:rsidRPr="000C1913" w:rsidRDefault="006D116F" w:rsidP="006D116F">
      <w:pPr>
        <w:spacing w:line="240" w:lineRule="auto"/>
        <w:rPr>
          <w:i/>
        </w:rPr>
      </w:pPr>
    </w:p>
    <w:p w14:paraId="614CACC5" w14:textId="77777777" w:rsidR="006D116F" w:rsidRPr="006201DA" w:rsidRDefault="006D116F" w:rsidP="006D116F">
      <w:pPr>
        <w:pStyle w:val="Default"/>
        <w:rPr>
          <w:sz w:val="22"/>
          <w:szCs w:val="22"/>
          <w:u w:val="single"/>
        </w:rPr>
      </w:pPr>
      <w:r>
        <w:rPr>
          <w:sz w:val="22"/>
          <w:szCs w:val="22"/>
          <w:u w:val="single"/>
        </w:rPr>
        <w:t xml:space="preserve">Бременност </w:t>
      </w:r>
    </w:p>
    <w:p w14:paraId="558CD962" w14:textId="77777777" w:rsidR="006D116F" w:rsidRDefault="006D116F" w:rsidP="006D116F">
      <w:pPr>
        <w:pStyle w:val="Default"/>
        <w:rPr>
          <w:sz w:val="22"/>
          <w:szCs w:val="22"/>
        </w:rPr>
      </w:pPr>
      <w:r>
        <w:rPr>
          <w:i/>
          <w:iCs/>
          <w:sz w:val="22"/>
          <w:szCs w:val="22"/>
        </w:rPr>
        <w:t xml:space="preserve">Риск, свързан с епилепсията и антиепилептичните лекарствени продукти като цяло </w:t>
      </w:r>
    </w:p>
    <w:p w14:paraId="177C59F3" w14:textId="77777777" w:rsidR="006D116F" w:rsidRDefault="006D116F" w:rsidP="006D116F">
      <w:pPr>
        <w:pStyle w:val="Default"/>
        <w:rPr>
          <w:sz w:val="22"/>
          <w:szCs w:val="22"/>
        </w:rPr>
      </w:pPr>
      <w:r>
        <w:rPr>
          <w:sz w:val="22"/>
          <w:szCs w:val="22"/>
        </w:rPr>
        <w:t xml:space="preserve">При всички антиепилептични лекарствени продукти е установена два до три пъти по-висока честота на малформациите в поколението на жените, лекувани за епилепсия, в сравнение с честота от около 3% за общата популация. Сред лекуваната популация повишена честота на малформации е установена в случаите на лечение с повече от един лекарствен продукт (политерапия), но не е установено доколко това се дължи на самото лечение и/или на заболяването. </w:t>
      </w:r>
    </w:p>
    <w:p w14:paraId="18936E7C" w14:textId="3DB91392" w:rsidR="006D116F" w:rsidRDefault="006D116F" w:rsidP="006D116F">
      <w:pPr>
        <w:pStyle w:val="Default"/>
        <w:rPr>
          <w:sz w:val="22"/>
          <w:szCs w:val="22"/>
        </w:rPr>
      </w:pPr>
      <w:r>
        <w:rPr>
          <w:sz w:val="22"/>
          <w:szCs w:val="22"/>
        </w:rPr>
        <w:t>Освен това</w:t>
      </w:r>
      <w:r w:rsidR="000D321E">
        <w:rPr>
          <w:sz w:val="22"/>
          <w:szCs w:val="22"/>
        </w:rPr>
        <w:t>,</w:t>
      </w:r>
      <w:r>
        <w:rPr>
          <w:sz w:val="22"/>
          <w:szCs w:val="22"/>
        </w:rPr>
        <w:t xml:space="preserve"> ефективното антиепилептично лечение не трябва да бъде преустановявано, тъй като влошаването на заболяването е вредно както за майката, така и за плода. </w:t>
      </w:r>
    </w:p>
    <w:p w14:paraId="6B024F28" w14:textId="77777777" w:rsidR="006D116F" w:rsidRDefault="006D116F" w:rsidP="006D116F">
      <w:pPr>
        <w:pStyle w:val="Default"/>
        <w:rPr>
          <w:i/>
          <w:iCs/>
          <w:sz w:val="22"/>
          <w:szCs w:val="22"/>
        </w:rPr>
      </w:pPr>
    </w:p>
    <w:p w14:paraId="52A38FA4" w14:textId="77777777" w:rsidR="006D116F" w:rsidRDefault="006D116F" w:rsidP="006D116F">
      <w:pPr>
        <w:pStyle w:val="Default"/>
        <w:rPr>
          <w:sz w:val="22"/>
          <w:szCs w:val="22"/>
        </w:rPr>
      </w:pPr>
      <w:r>
        <w:rPr>
          <w:i/>
          <w:iCs/>
          <w:sz w:val="22"/>
          <w:szCs w:val="22"/>
        </w:rPr>
        <w:t xml:space="preserve">Риск, свързан с лакозамид </w:t>
      </w:r>
    </w:p>
    <w:p w14:paraId="67CA65CF" w14:textId="77777777" w:rsidR="006D116F" w:rsidRDefault="006D116F" w:rsidP="006D116F">
      <w:pPr>
        <w:pStyle w:val="Default"/>
        <w:rPr>
          <w:sz w:val="22"/>
          <w:szCs w:val="22"/>
        </w:rPr>
      </w:pPr>
      <w:r>
        <w:rPr>
          <w:sz w:val="22"/>
          <w:szCs w:val="22"/>
        </w:rPr>
        <w:t xml:space="preserve">Няма достатъчно данни относно употребата на лакозамид при бременни жени. Проучванията при животни не са показали каквито и да е тератогенни ефекти при плъхове или зайци, но е наблюдавана ембриотоксичност при плъхове и зайци при токсични за майката дози (вж. точка 5.3). Потенциалният риск при хора не е установен. </w:t>
      </w:r>
    </w:p>
    <w:p w14:paraId="784B161B" w14:textId="77777777" w:rsidR="000D321E" w:rsidRDefault="000D321E" w:rsidP="006D116F">
      <w:pPr>
        <w:pStyle w:val="Default"/>
        <w:rPr>
          <w:sz w:val="22"/>
          <w:szCs w:val="22"/>
        </w:rPr>
      </w:pPr>
    </w:p>
    <w:p w14:paraId="5AB0B13B" w14:textId="5C3F0260" w:rsidR="006D116F" w:rsidRDefault="006D116F" w:rsidP="006D116F">
      <w:pPr>
        <w:pStyle w:val="Default"/>
        <w:rPr>
          <w:sz w:val="22"/>
          <w:szCs w:val="22"/>
        </w:rPr>
      </w:pPr>
      <w:r>
        <w:rPr>
          <w:sz w:val="22"/>
          <w:szCs w:val="22"/>
        </w:rPr>
        <w:t xml:space="preserve">Лакозамид не трябва да се прилага по време на бременност, освен в случаите на категорична необходимост (ако ползата за майката категорично превишава потенциалния риск за плода). В случай на решение на жената да забременее употребата на този продукт трябва да бъде внимателно преоценена. </w:t>
      </w:r>
    </w:p>
    <w:p w14:paraId="478C0803" w14:textId="77777777" w:rsidR="006D116F" w:rsidRDefault="006D116F" w:rsidP="006D116F">
      <w:pPr>
        <w:pStyle w:val="Default"/>
        <w:rPr>
          <w:sz w:val="22"/>
          <w:szCs w:val="22"/>
        </w:rPr>
      </w:pPr>
    </w:p>
    <w:p w14:paraId="621C444A" w14:textId="77777777" w:rsidR="006D116F" w:rsidRPr="002B3898" w:rsidRDefault="006D116F" w:rsidP="006D116F">
      <w:pPr>
        <w:pStyle w:val="Default"/>
        <w:rPr>
          <w:sz w:val="22"/>
          <w:szCs w:val="22"/>
          <w:u w:val="single"/>
        </w:rPr>
      </w:pPr>
      <w:r>
        <w:rPr>
          <w:sz w:val="22"/>
          <w:szCs w:val="22"/>
          <w:u w:val="single"/>
        </w:rPr>
        <w:t xml:space="preserve">Кърмене </w:t>
      </w:r>
    </w:p>
    <w:p w14:paraId="23029D54" w14:textId="40A787BE" w:rsidR="006D116F" w:rsidRDefault="001A67A5" w:rsidP="001814C2">
      <w:pPr>
        <w:pStyle w:val="Default"/>
        <w:ind w:right="49"/>
        <w:rPr>
          <w:sz w:val="22"/>
          <w:szCs w:val="22"/>
        </w:rPr>
      </w:pPr>
      <w:r>
        <w:rPr>
          <w:sz w:val="22"/>
          <w:szCs w:val="22"/>
        </w:rPr>
        <w:t>Л</w:t>
      </w:r>
      <w:r w:rsidR="006D116F">
        <w:rPr>
          <w:sz w:val="22"/>
          <w:szCs w:val="22"/>
        </w:rPr>
        <w:t xml:space="preserve">акозамид се </w:t>
      </w:r>
      <w:r w:rsidR="000D321E">
        <w:rPr>
          <w:sz w:val="22"/>
          <w:szCs w:val="22"/>
        </w:rPr>
        <w:t>екскретира</w:t>
      </w:r>
      <w:r w:rsidR="006D116F">
        <w:rPr>
          <w:sz w:val="22"/>
          <w:szCs w:val="22"/>
        </w:rPr>
        <w:t xml:space="preserve"> в човешката кърма. Не може да се изключи риск за </w:t>
      </w:r>
      <w:r>
        <w:rPr>
          <w:sz w:val="22"/>
          <w:szCs w:val="22"/>
        </w:rPr>
        <w:t>н</w:t>
      </w:r>
      <w:r w:rsidR="006D116F">
        <w:rPr>
          <w:sz w:val="22"/>
          <w:szCs w:val="22"/>
        </w:rPr>
        <w:t>овородените/кърмачетата.</w:t>
      </w:r>
      <w:r>
        <w:rPr>
          <w:sz w:val="22"/>
          <w:szCs w:val="22"/>
        </w:rPr>
        <w:t xml:space="preserve"> Препоръчва се</w:t>
      </w:r>
      <w:r w:rsidR="006D116F">
        <w:rPr>
          <w:sz w:val="22"/>
          <w:szCs w:val="22"/>
        </w:rPr>
        <w:t xml:space="preserve"> по време на лечението с лакозамид кърменето да бъде преустановено. </w:t>
      </w:r>
    </w:p>
    <w:p w14:paraId="365A6DF7" w14:textId="77777777" w:rsidR="006D116F" w:rsidRDefault="006D116F" w:rsidP="006D116F">
      <w:pPr>
        <w:pStyle w:val="Default"/>
        <w:rPr>
          <w:sz w:val="22"/>
          <w:szCs w:val="22"/>
        </w:rPr>
      </w:pPr>
    </w:p>
    <w:p w14:paraId="46397D63" w14:textId="77777777" w:rsidR="006D116F" w:rsidRPr="00D074AB" w:rsidRDefault="006D116F" w:rsidP="006D116F">
      <w:pPr>
        <w:pStyle w:val="Default"/>
        <w:rPr>
          <w:sz w:val="22"/>
          <w:szCs w:val="22"/>
          <w:u w:val="single"/>
        </w:rPr>
      </w:pPr>
      <w:r>
        <w:rPr>
          <w:sz w:val="22"/>
          <w:szCs w:val="22"/>
          <w:u w:val="single"/>
        </w:rPr>
        <w:t xml:space="preserve">Фертилитет </w:t>
      </w:r>
    </w:p>
    <w:p w14:paraId="58651EE7" w14:textId="20782AEE" w:rsidR="006D116F" w:rsidRDefault="006D116F" w:rsidP="006D116F">
      <w:pPr>
        <w:tabs>
          <w:tab w:val="clear" w:pos="567"/>
        </w:tabs>
        <w:spacing w:line="240" w:lineRule="auto"/>
        <w:rPr>
          <w:noProof/>
          <w:szCs w:val="22"/>
          <w:u w:val="single"/>
        </w:rPr>
      </w:pPr>
      <w:r>
        <w:t>Не са наблюдавани нежелани реакции по отношение на мъжкия или женския фертилитет или възпроизвеждане при плъхове в дози, водещи до плазмена експозиция (AUC) до приблизително 2 пъти плазмена AUC при максималната препоръчителна доза за хора (МПДХ).</w:t>
      </w:r>
      <w:r>
        <w:cr/>
      </w:r>
      <w:r>
        <w:br/>
      </w:r>
    </w:p>
    <w:p w14:paraId="3A5F6879" w14:textId="77777777" w:rsidR="006D116F" w:rsidRDefault="006D116F" w:rsidP="006D116F">
      <w:pPr>
        <w:spacing w:line="240" w:lineRule="auto"/>
        <w:ind w:left="567" w:hanging="567"/>
      </w:pPr>
      <w:r>
        <w:rPr>
          <w:b/>
        </w:rPr>
        <w:t>4.7</w:t>
      </w:r>
      <w:r>
        <w:rPr>
          <w:b/>
        </w:rPr>
        <w:tab/>
        <w:t>Ефекти върху способността за шофиране и работа с машини</w:t>
      </w:r>
    </w:p>
    <w:p w14:paraId="7937BAA7" w14:textId="77777777" w:rsidR="006D116F" w:rsidRDefault="006D116F" w:rsidP="006D116F">
      <w:pPr>
        <w:spacing w:line="240" w:lineRule="auto"/>
      </w:pPr>
    </w:p>
    <w:p w14:paraId="6A008A8F" w14:textId="77777777" w:rsidR="006D116F" w:rsidRDefault="006D116F" w:rsidP="006D116F">
      <w:pPr>
        <w:spacing w:line="240" w:lineRule="auto"/>
      </w:pPr>
      <w:r>
        <w:t>Лакозамид повлиява в малка до умерена степен способността за шофиране и работа с машини. Лечението с лакозамид се свързва с поява на замаяност или замъглено зрение.</w:t>
      </w:r>
    </w:p>
    <w:p w14:paraId="31D06D63" w14:textId="77777777" w:rsidR="006D116F" w:rsidRDefault="006D116F" w:rsidP="006D116F">
      <w:pPr>
        <w:spacing w:line="240" w:lineRule="auto"/>
      </w:pPr>
      <w:r>
        <w:t>Пациентите трябва да бъдат съветвани да не шофират или работят с други потенциално опасни машини, докато не опознаят напълно ефектите на лакозамид върху способността им за извършване на подобни дейности.</w:t>
      </w:r>
    </w:p>
    <w:p w14:paraId="5D7B993A" w14:textId="77777777" w:rsidR="00104FEC" w:rsidRDefault="00104FEC" w:rsidP="006D116F">
      <w:pPr>
        <w:spacing w:line="240" w:lineRule="auto"/>
      </w:pPr>
    </w:p>
    <w:p w14:paraId="69B22647" w14:textId="77777777" w:rsidR="006D116F" w:rsidRDefault="006D116F" w:rsidP="006D116F">
      <w:pPr>
        <w:numPr>
          <w:ilvl w:val="1"/>
          <w:numId w:val="3"/>
        </w:numPr>
        <w:spacing w:line="240" w:lineRule="auto"/>
        <w:rPr>
          <w:b/>
        </w:rPr>
      </w:pPr>
      <w:r>
        <w:rPr>
          <w:b/>
        </w:rPr>
        <w:t>Нежелани лекарствени реакции</w:t>
      </w:r>
    </w:p>
    <w:p w14:paraId="72735452" w14:textId="77777777" w:rsidR="006D116F" w:rsidRDefault="006D116F" w:rsidP="006D116F">
      <w:pPr>
        <w:spacing w:line="240" w:lineRule="auto"/>
      </w:pPr>
    </w:p>
    <w:p w14:paraId="4D76C885" w14:textId="77777777" w:rsidR="006D116F" w:rsidRPr="007F01A9" w:rsidRDefault="006D116F" w:rsidP="006D116F">
      <w:pPr>
        <w:spacing w:line="240" w:lineRule="auto"/>
        <w:rPr>
          <w:szCs w:val="22"/>
          <w:u w:val="single"/>
        </w:rPr>
      </w:pPr>
      <w:r>
        <w:rPr>
          <w:szCs w:val="22"/>
          <w:u w:val="single"/>
        </w:rPr>
        <w:t>Обобщение на профила на безопасност</w:t>
      </w:r>
    </w:p>
    <w:p w14:paraId="60F78489" w14:textId="77777777" w:rsidR="006D116F" w:rsidRPr="007F01A9" w:rsidRDefault="006D116F" w:rsidP="006D116F">
      <w:pPr>
        <w:spacing w:line="240" w:lineRule="auto"/>
        <w:rPr>
          <w:szCs w:val="22"/>
          <w:u w:val="single"/>
        </w:rPr>
      </w:pPr>
    </w:p>
    <w:p w14:paraId="12A45D08" w14:textId="03DA542E" w:rsidR="006D116F" w:rsidRPr="007F01A9" w:rsidRDefault="006D116F" w:rsidP="006D116F">
      <w:pPr>
        <w:spacing w:line="240" w:lineRule="auto"/>
        <w:rPr>
          <w:szCs w:val="22"/>
        </w:rPr>
      </w:pPr>
      <w:r>
        <w:t xml:space="preserve">На базата на анализ на данните от сборни плацебо контролирани клинични проучвания с допълваща терапия при 1308 пациенти с парциални пристъпи общо 61,9% от пациентите, рандомизирани да приемат лакозамид, и 35,2% от рандомизираните да приемат плацебо съобщават поне за една нежелана реакция. Най-често съобщаваните нежелани реакции (≥10%) при лечението с лакозамид са замаяност, главоболие, гадене и диплопия. Тези реакции обикновено са леки до умерени по интензитет. Някои от тях са свързани с дозата и могат да бъдат облекчени чрез намаляване на дозата. Честотата и тежестта на нежеланите реакции от страна на централната нервна система (ЦНС) и </w:t>
      </w:r>
      <w:r w:rsidR="006038C0">
        <w:t>гастроинтестиналния</w:t>
      </w:r>
      <w:r>
        <w:t xml:space="preserve"> тракт (</w:t>
      </w:r>
      <w:r w:rsidR="006038C0">
        <w:t>ГИ</w:t>
      </w:r>
      <w:r>
        <w:t>Т) обикновено намаляват с времето.</w:t>
      </w:r>
    </w:p>
    <w:p w14:paraId="4691A68A" w14:textId="69DC0E19" w:rsidR="006D116F" w:rsidRPr="007F01A9" w:rsidRDefault="006D116F" w:rsidP="006D116F">
      <w:pPr>
        <w:spacing w:line="240" w:lineRule="auto"/>
        <w:rPr>
          <w:szCs w:val="22"/>
        </w:rPr>
      </w:pPr>
      <w:r>
        <w:t>Във всички тези контролирани проучвания процентът на прекратяване на лечението поради нежелани реакции е 12,2% при пациентите, рандомизирани за лакозамид, и 1,6% при пациентите,</w:t>
      </w:r>
      <w:r w:rsidR="006038C0">
        <w:t xml:space="preserve"> </w:t>
      </w:r>
      <w:r>
        <w:t>рандомизирани за плацебо. Най-честата нежелана реакция, водеща до преустановяване на лечението с лакозамид, е появата на замаяност.</w:t>
      </w:r>
    </w:p>
    <w:p w14:paraId="5CAEE388" w14:textId="77777777" w:rsidR="006D116F" w:rsidRPr="0034306A" w:rsidRDefault="006D116F" w:rsidP="006D116F">
      <w:pPr>
        <w:widowControl w:val="0"/>
        <w:tabs>
          <w:tab w:val="clear" w:pos="567"/>
        </w:tabs>
        <w:spacing w:line="249" w:lineRule="exact"/>
        <w:ind w:right="-20"/>
        <w:rPr>
          <w:szCs w:val="22"/>
        </w:rPr>
      </w:pPr>
      <w:r>
        <w:t>Честотата на нежелани реакции от страна на ЦНС, като замаяност, може да бъде по-висока след натоварваща доза.</w:t>
      </w:r>
    </w:p>
    <w:p w14:paraId="3C5BCBB9" w14:textId="77777777" w:rsidR="006D116F" w:rsidRPr="0034306A" w:rsidRDefault="006D116F" w:rsidP="006D116F">
      <w:pPr>
        <w:widowControl w:val="0"/>
        <w:tabs>
          <w:tab w:val="clear" w:pos="567"/>
        </w:tabs>
        <w:spacing w:before="13" w:line="240" w:lineRule="exact"/>
        <w:rPr>
          <w:rFonts w:ascii="Calibri" w:eastAsia="Calibri" w:hAnsi="Calibri"/>
          <w:sz w:val="24"/>
          <w:szCs w:val="24"/>
          <w:lang w:val="en-US"/>
        </w:rPr>
      </w:pPr>
    </w:p>
    <w:p w14:paraId="5E8EC1ED" w14:textId="38207C39" w:rsidR="009E2837" w:rsidRDefault="006D116F" w:rsidP="006D116F">
      <w:pPr>
        <w:widowControl w:val="0"/>
        <w:tabs>
          <w:tab w:val="clear" w:pos="567"/>
        </w:tabs>
        <w:spacing w:line="240" w:lineRule="auto"/>
        <w:ind w:right="84"/>
      </w:pPr>
      <w:r>
        <w:t>Въз основа на анализа на данните от неинфериорно клинично проучване за монотерапия, сравняващо лакозамид и карбамазепин с контролирано освобождаване (CR), най-често съобщаваните нежелани реакции (≥10%) за лакозамид са главоболие и световъртеж. Процентът на прекратяване на лечението поради нежелани реакции е 10,6% при пациентите, лекувани с лакозамид, и 15,6% при пациентите, лекувани с карбамазепин CR.</w:t>
      </w:r>
    </w:p>
    <w:p w14:paraId="514A75B7" w14:textId="77777777" w:rsidR="009E2837" w:rsidRDefault="009E2837" w:rsidP="006D116F">
      <w:pPr>
        <w:widowControl w:val="0"/>
        <w:tabs>
          <w:tab w:val="clear" w:pos="567"/>
        </w:tabs>
        <w:spacing w:line="240" w:lineRule="auto"/>
        <w:ind w:right="84"/>
      </w:pPr>
    </w:p>
    <w:p w14:paraId="646D30A1" w14:textId="3691C95D" w:rsidR="009E2837" w:rsidRPr="009E2837" w:rsidRDefault="009E2837" w:rsidP="009E2837">
      <w:pPr>
        <w:tabs>
          <w:tab w:val="clear" w:pos="567"/>
        </w:tabs>
        <w:autoSpaceDE w:val="0"/>
        <w:autoSpaceDN w:val="0"/>
        <w:adjustRightInd w:val="0"/>
        <w:spacing w:line="240" w:lineRule="auto"/>
        <w:rPr>
          <w:rFonts w:ascii="Arial" w:eastAsiaTheme="minorHAnsi" w:hAnsi="Arial" w:cs="Arial"/>
          <w:color w:val="000000"/>
          <w:sz w:val="16"/>
          <w:szCs w:val="16"/>
        </w:rPr>
      </w:pPr>
      <w:r w:rsidRPr="009E2837">
        <w:rPr>
          <w:rFonts w:eastAsiaTheme="minorHAnsi"/>
          <w:color w:val="000000"/>
          <w:szCs w:val="22"/>
        </w:rPr>
        <w:t xml:space="preserve">Профилът на безопасност на лакозамид, съобщен в проучване, проведено върху пациенти на 4-годишна възраст или по-големи с генерализирана идиопатична епилепсия с първично генерализирани тонично-клонични пристъпи (ПГТКП), съвпада с профила на безопасност, съобщен от сборни плацебо-контролирани клинични проучвания върху парциални пристъпи. </w:t>
      </w:r>
      <w:r w:rsidRPr="009E2837">
        <w:rPr>
          <w:rFonts w:ascii="Arial" w:eastAsiaTheme="minorHAnsi" w:hAnsi="Arial" w:cs="Arial"/>
          <w:color w:val="000000"/>
          <w:sz w:val="16"/>
          <w:szCs w:val="16"/>
        </w:rPr>
        <w:t xml:space="preserve"> </w:t>
      </w:r>
    </w:p>
    <w:p w14:paraId="51343B7E" w14:textId="3C83D688" w:rsidR="009E2837" w:rsidRPr="0034306A" w:rsidRDefault="009E2837" w:rsidP="009E2837">
      <w:pPr>
        <w:widowControl w:val="0"/>
        <w:tabs>
          <w:tab w:val="clear" w:pos="567"/>
        </w:tabs>
        <w:spacing w:line="240" w:lineRule="auto"/>
        <w:ind w:right="84"/>
        <w:rPr>
          <w:szCs w:val="22"/>
        </w:rPr>
      </w:pPr>
      <w:r w:rsidRPr="009E2837">
        <w:rPr>
          <w:rFonts w:eastAsiaTheme="minorHAnsi"/>
          <w:szCs w:val="22"/>
        </w:rPr>
        <w:t>Допълнителни нежелани реакции, съобщени при пациенти с ПГТКП са миоклонична епилепсия (2,5% при групата, лекувана с лакозамид и 0% при плацебо групата) и атаксия (3,3% при групата, лекувана с лакозамид и 0% при плацебо групата). Най-честите нежелани лекарствени реакции са замаяност и сънливост. Най-честите нежелани реакции, водещи до преустановяване на лечението с лакозамид, са замаяност и суицидна идеация. Честотата на преустановяване на лечението поради нежелани реакции е 9,1% в групата, лекувана с лакозамид, и 4,1% в плацебо групата.</w:t>
      </w:r>
    </w:p>
    <w:p w14:paraId="19F1A62B" w14:textId="77777777" w:rsidR="006D116F" w:rsidRPr="0034306A" w:rsidRDefault="006D116F" w:rsidP="006D116F">
      <w:pPr>
        <w:widowControl w:val="0"/>
        <w:tabs>
          <w:tab w:val="clear" w:pos="567"/>
        </w:tabs>
        <w:spacing w:before="13" w:line="240" w:lineRule="exact"/>
        <w:rPr>
          <w:rFonts w:ascii="Calibri" w:eastAsia="Calibri" w:hAnsi="Calibri"/>
          <w:sz w:val="24"/>
          <w:szCs w:val="24"/>
          <w:lang w:val="en-US"/>
        </w:rPr>
      </w:pPr>
    </w:p>
    <w:p w14:paraId="668073C5" w14:textId="496AF6ED" w:rsidR="006D116F" w:rsidRPr="0034306A" w:rsidRDefault="006D116F" w:rsidP="006D116F">
      <w:pPr>
        <w:widowControl w:val="0"/>
        <w:tabs>
          <w:tab w:val="clear" w:pos="567"/>
        </w:tabs>
        <w:spacing w:line="249" w:lineRule="exact"/>
        <w:ind w:right="-20"/>
        <w:rPr>
          <w:szCs w:val="22"/>
        </w:rPr>
      </w:pPr>
      <w:r>
        <w:rPr>
          <w:szCs w:val="22"/>
          <w:u w:val="single" w:color="000000"/>
        </w:rPr>
        <w:t>Табличен списък на нежеланите</w:t>
      </w:r>
      <w:r w:rsidR="006038C0">
        <w:rPr>
          <w:szCs w:val="22"/>
          <w:u w:val="single" w:color="000000"/>
        </w:rPr>
        <w:t xml:space="preserve"> лекарствени</w:t>
      </w:r>
      <w:r>
        <w:rPr>
          <w:szCs w:val="22"/>
          <w:u w:val="single" w:color="000000"/>
        </w:rPr>
        <w:t xml:space="preserve"> реакции</w:t>
      </w:r>
    </w:p>
    <w:p w14:paraId="68E63696" w14:textId="77777777" w:rsidR="006D116F" w:rsidRPr="0034306A" w:rsidRDefault="006D116F" w:rsidP="006D116F">
      <w:pPr>
        <w:widowControl w:val="0"/>
        <w:tabs>
          <w:tab w:val="clear" w:pos="567"/>
        </w:tabs>
        <w:spacing w:before="6" w:line="220" w:lineRule="exact"/>
        <w:rPr>
          <w:rFonts w:ascii="Calibri" w:eastAsia="Calibri" w:hAnsi="Calibri"/>
          <w:szCs w:val="22"/>
          <w:lang w:val="en-US"/>
        </w:rPr>
      </w:pPr>
    </w:p>
    <w:p w14:paraId="62C91984" w14:textId="6CF5EA76" w:rsidR="006D116F" w:rsidRDefault="006D116F" w:rsidP="006D116F">
      <w:pPr>
        <w:widowControl w:val="0"/>
        <w:tabs>
          <w:tab w:val="clear" w:pos="567"/>
        </w:tabs>
        <w:spacing w:before="32" w:line="239" w:lineRule="auto"/>
        <w:ind w:right="101"/>
      </w:pPr>
      <w:r>
        <w:t>На таблицата по-долу е представена честотата на нежеланите реакции, наблюдавани по време на клинични проучвания и постмаркетинговия опит. Тази честота е определена, както следва: много чести (≥1/10), чести (≥1/100 до &lt;1/10), нечести (≥1/1 000 до &lt;1/100) и с неизвестна честота (от наличните данни не може да бъде направена оценка за честота). При всяко групиране в зависимост от честотата нежеланите реакции се изброяват в низходящ ред по отношение на тяхната сериозност.</w:t>
      </w:r>
    </w:p>
    <w:p w14:paraId="31309F63" w14:textId="77777777" w:rsidR="00E15BE1" w:rsidRDefault="00E15BE1" w:rsidP="006D116F">
      <w:pPr>
        <w:widowControl w:val="0"/>
        <w:tabs>
          <w:tab w:val="clear" w:pos="567"/>
        </w:tabs>
        <w:spacing w:before="32" w:line="239" w:lineRule="auto"/>
        <w:ind w:right="101"/>
        <w:rPr>
          <w:szCs w:val="22"/>
        </w:rPr>
      </w:pPr>
    </w:p>
    <w:p w14:paraId="57E4D4EA" w14:textId="77777777" w:rsidR="006D116F" w:rsidRDefault="006D116F" w:rsidP="006D116F">
      <w:pPr>
        <w:spacing w:line="240" w:lineRule="auto"/>
        <w:rPr>
          <w:szCs w:val="22"/>
          <w:u w:val="single"/>
        </w:rPr>
      </w:pPr>
    </w:p>
    <w:tbl>
      <w:tblPr>
        <w:tblW w:w="0" w:type="auto"/>
        <w:tblInd w:w="108" w:type="dxa"/>
        <w:tblLayout w:type="fixed"/>
        <w:tblCellMar>
          <w:left w:w="0" w:type="dxa"/>
          <w:right w:w="0" w:type="dxa"/>
        </w:tblCellMar>
        <w:tblLook w:val="01E0" w:firstRow="1" w:lastRow="1" w:firstColumn="1" w:lastColumn="1" w:noHBand="0" w:noVBand="0"/>
      </w:tblPr>
      <w:tblGrid>
        <w:gridCol w:w="1939"/>
        <w:gridCol w:w="1209"/>
        <w:gridCol w:w="2409"/>
        <w:gridCol w:w="1843"/>
        <w:gridCol w:w="1782"/>
      </w:tblGrid>
      <w:tr w:rsidR="006D116F" w:rsidRPr="00D407D5" w14:paraId="7FCFD96E" w14:textId="77777777" w:rsidTr="003D38DA">
        <w:trPr>
          <w:trHeight w:hRule="exact" w:val="516"/>
        </w:trPr>
        <w:tc>
          <w:tcPr>
            <w:tcW w:w="1939" w:type="dxa"/>
            <w:tcBorders>
              <w:top w:val="single" w:sz="4" w:space="0" w:color="000000"/>
              <w:left w:val="single" w:sz="4" w:space="0" w:color="000000"/>
              <w:bottom w:val="single" w:sz="4" w:space="0" w:color="000000"/>
              <w:right w:val="single" w:sz="4" w:space="0" w:color="000000"/>
            </w:tcBorders>
          </w:tcPr>
          <w:p w14:paraId="00C8E76F" w14:textId="77777777" w:rsidR="006D116F" w:rsidRPr="00D407D5" w:rsidRDefault="006D116F" w:rsidP="00104FEC">
            <w:pPr>
              <w:widowControl w:val="0"/>
              <w:tabs>
                <w:tab w:val="clear" w:pos="567"/>
              </w:tabs>
              <w:spacing w:line="243" w:lineRule="exact"/>
              <w:ind w:left="102" w:right="-20"/>
              <w:rPr>
                <w:szCs w:val="22"/>
              </w:rPr>
            </w:pPr>
            <w:r>
              <w:t>Системо-органен клас</w:t>
            </w:r>
          </w:p>
        </w:tc>
        <w:tc>
          <w:tcPr>
            <w:tcW w:w="1209" w:type="dxa"/>
            <w:tcBorders>
              <w:top w:val="single" w:sz="4" w:space="0" w:color="000000"/>
              <w:left w:val="single" w:sz="4" w:space="0" w:color="000000"/>
              <w:bottom w:val="single" w:sz="4" w:space="0" w:color="000000"/>
              <w:right w:val="single" w:sz="4" w:space="0" w:color="000000"/>
            </w:tcBorders>
          </w:tcPr>
          <w:p w14:paraId="3663394F" w14:textId="77777777" w:rsidR="006D116F" w:rsidRPr="00D407D5" w:rsidRDefault="006D116F" w:rsidP="00E15BE1">
            <w:pPr>
              <w:widowControl w:val="0"/>
              <w:tabs>
                <w:tab w:val="clear" w:pos="567"/>
              </w:tabs>
              <w:spacing w:line="243" w:lineRule="exact"/>
              <w:ind w:right="-20"/>
              <w:rPr>
                <w:szCs w:val="22"/>
              </w:rPr>
            </w:pPr>
            <w:r>
              <w:t>Много чести</w:t>
            </w:r>
          </w:p>
        </w:tc>
        <w:tc>
          <w:tcPr>
            <w:tcW w:w="2409" w:type="dxa"/>
            <w:tcBorders>
              <w:top w:val="single" w:sz="4" w:space="0" w:color="000000"/>
              <w:left w:val="single" w:sz="4" w:space="0" w:color="000000"/>
              <w:bottom w:val="single" w:sz="4" w:space="0" w:color="000000"/>
              <w:right w:val="single" w:sz="4" w:space="0" w:color="000000"/>
            </w:tcBorders>
          </w:tcPr>
          <w:p w14:paraId="179A5715" w14:textId="77777777" w:rsidR="006D116F" w:rsidRPr="00D407D5" w:rsidRDefault="006D116F" w:rsidP="00104FEC">
            <w:pPr>
              <w:widowControl w:val="0"/>
              <w:tabs>
                <w:tab w:val="clear" w:pos="567"/>
              </w:tabs>
              <w:spacing w:line="243" w:lineRule="exact"/>
              <w:ind w:left="102" w:right="-20"/>
              <w:rPr>
                <w:szCs w:val="22"/>
              </w:rPr>
            </w:pPr>
            <w:r>
              <w:t>Чести</w:t>
            </w:r>
          </w:p>
        </w:tc>
        <w:tc>
          <w:tcPr>
            <w:tcW w:w="1843" w:type="dxa"/>
            <w:tcBorders>
              <w:top w:val="single" w:sz="4" w:space="0" w:color="000000"/>
              <w:left w:val="single" w:sz="4" w:space="0" w:color="000000"/>
              <w:bottom w:val="single" w:sz="4" w:space="0" w:color="000000"/>
              <w:right w:val="single" w:sz="4" w:space="0" w:color="000000"/>
            </w:tcBorders>
          </w:tcPr>
          <w:p w14:paraId="170B753B" w14:textId="77777777" w:rsidR="006D116F" w:rsidRPr="00D407D5" w:rsidRDefault="006D116F" w:rsidP="00104FEC">
            <w:pPr>
              <w:widowControl w:val="0"/>
              <w:tabs>
                <w:tab w:val="clear" w:pos="567"/>
              </w:tabs>
              <w:spacing w:line="243" w:lineRule="exact"/>
              <w:ind w:left="103" w:right="-20"/>
              <w:rPr>
                <w:szCs w:val="22"/>
              </w:rPr>
            </w:pPr>
            <w:r>
              <w:t>Нечести</w:t>
            </w:r>
          </w:p>
        </w:tc>
        <w:tc>
          <w:tcPr>
            <w:tcW w:w="1782" w:type="dxa"/>
            <w:tcBorders>
              <w:top w:val="single" w:sz="4" w:space="0" w:color="000000"/>
              <w:left w:val="single" w:sz="4" w:space="0" w:color="000000"/>
              <w:bottom w:val="single" w:sz="4" w:space="0" w:color="000000"/>
              <w:right w:val="single" w:sz="4" w:space="0" w:color="000000"/>
            </w:tcBorders>
          </w:tcPr>
          <w:p w14:paraId="2D9D1F8B" w14:textId="77777777" w:rsidR="006D116F" w:rsidRPr="00D407D5" w:rsidRDefault="006D116F" w:rsidP="00104FEC">
            <w:pPr>
              <w:widowControl w:val="0"/>
              <w:tabs>
                <w:tab w:val="clear" w:pos="567"/>
              </w:tabs>
              <w:spacing w:line="243" w:lineRule="exact"/>
              <w:ind w:left="102" w:right="-20"/>
              <w:rPr>
                <w:szCs w:val="22"/>
              </w:rPr>
            </w:pPr>
            <w:r>
              <w:t>С неизвестна честота</w:t>
            </w:r>
          </w:p>
        </w:tc>
      </w:tr>
      <w:tr w:rsidR="006D116F" w:rsidRPr="00D407D5" w14:paraId="2CAADFBE" w14:textId="77777777" w:rsidTr="003D38DA">
        <w:trPr>
          <w:trHeight w:hRule="exact" w:val="770"/>
        </w:trPr>
        <w:tc>
          <w:tcPr>
            <w:tcW w:w="1939" w:type="dxa"/>
            <w:tcBorders>
              <w:top w:val="single" w:sz="4" w:space="0" w:color="000000"/>
              <w:left w:val="single" w:sz="4" w:space="0" w:color="000000"/>
              <w:bottom w:val="single" w:sz="4" w:space="0" w:color="000000"/>
              <w:right w:val="single" w:sz="4" w:space="0" w:color="000000"/>
            </w:tcBorders>
          </w:tcPr>
          <w:p w14:paraId="63D54B2B" w14:textId="77777777" w:rsidR="006D116F" w:rsidRPr="00D407D5" w:rsidRDefault="006D116F" w:rsidP="006D116F">
            <w:pPr>
              <w:widowControl w:val="0"/>
              <w:tabs>
                <w:tab w:val="clear" w:pos="567"/>
              </w:tabs>
              <w:spacing w:line="243" w:lineRule="exact"/>
              <w:ind w:left="102" w:right="-20"/>
              <w:rPr>
                <w:szCs w:val="22"/>
              </w:rPr>
            </w:pPr>
            <w:r>
              <w:t>Нарушения на кръвта и лимфната система</w:t>
            </w:r>
          </w:p>
        </w:tc>
        <w:tc>
          <w:tcPr>
            <w:tcW w:w="1209" w:type="dxa"/>
            <w:tcBorders>
              <w:top w:val="single" w:sz="4" w:space="0" w:color="000000"/>
              <w:left w:val="single" w:sz="4" w:space="0" w:color="000000"/>
              <w:bottom w:val="single" w:sz="4" w:space="0" w:color="000000"/>
              <w:right w:val="single" w:sz="4" w:space="0" w:color="000000"/>
            </w:tcBorders>
          </w:tcPr>
          <w:p w14:paraId="08B1945B"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2409" w:type="dxa"/>
            <w:tcBorders>
              <w:top w:val="single" w:sz="4" w:space="0" w:color="000000"/>
              <w:left w:val="single" w:sz="4" w:space="0" w:color="000000"/>
              <w:bottom w:val="single" w:sz="4" w:space="0" w:color="000000"/>
              <w:right w:val="single" w:sz="4" w:space="0" w:color="000000"/>
            </w:tcBorders>
          </w:tcPr>
          <w:p w14:paraId="1F951178"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14:paraId="34CBFB17"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1782" w:type="dxa"/>
            <w:tcBorders>
              <w:top w:val="single" w:sz="4" w:space="0" w:color="000000"/>
              <w:left w:val="single" w:sz="4" w:space="0" w:color="000000"/>
              <w:bottom w:val="single" w:sz="4" w:space="0" w:color="000000"/>
              <w:right w:val="single" w:sz="4" w:space="0" w:color="000000"/>
            </w:tcBorders>
          </w:tcPr>
          <w:p w14:paraId="106C7AAC" w14:textId="77777777" w:rsidR="006D116F" w:rsidRPr="00D407D5" w:rsidRDefault="006D116F" w:rsidP="00E15BE1">
            <w:pPr>
              <w:widowControl w:val="0"/>
              <w:tabs>
                <w:tab w:val="clear" w:pos="567"/>
              </w:tabs>
              <w:spacing w:line="243" w:lineRule="exact"/>
              <w:ind w:right="-20"/>
              <w:rPr>
                <w:sz w:val="14"/>
                <w:szCs w:val="14"/>
              </w:rPr>
            </w:pPr>
            <w:r>
              <w:t>Агранулоцитоза</w:t>
            </w:r>
            <w:r>
              <w:rPr>
                <w:sz w:val="14"/>
                <w:szCs w:val="14"/>
              </w:rPr>
              <w:t>(1)</w:t>
            </w:r>
          </w:p>
        </w:tc>
      </w:tr>
      <w:tr w:rsidR="006D116F" w:rsidRPr="00D407D5" w14:paraId="73DF94C2" w14:textId="77777777" w:rsidTr="00B0440C">
        <w:trPr>
          <w:trHeight w:hRule="exact" w:val="1668"/>
        </w:trPr>
        <w:tc>
          <w:tcPr>
            <w:tcW w:w="1939" w:type="dxa"/>
            <w:tcBorders>
              <w:top w:val="single" w:sz="4" w:space="0" w:color="000000"/>
              <w:left w:val="single" w:sz="4" w:space="0" w:color="000000"/>
              <w:bottom w:val="single" w:sz="4" w:space="0" w:color="000000"/>
              <w:right w:val="single" w:sz="4" w:space="0" w:color="000000"/>
            </w:tcBorders>
          </w:tcPr>
          <w:p w14:paraId="32564BE6" w14:textId="77777777" w:rsidR="006D116F" w:rsidRPr="00D407D5" w:rsidRDefault="006D116F" w:rsidP="006D116F">
            <w:pPr>
              <w:widowControl w:val="0"/>
              <w:tabs>
                <w:tab w:val="clear" w:pos="567"/>
              </w:tabs>
              <w:spacing w:line="243" w:lineRule="exact"/>
              <w:ind w:left="102" w:right="-20"/>
              <w:rPr>
                <w:szCs w:val="22"/>
              </w:rPr>
            </w:pPr>
            <w:r>
              <w:t>Нарушения на имунната система</w:t>
            </w:r>
          </w:p>
        </w:tc>
        <w:tc>
          <w:tcPr>
            <w:tcW w:w="1209" w:type="dxa"/>
            <w:tcBorders>
              <w:top w:val="single" w:sz="4" w:space="0" w:color="000000"/>
              <w:left w:val="single" w:sz="4" w:space="0" w:color="000000"/>
              <w:bottom w:val="single" w:sz="4" w:space="0" w:color="000000"/>
              <w:right w:val="single" w:sz="4" w:space="0" w:color="000000"/>
            </w:tcBorders>
          </w:tcPr>
          <w:p w14:paraId="33AA8229"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2409" w:type="dxa"/>
            <w:tcBorders>
              <w:top w:val="single" w:sz="4" w:space="0" w:color="000000"/>
              <w:left w:val="single" w:sz="4" w:space="0" w:color="000000"/>
              <w:bottom w:val="single" w:sz="4" w:space="0" w:color="000000"/>
              <w:right w:val="single" w:sz="4" w:space="0" w:color="000000"/>
            </w:tcBorders>
          </w:tcPr>
          <w:p w14:paraId="2F501CF0"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14:paraId="2F72E5F3" w14:textId="35D89F2B" w:rsidR="006D116F" w:rsidRPr="00D407D5" w:rsidRDefault="006D116F" w:rsidP="00E15BE1">
            <w:pPr>
              <w:widowControl w:val="0"/>
              <w:tabs>
                <w:tab w:val="clear" w:pos="567"/>
              </w:tabs>
              <w:spacing w:line="243" w:lineRule="exact"/>
              <w:ind w:right="-20"/>
              <w:rPr>
                <w:sz w:val="14"/>
                <w:szCs w:val="14"/>
              </w:rPr>
            </w:pPr>
            <w:r>
              <w:t>Лекарствена свръхчувствител</w:t>
            </w:r>
            <w:r w:rsidR="005F64CB">
              <w:rPr>
                <w:lang w:val="en-US"/>
              </w:rPr>
              <w:t>-</w:t>
            </w:r>
            <w:r>
              <w:t>ност</w:t>
            </w:r>
            <w:r>
              <w:rPr>
                <w:sz w:val="14"/>
                <w:szCs w:val="14"/>
              </w:rPr>
              <w:t>(1)</w:t>
            </w:r>
          </w:p>
        </w:tc>
        <w:tc>
          <w:tcPr>
            <w:tcW w:w="1782" w:type="dxa"/>
            <w:tcBorders>
              <w:top w:val="single" w:sz="4" w:space="0" w:color="000000"/>
              <w:left w:val="single" w:sz="4" w:space="0" w:color="000000"/>
              <w:bottom w:val="single" w:sz="4" w:space="0" w:color="000000"/>
              <w:right w:val="single" w:sz="4" w:space="0" w:color="000000"/>
            </w:tcBorders>
          </w:tcPr>
          <w:p w14:paraId="65EC6F0C" w14:textId="77777777" w:rsidR="006D116F" w:rsidRPr="00D407D5" w:rsidRDefault="006D116F" w:rsidP="00E15BE1">
            <w:pPr>
              <w:widowControl w:val="0"/>
              <w:tabs>
                <w:tab w:val="clear" w:pos="567"/>
              </w:tabs>
              <w:spacing w:line="243" w:lineRule="exact"/>
              <w:ind w:right="-20"/>
              <w:rPr>
                <w:szCs w:val="22"/>
              </w:rPr>
            </w:pPr>
            <w:r>
              <w:t xml:space="preserve">Лекарствена реакция с </w:t>
            </w:r>
          </w:p>
          <w:p w14:paraId="020E264A" w14:textId="525EF86E" w:rsidR="006D116F" w:rsidRPr="00D407D5" w:rsidRDefault="006D116F" w:rsidP="00B0440C">
            <w:pPr>
              <w:widowControl w:val="0"/>
              <w:tabs>
                <w:tab w:val="clear" w:pos="567"/>
              </w:tabs>
              <w:spacing w:before="1" w:line="254" w:lineRule="exact"/>
              <w:ind w:right="116"/>
              <w:rPr>
                <w:sz w:val="14"/>
                <w:szCs w:val="14"/>
              </w:rPr>
            </w:pPr>
            <w:r>
              <w:t>еозинофилия и системни симптоми</w:t>
            </w:r>
            <w:r w:rsidR="005F64CB">
              <w:rPr>
                <w:lang w:val="en-US"/>
              </w:rPr>
              <w:t xml:space="preserve"> </w:t>
            </w:r>
            <w:r>
              <w:t xml:space="preserve">(DRESS) </w:t>
            </w:r>
            <w:r>
              <w:rPr>
                <w:sz w:val="14"/>
                <w:szCs w:val="14"/>
              </w:rPr>
              <w:t>(1,2)</w:t>
            </w:r>
          </w:p>
        </w:tc>
      </w:tr>
      <w:tr w:rsidR="006D116F" w:rsidRPr="00D407D5" w14:paraId="414035BC" w14:textId="77777777" w:rsidTr="00B0440C">
        <w:trPr>
          <w:trHeight w:hRule="exact" w:val="2968"/>
        </w:trPr>
        <w:tc>
          <w:tcPr>
            <w:tcW w:w="1939" w:type="dxa"/>
            <w:tcBorders>
              <w:top w:val="single" w:sz="4" w:space="0" w:color="000000"/>
              <w:left w:val="single" w:sz="4" w:space="0" w:color="000000"/>
              <w:bottom w:val="single" w:sz="4" w:space="0" w:color="000000"/>
              <w:right w:val="single" w:sz="4" w:space="0" w:color="000000"/>
            </w:tcBorders>
          </w:tcPr>
          <w:p w14:paraId="635AD94D" w14:textId="77777777" w:rsidR="006D116F" w:rsidRPr="00D407D5" w:rsidRDefault="006D116F" w:rsidP="006D116F">
            <w:pPr>
              <w:widowControl w:val="0"/>
              <w:tabs>
                <w:tab w:val="clear" w:pos="567"/>
              </w:tabs>
              <w:spacing w:line="246" w:lineRule="exact"/>
              <w:ind w:left="102" w:right="-20"/>
              <w:rPr>
                <w:szCs w:val="22"/>
              </w:rPr>
            </w:pPr>
            <w:r>
              <w:t>Психични нарушения</w:t>
            </w:r>
          </w:p>
        </w:tc>
        <w:tc>
          <w:tcPr>
            <w:tcW w:w="1209" w:type="dxa"/>
            <w:tcBorders>
              <w:top w:val="single" w:sz="4" w:space="0" w:color="000000"/>
              <w:left w:val="single" w:sz="4" w:space="0" w:color="000000"/>
              <w:bottom w:val="single" w:sz="4" w:space="0" w:color="000000"/>
              <w:right w:val="single" w:sz="4" w:space="0" w:color="000000"/>
            </w:tcBorders>
          </w:tcPr>
          <w:p w14:paraId="2F4F5570"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2409" w:type="dxa"/>
            <w:tcBorders>
              <w:top w:val="single" w:sz="4" w:space="0" w:color="000000"/>
              <w:left w:val="single" w:sz="4" w:space="0" w:color="000000"/>
              <w:bottom w:val="single" w:sz="4" w:space="0" w:color="000000"/>
              <w:right w:val="single" w:sz="4" w:space="0" w:color="000000"/>
            </w:tcBorders>
          </w:tcPr>
          <w:p w14:paraId="118D63D6" w14:textId="77777777" w:rsidR="006D116F" w:rsidRPr="00D407D5" w:rsidRDefault="006D116F" w:rsidP="00E15BE1">
            <w:pPr>
              <w:widowControl w:val="0"/>
              <w:tabs>
                <w:tab w:val="clear" w:pos="567"/>
              </w:tabs>
              <w:spacing w:line="246" w:lineRule="exact"/>
              <w:ind w:right="-20"/>
              <w:rPr>
                <w:szCs w:val="22"/>
              </w:rPr>
            </w:pPr>
            <w:r>
              <w:t>Депресия</w:t>
            </w:r>
          </w:p>
          <w:p w14:paraId="783BBA6B" w14:textId="77777777" w:rsidR="006D116F" w:rsidRPr="00D407D5" w:rsidRDefault="006D116F" w:rsidP="00E15BE1">
            <w:pPr>
              <w:widowControl w:val="0"/>
              <w:tabs>
                <w:tab w:val="clear" w:pos="567"/>
              </w:tabs>
              <w:spacing w:line="252" w:lineRule="exact"/>
              <w:ind w:right="-20"/>
              <w:rPr>
                <w:szCs w:val="22"/>
              </w:rPr>
            </w:pPr>
            <w:r>
              <w:t>Състояние на обърканост</w:t>
            </w:r>
          </w:p>
          <w:p w14:paraId="266B851F" w14:textId="77777777" w:rsidR="006D116F" w:rsidRPr="00D407D5" w:rsidRDefault="006D116F" w:rsidP="00E15BE1">
            <w:pPr>
              <w:widowControl w:val="0"/>
              <w:tabs>
                <w:tab w:val="clear" w:pos="567"/>
              </w:tabs>
              <w:spacing w:line="252" w:lineRule="exact"/>
              <w:ind w:right="-20"/>
              <w:rPr>
                <w:sz w:val="14"/>
                <w:szCs w:val="14"/>
              </w:rPr>
            </w:pPr>
            <w:r>
              <w:t>Безсъние</w:t>
            </w:r>
            <w:r w:rsidRPr="006150EE">
              <w:rPr>
                <w:sz w:val="18"/>
                <w:szCs w:val="18"/>
                <w:vertAlign w:val="superscript"/>
              </w:rPr>
              <w:t>(1)</w:t>
            </w:r>
          </w:p>
        </w:tc>
        <w:tc>
          <w:tcPr>
            <w:tcW w:w="1843" w:type="dxa"/>
            <w:tcBorders>
              <w:top w:val="single" w:sz="4" w:space="0" w:color="000000"/>
              <w:left w:val="single" w:sz="4" w:space="0" w:color="000000"/>
              <w:bottom w:val="single" w:sz="4" w:space="0" w:color="000000"/>
              <w:right w:val="single" w:sz="4" w:space="0" w:color="000000"/>
            </w:tcBorders>
          </w:tcPr>
          <w:p w14:paraId="05DEBF9F" w14:textId="77777777" w:rsidR="006D116F" w:rsidRPr="00D407D5" w:rsidRDefault="006D116F" w:rsidP="00E15BE1">
            <w:pPr>
              <w:widowControl w:val="0"/>
              <w:tabs>
                <w:tab w:val="clear" w:pos="567"/>
              </w:tabs>
              <w:spacing w:line="246" w:lineRule="exact"/>
              <w:ind w:right="-20"/>
              <w:rPr>
                <w:szCs w:val="22"/>
              </w:rPr>
            </w:pPr>
            <w:r>
              <w:t>Агресия</w:t>
            </w:r>
          </w:p>
          <w:p w14:paraId="4D69E391" w14:textId="77777777" w:rsidR="006D116F" w:rsidRPr="00D407D5" w:rsidRDefault="006D116F" w:rsidP="00E15BE1">
            <w:pPr>
              <w:widowControl w:val="0"/>
              <w:tabs>
                <w:tab w:val="clear" w:pos="567"/>
              </w:tabs>
              <w:spacing w:line="252" w:lineRule="exact"/>
              <w:ind w:right="-20"/>
              <w:rPr>
                <w:sz w:val="14"/>
                <w:szCs w:val="14"/>
              </w:rPr>
            </w:pPr>
            <w:r>
              <w:t>Възбуда</w:t>
            </w:r>
            <w:r>
              <w:rPr>
                <w:sz w:val="14"/>
                <w:szCs w:val="14"/>
              </w:rPr>
              <w:t>(1)</w:t>
            </w:r>
          </w:p>
          <w:p w14:paraId="724C2357" w14:textId="77777777" w:rsidR="006D116F" w:rsidRPr="00D407D5" w:rsidRDefault="006D116F" w:rsidP="00E15BE1">
            <w:pPr>
              <w:widowControl w:val="0"/>
              <w:tabs>
                <w:tab w:val="clear" w:pos="567"/>
              </w:tabs>
              <w:spacing w:line="252" w:lineRule="exact"/>
              <w:ind w:right="-20"/>
              <w:rPr>
                <w:sz w:val="14"/>
                <w:szCs w:val="14"/>
              </w:rPr>
            </w:pPr>
            <w:r>
              <w:t>Еуфорично настроение</w:t>
            </w:r>
            <w:r>
              <w:rPr>
                <w:sz w:val="14"/>
                <w:szCs w:val="14"/>
              </w:rPr>
              <w:t>(1)</w:t>
            </w:r>
          </w:p>
          <w:p w14:paraId="6DF4AF7F" w14:textId="77777777" w:rsidR="006D116F" w:rsidRPr="00D407D5" w:rsidRDefault="006D116F" w:rsidP="00E15BE1">
            <w:pPr>
              <w:widowControl w:val="0"/>
              <w:tabs>
                <w:tab w:val="clear" w:pos="567"/>
              </w:tabs>
              <w:spacing w:before="2" w:line="239" w:lineRule="auto"/>
              <w:ind w:right="53"/>
              <w:rPr>
                <w:sz w:val="14"/>
                <w:szCs w:val="14"/>
              </w:rPr>
            </w:pPr>
            <w:r>
              <w:t>Психотично разстройство</w:t>
            </w:r>
            <w:r>
              <w:rPr>
                <w:sz w:val="14"/>
                <w:szCs w:val="14"/>
              </w:rPr>
              <w:t xml:space="preserve">(1) </w:t>
            </w:r>
            <w:r>
              <w:t xml:space="preserve">Опит за самоубийство </w:t>
            </w:r>
            <w:r>
              <w:rPr>
                <w:sz w:val="14"/>
                <w:szCs w:val="14"/>
              </w:rPr>
              <w:t xml:space="preserve">(1) </w:t>
            </w:r>
            <w:r>
              <w:t xml:space="preserve">Суицидна идеация Халюцинация </w:t>
            </w:r>
            <w:r>
              <w:rPr>
                <w:sz w:val="14"/>
                <w:szCs w:val="14"/>
              </w:rPr>
              <w:t>(1)</w:t>
            </w:r>
          </w:p>
        </w:tc>
        <w:tc>
          <w:tcPr>
            <w:tcW w:w="1782" w:type="dxa"/>
            <w:tcBorders>
              <w:top w:val="single" w:sz="4" w:space="0" w:color="000000"/>
              <w:left w:val="single" w:sz="4" w:space="0" w:color="000000"/>
              <w:bottom w:val="single" w:sz="4" w:space="0" w:color="000000"/>
              <w:right w:val="single" w:sz="4" w:space="0" w:color="000000"/>
            </w:tcBorders>
          </w:tcPr>
          <w:p w14:paraId="5EFD94BE"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r>
      <w:tr w:rsidR="006D116F" w:rsidRPr="00D407D5" w14:paraId="74D0A659" w14:textId="77777777" w:rsidTr="006150EE">
        <w:trPr>
          <w:trHeight w:hRule="exact" w:val="4022"/>
        </w:trPr>
        <w:tc>
          <w:tcPr>
            <w:tcW w:w="1939" w:type="dxa"/>
            <w:tcBorders>
              <w:top w:val="single" w:sz="4" w:space="0" w:color="000000"/>
              <w:left w:val="single" w:sz="4" w:space="0" w:color="000000"/>
              <w:bottom w:val="single" w:sz="4" w:space="0" w:color="000000"/>
              <w:right w:val="single" w:sz="4" w:space="0" w:color="000000"/>
            </w:tcBorders>
          </w:tcPr>
          <w:p w14:paraId="575A38AC" w14:textId="77777777" w:rsidR="006D116F" w:rsidRPr="00D407D5" w:rsidRDefault="006D116F" w:rsidP="006D116F">
            <w:pPr>
              <w:widowControl w:val="0"/>
              <w:tabs>
                <w:tab w:val="clear" w:pos="567"/>
              </w:tabs>
              <w:spacing w:line="243" w:lineRule="exact"/>
              <w:ind w:left="102" w:right="-20"/>
              <w:rPr>
                <w:szCs w:val="22"/>
              </w:rPr>
            </w:pPr>
            <w:r>
              <w:t>Нарушения на нервната система</w:t>
            </w:r>
          </w:p>
        </w:tc>
        <w:tc>
          <w:tcPr>
            <w:tcW w:w="1209" w:type="dxa"/>
            <w:tcBorders>
              <w:top w:val="single" w:sz="4" w:space="0" w:color="000000"/>
              <w:left w:val="single" w:sz="4" w:space="0" w:color="000000"/>
              <w:bottom w:val="single" w:sz="4" w:space="0" w:color="000000"/>
              <w:right w:val="single" w:sz="4" w:space="0" w:color="000000"/>
            </w:tcBorders>
          </w:tcPr>
          <w:p w14:paraId="3B3D1459" w14:textId="77777777" w:rsidR="006D116F" w:rsidRPr="00D407D5" w:rsidRDefault="006D116F" w:rsidP="00E15BE1">
            <w:pPr>
              <w:widowControl w:val="0"/>
              <w:tabs>
                <w:tab w:val="clear" w:pos="567"/>
              </w:tabs>
              <w:spacing w:line="243" w:lineRule="exact"/>
              <w:ind w:right="-20"/>
              <w:rPr>
                <w:szCs w:val="22"/>
              </w:rPr>
            </w:pPr>
            <w:r>
              <w:t>Замаяност</w:t>
            </w:r>
          </w:p>
          <w:p w14:paraId="31426975" w14:textId="77777777" w:rsidR="006D116F" w:rsidRPr="00D407D5" w:rsidRDefault="006D116F" w:rsidP="00E15BE1">
            <w:pPr>
              <w:widowControl w:val="0"/>
              <w:tabs>
                <w:tab w:val="clear" w:pos="567"/>
              </w:tabs>
              <w:spacing w:line="252" w:lineRule="exact"/>
              <w:ind w:right="-20"/>
              <w:rPr>
                <w:szCs w:val="22"/>
              </w:rPr>
            </w:pPr>
            <w:r>
              <w:t>Главоболие</w:t>
            </w:r>
          </w:p>
        </w:tc>
        <w:tc>
          <w:tcPr>
            <w:tcW w:w="2409" w:type="dxa"/>
            <w:tcBorders>
              <w:top w:val="single" w:sz="4" w:space="0" w:color="000000"/>
              <w:left w:val="single" w:sz="4" w:space="0" w:color="000000"/>
              <w:bottom w:val="single" w:sz="4" w:space="0" w:color="000000"/>
              <w:right w:val="single" w:sz="4" w:space="0" w:color="000000"/>
            </w:tcBorders>
          </w:tcPr>
          <w:p w14:paraId="4586F631" w14:textId="77777777" w:rsidR="00785677" w:rsidRDefault="00785677" w:rsidP="00785677">
            <w:pPr>
              <w:pStyle w:val="Default"/>
              <w:rPr>
                <w:sz w:val="14"/>
                <w:szCs w:val="14"/>
              </w:rPr>
            </w:pPr>
            <w:r>
              <w:rPr>
                <w:sz w:val="22"/>
                <w:szCs w:val="22"/>
              </w:rPr>
              <w:t>Миоклонични пристъпи</w:t>
            </w:r>
            <w:r w:rsidRPr="006150EE">
              <w:rPr>
                <w:sz w:val="18"/>
                <w:szCs w:val="18"/>
                <w:vertAlign w:val="superscript"/>
              </w:rPr>
              <w:t>(3)</w:t>
            </w:r>
            <w:r>
              <w:rPr>
                <w:sz w:val="14"/>
                <w:szCs w:val="14"/>
              </w:rPr>
              <w:t xml:space="preserve"> </w:t>
            </w:r>
          </w:p>
          <w:p w14:paraId="217ABA06" w14:textId="3490012D" w:rsidR="00785677" w:rsidRDefault="00785677" w:rsidP="00785677">
            <w:pPr>
              <w:widowControl w:val="0"/>
              <w:tabs>
                <w:tab w:val="clear" w:pos="567"/>
              </w:tabs>
              <w:spacing w:line="243" w:lineRule="exact"/>
              <w:ind w:right="-20"/>
            </w:pPr>
            <w:r>
              <w:rPr>
                <w:szCs w:val="22"/>
              </w:rPr>
              <w:t xml:space="preserve">Атаксия </w:t>
            </w:r>
          </w:p>
          <w:p w14:paraId="5BD48026" w14:textId="54A6E3B7" w:rsidR="006D116F" w:rsidRPr="00D407D5" w:rsidRDefault="006D116F" w:rsidP="00E15BE1">
            <w:pPr>
              <w:widowControl w:val="0"/>
              <w:tabs>
                <w:tab w:val="clear" w:pos="567"/>
              </w:tabs>
              <w:spacing w:line="243" w:lineRule="exact"/>
              <w:ind w:right="-20"/>
              <w:rPr>
                <w:szCs w:val="22"/>
              </w:rPr>
            </w:pPr>
            <w:r>
              <w:t>Нарушение на равновесието</w:t>
            </w:r>
          </w:p>
          <w:p w14:paraId="0245190F" w14:textId="77777777" w:rsidR="006D116F" w:rsidRPr="00D407D5" w:rsidRDefault="006D116F" w:rsidP="00E15BE1">
            <w:pPr>
              <w:widowControl w:val="0"/>
              <w:tabs>
                <w:tab w:val="clear" w:pos="567"/>
              </w:tabs>
              <w:spacing w:before="2" w:line="252" w:lineRule="exact"/>
              <w:ind w:right="836"/>
              <w:rPr>
                <w:szCs w:val="22"/>
              </w:rPr>
            </w:pPr>
            <w:r>
              <w:t>Увреждане на паметта</w:t>
            </w:r>
          </w:p>
          <w:p w14:paraId="2FDF1377" w14:textId="77777777" w:rsidR="006D116F" w:rsidRPr="00D407D5" w:rsidRDefault="006D116F" w:rsidP="00E15BE1">
            <w:pPr>
              <w:widowControl w:val="0"/>
              <w:tabs>
                <w:tab w:val="clear" w:pos="567"/>
              </w:tabs>
              <w:spacing w:line="252" w:lineRule="exact"/>
              <w:ind w:right="-20"/>
              <w:rPr>
                <w:szCs w:val="22"/>
              </w:rPr>
            </w:pPr>
            <w:r>
              <w:t>Когнитивни нарушения</w:t>
            </w:r>
          </w:p>
          <w:p w14:paraId="1BFA8CDC" w14:textId="77777777" w:rsidR="006D116F" w:rsidRPr="00D407D5" w:rsidRDefault="006D116F" w:rsidP="00E15BE1">
            <w:pPr>
              <w:widowControl w:val="0"/>
              <w:tabs>
                <w:tab w:val="clear" w:pos="567"/>
              </w:tabs>
              <w:spacing w:line="252" w:lineRule="exact"/>
              <w:ind w:right="-20"/>
              <w:rPr>
                <w:szCs w:val="22"/>
              </w:rPr>
            </w:pPr>
            <w:r>
              <w:t>Сомнолентност</w:t>
            </w:r>
          </w:p>
          <w:p w14:paraId="4B2C8650" w14:textId="77777777" w:rsidR="00E15BE1" w:rsidRDefault="006D116F" w:rsidP="00E15BE1">
            <w:pPr>
              <w:widowControl w:val="0"/>
              <w:tabs>
                <w:tab w:val="clear" w:pos="567"/>
              </w:tabs>
              <w:spacing w:before="1" w:line="240" w:lineRule="auto"/>
              <w:ind w:right="561"/>
            </w:pPr>
            <w:r>
              <w:t xml:space="preserve">Тремор </w:t>
            </w:r>
          </w:p>
          <w:p w14:paraId="75FA891E" w14:textId="347A1962" w:rsidR="006D116F" w:rsidRPr="00D407D5" w:rsidRDefault="006D116F" w:rsidP="00E15BE1">
            <w:pPr>
              <w:widowControl w:val="0"/>
              <w:tabs>
                <w:tab w:val="clear" w:pos="567"/>
              </w:tabs>
              <w:spacing w:before="1" w:line="240" w:lineRule="auto"/>
              <w:ind w:right="561"/>
              <w:rPr>
                <w:szCs w:val="22"/>
              </w:rPr>
            </w:pPr>
            <w:r>
              <w:t>Нистагъм Хипоестезия Дизартрия Нарушения на вниманието Парестезия</w:t>
            </w:r>
          </w:p>
        </w:tc>
        <w:tc>
          <w:tcPr>
            <w:tcW w:w="1843" w:type="dxa"/>
            <w:tcBorders>
              <w:top w:val="single" w:sz="4" w:space="0" w:color="000000"/>
              <w:left w:val="single" w:sz="4" w:space="0" w:color="000000"/>
              <w:bottom w:val="single" w:sz="4" w:space="0" w:color="000000"/>
              <w:right w:val="single" w:sz="4" w:space="0" w:color="000000"/>
            </w:tcBorders>
          </w:tcPr>
          <w:p w14:paraId="276B42C1" w14:textId="77777777" w:rsidR="006D116F" w:rsidRDefault="006D116F" w:rsidP="00E15BE1">
            <w:pPr>
              <w:widowControl w:val="0"/>
              <w:tabs>
                <w:tab w:val="clear" w:pos="567"/>
              </w:tabs>
              <w:spacing w:line="243" w:lineRule="exact"/>
              <w:ind w:right="-20"/>
              <w:rPr>
                <w:position w:val="7"/>
                <w:sz w:val="14"/>
                <w:szCs w:val="14"/>
              </w:rPr>
            </w:pPr>
            <w:r>
              <w:t>Синкоп</w:t>
            </w:r>
            <w:r>
              <w:rPr>
                <w:sz w:val="14"/>
                <w:szCs w:val="14"/>
              </w:rPr>
              <w:t>(2)</w:t>
            </w:r>
          </w:p>
          <w:p w14:paraId="3B389A66" w14:textId="77777777" w:rsidR="006D116F" w:rsidRDefault="006D116F" w:rsidP="00E15BE1">
            <w:pPr>
              <w:widowControl w:val="0"/>
              <w:tabs>
                <w:tab w:val="clear" w:pos="567"/>
              </w:tabs>
              <w:spacing w:line="243" w:lineRule="exact"/>
              <w:ind w:right="-20"/>
            </w:pPr>
            <w:r>
              <w:t>Нарушение на координацията</w:t>
            </w:r>
          </w:p>
          <w:p w14:paraId="58ECAD85" w14:textId="77DC0616" w:rsidR="00785677" w:rsidRPr="00DD0CDE" w:rsidRDefault="00785677" w:rsidP="00E15BE1">
            <w:pPr>
              <w:widowControl w:val="0"/>
              <w:tabs>
                <w:tab w:val="clear" w:pos="567"/>
              </w:tabs>
              <w:spacing w:line="243" w:lineRule="exact"/>
              <w:ind w:right="-20"/>
              <w:rPr>
                <w:szCs w:val="22"/>
              </w:rPr>
            </w:pPr>
            <w:r w:rsidRPr="00785677">
              <w:rPr>
                <w:szCs w:val="22"/>
              </w:rPr>
              <w:t>Дискинезия</w:t>
            </w:r>
          </w:p>
        </w:tc>
        <w:tc>
          <w:tcPr>
            <w:tcW w:w="1782" w:type="dxa"/>
            <w:tcBorders>
              <w:top w:val="single" w:sz="4" w:space="0" w:color="000000"/>
              <w:left w:val="single" w:sz="4" w:space="0" w:color="000000"/>
              <w:bottom w:val="single" w:sz="4" w:space="0" w:color="000000"/>
              <w:right w:val="single" w:sz="4" w:space="0" w:color="000000"/>
            </w:tcBorders>
          </w:tcPr>
          <w:p w14:paraId="0AC9A521" w14:textId="6138C643" w:rsidR="006D116F" w:rsidRPr="00D407D5" w:rsidRDefault="006D116F" w:rsidP="00E15BE1">
            <w:pPr>
              <w:widowControl w:val="0"/>
              <w:tabs>
                <w:tab w:val="clear" w:pos="567"/>
              </w:tabs>
              <w:spacing w:line="243" w:lineRule="exact"/>
              <w:ind w:right="-20"/>
              <w:rPr>
                <w:sz w:val="14"/>
                <w:szCs w:val="14"/>
              </w:rPr>
            </w:pPr>
            <w:r>
              <w:t>Конвулсия</w:t>
            </w:r>
          </w:p>
        </w:tc>
      </w:tr>
      <w:tr w:rsidR="006D116F" w:rsidRPr="00D407D5" w14:paraId="65430D47" w14:textId="77777777" w:rsidTr="003D38DA">
        <w:trPr>
          <w:trHeight w:hRule="exact" w:val="575"/>
        </w:trPr>
        <w:tc>
          <w:tcPr>
            <w:tcW w:w="1939" w:type="dxa"/>
            <w:tcBorders>
              <w:top w:val="single" w:sz="4" w:space="0" w:color="000000"/>
              <w:left w:val="single" w:sz="4" w:space="0" w:color="000000"/>
              <w:bottom w:val="single" w:sz="4" w:space="0" w:color="000000"/>
              <w:right w:val="single" w:sz="4" w:space="0" w:color="000000"/>
            </w:tcBorders>
          </w:tcPr>
          <w:p w14:paraId="038A897D" w14:textId="77777777" w:rsidR="006D116F" w:rsidRPr="00D407D5" w:rsidRDefault="006D116F" w:rsidP="00104FEC">
            <w:pPr>
              <w:widowControl w:val="0"/>
              <w:tabs>
                <w:tab w:val="clear" w:pos="567"/>
              </w:tabs>
              <w:spacing w:line="246" w:lineRule="exact"/>
              <w:ind w:left="102" w:right="-20"/>
              <w:rPr>
                <w:szCs w:val="22"/>
              </w:rPr>
            </w:pPr>
            <w:r>
              <w:t>Нарушения на очите</w:t>
            </w:r>
          </w:p>
        </w:tc>
        <w:tc>
          <w:tcPr>
            <w:tcW w:w="1209" w:type="dxa"/>
            <w:tcBorders>
              <w:top w:val="single" w:sz="4" w:space="0" w:color="000000"/>
              <w:left w:val="single" w:sz="4" w:space="0" w:color="000000"/>
              <w:bottom w:val="single" w:sz="4" w:space="0" w:color="000000"/>
              <w:right w:val="single" w:sz="4" w:space="0" w:color="000000"/>
            </w:tcBorders>
          </w:tcPr>
          <w:p w14:paraId="74C93C46" w14:textId="77777777" w:rsidR="006D116F" w:rsidRPr="00D407D5" w:rsidRDefault="006D116F" w:rsidP="00E15BE1">
            <w:pPr>
              <w:widowControl w:val="0"/>
              <w:tabs>
                <w:tab w:val="clear" w:pos="567"/>
              </w:tabs>
              <w:spacing w:line="246" w:lineRule="exact"/>
              <w:ind w:right="-20"/>
              <w:rPr>
                <w:szCs w:val="22"/>
              </w:rPr>
            </w:pPr>
            <w:r>
              <w:t>Диплопия</w:t>
            </w:r>
          </w:p>
        </w:tc>
        <w:tc>
          <w:tcPr>
            <w:tcW w:w="2409" w:type="dxa"/>
            <w:tcBorders>
              <w:top w:val="single" w:sz="4" w:space="0" w:color="000000"/>
              <w:left w:val="single" w:sz="4" w:space="0" w:color="000000"/>
              <w:bottom w:val="single" w:sz="4" w:space="0" w:color="000000"/>
              <w:right w:val="single" w:sz="4" w:space="0" w:color="000000"/>
            </w:tcBorders>
          </w:tcPr>
          <w:p w14:paraId="671A4EA6" w14:textId="77777777" w:rsidR="006D116F" w:rsidRPr="00D407D5" w:rsidRDefault="006D116F" w:rsidP="00E15BE1">
            <w:pPr>
              <w:widowControl w:val="0"/>
              <w:tabs>
                <w:tab w:val="clear" w:pos="567"/>
              </w:tabs>
              <w:spacing w:line="246" w:lineRule="exact"/>
              <w:ind w:right="-20"/>
              <w:rPr>
                <w:szCs w:val="22"/>
              </w:rPr>
            </w:pPr>
            <w:r>
              <w:t>Замъглено зрение</w:t>
            </w:r>
          </w:p>
        </w:tc>
        <w:tc>
          <w:tcPr>
            <w:tcW w:w="1843" w:type="dxa"/>
            <w:tcBorders>
              <w:top w:val="single" w:sz="4" w:space="0" w:color="000000"/>
              <w:left w:val="single" w:sz="4" w:space="0" w:color="000000"/>
              <w:bottom w:val="single" w:sz="4" w:space="0" w:color="000000"/>
              <w:right w:val="single" w:sz="4" w:space="0" w:color="000000"/>
            </w:tcBorders>
          </w:tcPr>
          <w:p w14:paraId="77483501"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1782" w:type="dxa"/>
            <w:tcBorders>
              <w:top w:val="single" w:sz="4" w:space="0" w:color="000000"/>
              <w:left w:val="single" w:sz="4" w:space="0" w:color="000000"/>
              <w:bottom w:val="single" w:sz="4" w:space="0" w:color="000000"/>
              <w:right w:val="single" w:sz="4" w:space="0" w:color="000000"/>
            </w:tcBorders>
          </w:tcPr>
          <w:p w14:paraId="28266D7D"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r>
      <w:tr w:rsidR="006D116F" w:rsidRPr="00D407D5" w14:paraId="40E5E3A1" w14:textId="77777777" w:rsidTr="003D38DA">
        <w:trPr>
          <w:trHeight w:hRule="exact" w:val="516"/>
        </w:trPr>
        <w:tc>
          <w:tcPr>
            <w:tcW w:w="1939" w:type="dxa"/>
            <w:tcBorders>
              <w:top w:val="single" w:sz="4" w:space="0" w:color="000000"/>
              <w:left w:val="single" w:sz="4" w:space="0" w:color="000000"/>
              <w:bottom w:val="single" w:sz="4" w:space="0" w:color="000000"/>
              <w:right w:val="single" w:sz="4" w:space="0" w:color="000000"/>
            </w:tcBorders>
          </w:tcPr>
          <w:p w14:paraId="586157D3" w14:textId="77777777" w:rsidR="006D116F" w:rsidRPr="00D407D5" w:rsidRDefault="006D116F" w:rsidP="00104FEC">
            <w:pPr>
              <w:widowControl w:val="0"/>
              <w:tabs>
                <w:tab w:val="clear" w:pos="567"/>
              </w:tabs>
              <w:spacing w:line="243" w:lineRule="exact"/>
              <w:ind w:left="102" w:right="-20"/>
              <w:rPr>
                <w:szCs w:val="22"/>
              </w:rPr>
            </w:pPr>
            <w:r>
              <w:t>Нарушение на</w:t>
            </w:r>
          </w:p>
          <w:p w14:paraId="29731D3C" w14:textId="77777777" w:rsidR="006D116F" w:rsidRPr="00D407D5" w:rsidRDefault="006D116F" w:rsidP="00104FEC">
            <w:pPr>
              <w:widowControl w:val="0"/>
              <w:tabs>
                <w:tab w:val="clear" w:pos="567"/>
              </w:tabs>
              <w:spacing w:before="1" w:line="240" w:lineRule="auto"/>
              <w:ind w:left="102" w:right="-20"/>
              <w:rPr>
                <w:szCs w:val="22"/>
              </w:rPr>
            </w:pPr>
            <w:r>
              <w:t>ухото и лабиринта</w:t>
            </w:r>
          </w:p>
        </w:tc>
        <w:tc>
          <w:tcPr>
            <w:tcW w:w="1209" w:type="dxa"/>
            <w:tcBorders>
              <w:top w:val="single" w:sz="4" w:space="0" w:color="000000"/>
              <w:left w:val="single" w:sz="4" w:space="0" w:color="000000"/>
              <w:bottom w:val="single" w:sz="4" w:space="0" w:color="000000"/>
              <w:right w:val="single" w:sz="4" w:space="0" w:color="000000"/>
            </w:tcBorders>
          </w:tcPr>
          <w:p w14:paraId="403549A2"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2409" w:type="dxa"/>
            <w:tcBorders>
              <w:top w:val="single" w:sz="4" w:space="0" w:color="000000"/>
              <w:left w:val="single" w:sz="4" w:space="0" w:color="000000"/>
              <w:bottom w:val="single" w:sz="4" w:space="0" w:color="000000"/>
              <w:right w:val="single" w:sz="4" w:space="0" w:color="000000"/>
            </w:tcBorders>
          </w:tcPr>
          <w:p w14:paraId="5756A697" w14:textId="77777777" w:rsidR="006D116F" w:rsidRPr="00D407D5" w:rsidRDefault="006D116F" w:rsidP="00330D6F">
            <w:pPr>
              <w:widowControl w:val="0"/>
              <w:tabs>
                <w:tab w:val="clear" w:pos="567"/>
              </w:tabs>
              <w:spacing w:line="243" w:lineRule="exact"/>
              <w:ind w:right="-20"/>
              <w:rPr>
                <w:szCs w:val="22"/>
              </w:rPr>
            </w:pPr>
            <w:r>
              <w:t>Вертиго</w:t>
            </w:r>
          </w:p>
          <w:p w14:paraId="3241C76C" w14:textId="77777777" w:rsidR="006D116F" w:rsidRPr="00D407D5" w:rsidRDefault="006D116F" w:rsidP="00330D6F">
            <w:pPr>
              <w:widowControl w:val="0"/>
              <w:tabs>
                <w:tab w:val="clear" w:pos="567"/>
              </w:tabs>
              <w:spacing w:before="1" w:line="240" w:lineRule="auto"/>
              <w:ind w:right="-20"/>
              <w:rPr>
                <w:szCs w:val="22"/>
              </w:rPr>
            </w:pPr>
            <w:r>
              <w:t>Тинитус</w:t>
            </w:r>
          </w:p>
        </w:tc>
        <w:tc>
          <w:tcPr>
            <w:tcW w:w="1843" w:type="dxa"/>
            <w:tcBorders>
              <w:top w:val="single" w:sz="4" w:space="0" w:color="000000"/>
              <w:left w:val="single" w:sz="4" w:space="0" w:color="000000"/>
              <w:bottom w:val="single" w:sz="4" w:space="0" w:color="000000"/>
              <w:right w:val="single" w:sz="4" w:space="0" w:color="000000"/>
            </w:tcBorders>
          </w:tcPr>
          <w:p w14:paraId="208C4889"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1782" w:type="dxa"/>
            <w:tcBorders>
              <w:top w:val="single" w:sz="4" w:space="0" w:color="000000"/>
              <w:left w:val="single" w:sz="4" w:space="0" w:color="000000"/>
              <w:bottom w:val="single" w:sz="4" w:space="0" w:color="000000"/>
              <w:right w:val="single" w:sz="4" w:space="0" w:color="000000"/>
            </w:tcBorders>
          </w:tcPr>
          <w:p w14:paraId="40C7827E"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r>
      <w:tr w:rsidR="006D116F" w:rsidRPr="00D407D5" w14:paraId="58B094E3" w14:textId="77777777" w:rsidTr="003D38DA">
        <w:trPr>
          <w:trHeight w:hRule="exact" w:val="1909"/>
        </w:trPr>
        <w:tc>
          <w:tcPr>
            <w:tcW w:w="1939" w:type="dxa"/>
            <w:tcBorders>
              <w:top w:val="single" w:sz="4" w:space="0" w:color="000000"/>
              <w:left w:val="single" w:sz="4" w:space="0" w:color="000000"/>
              <w:bottom w:val="single" w:sz="4" w:space="0" w:color="000000"/>
              <w:right w:val="single" w:sz="4" w:space="0" w:color="000000"/>
            </w:tcBorders>
          </w:tcPr>
          <w:p w14:paraId="4E5A78BF" w14:textId="77777777" w:rsidR="006D116F" w:rsidRPr="00D407D5" w:rsidRDefault="006D116F" w:rsidP="00104FEC">
            <w:pPr>
              <w:widowControl w:val="0"/>
              <w:tabs>
                <w:tab w:val="clear" w:pos="567"/>
              </w:tabs>
              <w:spacing w:line="243" w:lineRule="exact"/>
              <w:ind w:left="102" w:right="-20"/>
              <w:rPr>
                <w:szCs w:val="22"/>
              </w:rPr>
            </w:pPr>
            <w:r>
              <w:t>Сърдечни нарушения</w:t>
            </w:r>
          </w:p>
        </w:tc>
        <w:tc>
          <w:tcPr>
            <w:tcW w:w="1209" w:type="dxa"/>
            <w:tcBorders>
              <w:top w:val="single" w:sz="4" w:space="0" w:color="000000"/>
              <w:left w:val="single" w:sz="4" w:space="0" w:color="000000"/>
              <w:bottom w:val="single" w:sz="4" w:space="0" w:color="000000"/>
              <w:right w:val="single" w:sz="4" w:space="0" w:color="000000"/>
            </w:tcBorders>
          </w:tcPr>
          <w:p w14:paraId="7FD70861"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2409" w:type="dxa"/>
            <w:tcBorders>
              <w:top w:val="single" w:sz="4" w:space="0" w:color="000000"/>
              <w:left w:val="single" w:sz="4" w:space="0" w:color="000000"/>
              <w:bottom w:val="single" w:sz="4" w:space="0" w:color="000000"/>
              <w:right w:val="single" w:sz="4" w:space="0" w:color="000000"/>
            </w:tcBorders>
          </w:tcPr>
          <w:p w14:paraId="77697F00"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14:paraId="31468A70" w14:textId="77777777" w:rsidR="00E15BE1" w:rsidRDefault="006D116F" w:rsidP="00E15BE1">
            <w:pPr>
              <w:widowControl w:val="0"/>
              <w:tabs>
                <w:tab w:val="clear" w:pos="567"/>
              </w:tabs>
              <w:spacing w:line="243" w:lineRule="exact"/>
              <w:ind w:right="-20"/>
              <w:rPr>
                <w:szCs w:val="22"/>
              </w:rPr>
            </w:pPr>
            <w:r>
              <w:t>Атриовентри</w:t>
            </w:r>
            <w:r w:rsidR="006038C0">
              <w:t>-</w:t>
            </w:r>
            <w:r>
              <w:t>куларен</w:t>
            </w:r>
            <w:r w:rsidR="00E15BE1">
              <w:rPr>
                <w:szCs w:val="22"/>
              </w:rPr>
              <w:t xml:space="preserve"> </w:t>
            </w:r>
            <w:r>
              <w:t>блок</w:t>
            </w:r>
            <w:r w:rsidRPr="006150EE">
              <w:rPr>
                <w:sz w:val="18"/>
                <w:szCs w:val="18"/>
                <w:vertAlign w:val="superscript"/>
              </w:rPr>
              <w:t>(1,2)</w:t>
            </w:r>
            <w:r>
              <w:rPr>
                <w:sz w:val="14"/>
                <w:szCs w:val="14"/>
              </w:rPr>
              <w:t xml:space="preserve"> </w:t>
            </w:r>
            <w:r>
              <w:t>Брадикардия</w:t>
            </w:r>
            <w:r w:rsidRPr="006150EE">
              <w:rPr>
                <w:sz w:val="18"/>
                <w:szCs w:val="18"/>
                <w:vertAlign w:val="superscript"/>
              </w:rPr>
              <w:t>(1,2)</w:t>
            </w:r>
            <w:r>
              <w:rPr>
                <w:sz w:val="14"/>
                <w:szCs w:val="14"/>
              </w:rPr>
              <w:t xml:space="preserve"> </w:t>
            </w:r>
            <w:r>
              <w:t xml:space="preserve">Предсърдно мъждене </w:t>
            </w:r>
            <w:r w:rsidRPr="006150EE">
              <w:rPr>
                <w:sz w:val="18"/>
                <w:szCs w:val="18"/>
                <w:vertAlign w:val="superscript"/>
              </w:rPr>
              <w:t>(1,2)</w:t>
            </w:r>
          </w:p>
          <w:p w14:paraId="2CF74F61" w14:textId="50859F8B" w:rsidR="006D116F" w:rsidRPr="00E15BE1" w:rsidRDefault="006D116F" w:rsidP="00E15BE1">
            <w:pPr>
              <w:widowControl w:val="0"/>
              <w:tabs>
                <w:tab w:val="clear" w:pos="567"/>
              </w:tabs>
              <w:spacing w:line="243" w:lineRule="exact"/>
              <w:ind w:right="-20"/>
              <w:rPr>
                <w:szCs w:val="22"/>
              </w:rPr>
            </w:pPr>
            <w:r>
              <w:t xml:space="preserve">Предсърдно трептене </w:t>
            </w:r>
            <w:r w:rsidRPr="006150EE">
              <w:rPr>
                <w:sz w:val="18"/>
                <w:szCs w:val="18"/>
                <w:vertAlign w:val="superscript"/>
              </w:rPr>
              <w:t>(1,2)</w:t>
            </w:r>
          </w:p>
        </w:tc>
        <w:tc>
          <w:tcPr>
            <w:tcW w:w="1782" w:type="dxa"/>
            <w:tcBorders>
              <w:top w:val="single" w:sz="4" w:space="0" w:color="000000"/>
              <w:left w:val="single" w:sz="4" w:space="0" w:color="000000"/>
              <w:bottom w:val="single" w:sz="4" w:space="0" w:color="000000"/>
              <w:right w:val="single" w:sz="4" w:space="0" w:color="000000"/>
            </w:tcBorders>
          </w:tcPr>
          <w:p w14:paraId="26AD12A2" w14:textId="77777777" w:rsidR="006D116F" w:rsidRPr="00D407D5" w:rsidRDefault="006D116F" w:rsidP="00104FEC">
            <w:pPr>
              <w:widowControl w:val="0"/>
              <w:tabs>
                <w:tab w:val="clear" w:pos="567"/>
              </w:tabs>
              <w:spacing w:after="200" w:line="276" w:lineRule="auto"/>
              <w:rPr>
                <w:rFonts w:ascii="Calibri" w:eastAsia="Calibri" w:hAnsi="Calibri"/>
                <w:szCs w:val="22"/>
              </w:rPr>
            </w:pPr>
            <w:r>
              <w:rPr>
                <w:color w:val="000000"/>
                <w:szCs w:val="22"/>
              </w:rPr>
              <w:t xml:space="preserve">Камерна тахиаритмия </w:t>
            </w:r>
            <w:r w:rsidRPr="006150EE">
              <w:rPr>
                <w:color w:val="000000"/>
                <w:sz w:val="18"/>
                <w:szCs w:val="18"/>
                <w:vertAlign w:val="superscript"/>
              </w:rPr>
              <w:t>(1)</w:t>
            </w:r>
          </w:p>
        </w:tc>
      </w:tr>
      <w:tr w:rsidR="006D116F" w:rsidRPr="00D407D5" w14:paraId="623C56C1" w14:textId="77777777" w:rsidTr="003D38DA">
        <w:trPr>
          <w:trHeight w:hRule="exact" w:val="1755"/>
        </w:trPr>
        <w:tc>
          <w:tcPr>
            <w:tcW w:w="1939" w:type="dxa"/>
            <w:tcBorders>
              <w:top w:val="single" w:sz="4" w:space="0" w:color="000000"/>
              <w:left w:val="single" w:sz="4" w:space="0" w:color="000000"/>
              <w:bottom w:val="single" w:sz="4" w:space="0" w:color="000000"/>
              <w:right w:val="single" w:sz="4" w:space="0" w:color="000000"/>
            </w:tcBorders>
          </w:tcPr>
          <w:p w14:paraId="094C9F9C" w14:textId="77777777" w:rsidR="006D116F" w:rsidRPr="00D407D5" w:rsidRDefault="006D116F" w:rsidP="00104FEC">
            <w:pPr>
              <w:widowControl w:val="0"/>
              <w:tabs>
                <w:tab w:val="clear" w:pos="567"/>
              </w:tabs>
              <w:spacing w:line="243" w:lineRule="exact"/>
              <w:ind w:left="102" w:right="-20"/>
              <w:rPr>
                <w:szCs w:val="22"/>
              </w:rPr>
            </w:pPr>
            <w:r>
              <w:t>Стомашно-чревни</w:t>
            </w:r>
          </w:p>
          <w:p w14:paraId="5B93E0AA" w14:textId="77777777" w:rsidR="006D116F" w:rsidRPr="00D407D5" w:rsidRDefault="006D116F" w:rsidP="00104FEC">
            <w:pPr>
              <w:widowControl w:val="0"/>
              <w:tabs>
                <w:tab w:val="clear" w:pos="567"/>
              </w:tabs>
              <w:spacing w:line="252" w:lineRule="exact"/>
              <w:ind w:left="102" w:right="-20"/>
              <w:rPr>
                <w:szCs w:val="22"/>
              </w:rPr>
            </w:pPr>
            <w:r>
              <w:t>нарушения</w:t>
            </w:r>
          </w:p>
        </w:tc>
        <w:tc>
          <w:tcPr>
            <w:tcW w:w="1209" w:type="dxa"/>
            <w:tcBorders>
              <w:top w:val="single" w:sz="4" w:space="0" w:color="000000"/>
              <w:left w:val="single" w:sz="4" w:space="0" w:color="000000"/>
              <w:bottom w:val="single" w:sz="4" w:space="0" w:color="000000"/>
              <w:right w:val="single" w:sz="4" w:space="0" w:color="000000"/>
            </w:tcBorders>
          </w:tcPr>
          <w:p w14:paraId="531EAE0D" w14:textId="77777777" w:rsidR="006D116F" w:rsidRPr="00D407D5" w:rsidRDefault="006D116F" w:rsidP="00E15BE1">
            <w:pPr>
              <w:widowControl w:val="0"/>
              <w:tabs>
                <w:tab w:val="clear" w:pos="567"/>
              </w:tabs>
              <w:spacing w:line="243" w:lineRule="exact"/>
              <w:ind w:right="-20"/>
              <w:rPr>
                <w:szCs w:val="22"/>
              </w:rPr>
            </w:pPr>
            <w:r>
              <w:t>Гадене</w:t>
            </w:r>
          </w:p>
        </w:tc>
        <w:tc>
          <w:tcPr>
            <w:tcW w:w="2409" w:type="dxa"/>
            <w:tcBorders>
              <w:top w:val="single" w:sz="4" w:space="0" w:color="000000"/>
              <w:left w:val="single" w:sz="4" w:space="0" w:color="000000"/>
              <w:bottom w:val="single" w:sz="4" w:space="0" w:color="000000"/>
              <w:right w:val="single" w:sz="4" w:space="0" w:color="000000"/>
            </w:tcBorders>
          </w:tcPr>
          <w:p w14:paraId="5B080FD3" w14:textId="71D00ED1" w:rsidR="006D116F" w:rsidRPr="00D407D5" w:rsidRDefault="00E15BE1" w:rsidP="00E15BE1">
            <w:pPr>
              <w:widowControl w:val="0"/>
              <w:tabs>
                <w:tab w:val="clear" w:pos="567"/>
              </w:tabs>
              <w:spacing w:line="243" w:lineRule="exact"/>
              <w:ind w:right="1012"/>
              <w:jc w:val="both"/>
              <w:rPr>
                <w:szCs w:val="22"/>
              </w:rPr>
            </w:pPr>
            <w:r>
              <w:t>Повръщане</w:t>
            </w:r>
          </w:p>
          <w:p w14:paraId="5F53E918" w14:textId="77777777" w:rsidR="006D116F" w:rsidRPr="00D407D5" w:rsidRDefault="006D116F" w:rsidP="00E15BE1">
            <w:pPr>
              <w:widowControl w:val="0"/>
              <w:tabs>
                <w:tab w:val="clear" w:pos="567"/>
              </w:tabs>
              <w:spacing w:line="252" w:lineRule="exact"/>
              <w:ind w:right="724"/>
              <w:jc w:val="both"/>
              <w:rPr>
                <w:szCs w:val="22"/>
              </w:rPr>
            </w:pPr>
            <w:r>
              <w:t>Запек</w:t>
            </w:r>
          </w:p>
          <w:p w14:paraId="5DB6ABD5" w14:textId="4F31A8C2" w:rsidR="00E15BE1" w:rsidRDefault="00E15BE1" w:rsidP="00E15BE1">
            <w:pPr>
              <w:widowControl w:val="0"/>
              <w:tabs>
                <w:tab w:val="clear" w:pos="567"/>
              </w:tabs>
              <w:spacing w:before="1" w:line="239" w:lineRule="auto"/>
              <w:ind w:right="890"/>
              <w:jc w:val="both"/>
            </w:pPr>
            <w:r>
              <w:t>Флатуленция</w:t>
            </w:r>
          </w:p>
          <w:p w14:paraId="2A4E06D5" w14:textId="77777777" w:rsidR="00E15BE1" w:rsidRDefault="00E15BE1" w:rsidP="00E15BE1">
            <w:pPr>
              <w:widowControl w:val="0"/>
              <w:tabs>
                <w:tab w:val="clear" w:pos="567"/>
              </w:tabs>
              <w:spacing w:before="1" w:line="239" w:lineRule="auto"/>
              <w:ind w:right="890"/>
              <w:jc w:val="both"/>
            </w:pPr>
            <w:r>
              <w:t xml:space="preserve">Диспепсия Сухота </w:t>
            </w:r>
            <w:r w:rsidR="006D116F">
              <w:t xml:space="preserve">в устата </w:t>
            </w:r>
          </w:p>
          <w:p w14:paraId="31221696" w14:textId="7F1D8396" w:rsidR="006D116F" w:rsidRPr="00D407D5" w:rsidRDefault="006D116F" w:rsidP="00E15BE1">
            <w:pPr>
              <w:widowControl w:val="0"/>
              <w:tabs>
                <w:tab w:val="clear" w:pos="567"/>
              </w:tabs>
              <w:spacing w:before="1" w:line="239" w:lineRule="auto"/>
              <w:ind w:right="890"/>
              <w:jc w:val="both"/>
              <w:rPr>
                <w:szCs w:val="22"/>
              </w:rPr>
            </w:pPr>
            <w:r>
              <w:t>Диария</w:t>
            </w:r>
          </w:p>
        </w:tc>
        <w:tc>
          <w:tcPr>
            <w:tcW w:w="1843" w:type="dxa"/>
            <w:tcBorders>
              <w:top w:val="single" w:sz="4" w:space="0" w:color="000000"/>
              <w:left w:val="single" w:sz="4" w:space="0" w:color="000000"/>
              <w:bottom w:val="single" w:sz="4" w:space="0" w:color="000000"/>
              <w:right w:val="single" w:sz="4" w:space="0" w:color="000000"/>
            </w:tcBorders>
          </w:tcPr>
          <w:p w14:paraId="03C93C4E"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1782" w:type="dxa"/>
            <w:tcBorders>
              <w:top w:val="single" w:sz="4" w:space="0" w:color="000000"/>
              <w:left w:val="single" w:sz="4" w:space="0" w:color="000000"/>
              <w:bottom w:val="single" w:sz="4" w:space="0" w:color="000000"/>
              <w:right w:val="single" w:sz="4" w:space="0" w:color="000000"/>
            </w:tcBorders>
          </w:tcPr>
          <w:p w14:paraId="5A1B3E92"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r>
      <w:tr w:rsidR="006D116F" w:rsidRPr="00D407D5" w14:paraId="5E2FD55C" w14:textId="77777777" w:rsidTr="003D38DA">
        <w:trPr>
          <w:trHeight w:hRule="exact" w:val="2357"/>
        </w:trPr>
        <w:tc>
          <w:tcPr>
            <w:tcW w:w="1939" w:type="dxa"/>
            <w:tcBorders>
              <w:top w:val="single" w:sz="4" w:space="0" w:color="000000"/>
              <w:left w:val="single" w:sz="4" w:space="0" w:color="000000"/>
              <w:bottom w:val="single" w:sz="4" w:space="0" w:color="000000"/>
              <w:right w:val="single" w:sz="4" w:space="0" w:color="000000"/>
            </w:tcBorders>
          </w:tcPr>
          <w:p w14:paraId="3FD923A6" w14:textId="77777777" w:rsidR="006D116F" w:rsidRPr="00D407D5" w:rsidRDefault="006D116F" w:rsidP="00104FEC">
            <w:pPr>
              <w:widowControl w:val="0"/>
              <w:tabs>
                <w:tab w:val="clear" w:pos="567"/>
              </w:tabs>
              <w:spacing w:line="243" w:lineRule="exact"/>
              <w:ind w:left="102" w:right="-20"/>
              <w:rPr>
                <w:szCs w:val="22"/>
              </w:rPr>
            </w:pPr>
            <w:r>
              <w:t>Хепатобилиарни</w:t>
            </w:r>
          </w:p>
          <w:p w14:paraId="0839629D" w14:textId="77777777" w:rsidR="006D116F" w:rsidRPr="00D407D5" w:rsidRDefault="006D116F" w:rsidP="00104FEC">
            <w:pPr>
              <w:widowControl w:val="0"/>
              <w:tabs>
                <w:tab w:val="clear" w:pos="567"/>
              </w:tabs>
              <w:spacing w:before="1" w:line="240" w:lineRule="auto"/>
              <w:ind w:left="102" w:right="-20"/>
              <w:rPr>
                <w:szCs w:val="22"/>
              </w:rPr>
            </w:pPr>
            <w:r>
              <w:t>нарушения</w:t>
            </w:r>
          </w:p>
        </w:tc>
        <w:tc>
          <w:tcPr>
            <w:tcW w:w="1209" w:type="dxa"/>
            <w:tcBorders>
              <w:top w:val="single" w:sz="4" w:space="0" w:color="000000"/>
              <w:left w:val="single" w:sz="4" w:space="0" w:color="000000"/>
              <w:bottom w:val="single" w:sz="4" w:space="0" w:color="000000"/>
              <w:right w:val="single" w:sz="4" w:space="0" w:color="000000"/>
            </w:tcBorders>
          </w:tcPr>
          <w:p w14:paraId="1C88C334"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2409" w:type="dxa"/>
            <w:tcBorders>
              <w:top w:val="single" w:sz="4" w:space="0" w:color="000000"/>
              <w:left w:val="single" w:sz="4" w:space="0" w:color="000000"/>
              <w:bottom w:val="single" w:sz="4" w:space="0" w:color="000000"/>
              <w:right w:val="single" w:sz="4" w:space="0" w:color="000000"/>
            </w:tcBorders>
          </w:tcPr>
          <w:p w14:paraId="45B57523"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14:paraId="5D5B91FC" w14:textId="77777777" w:rsidR="006D116F" w:rsidRPr="00D407D5" w:rsidRDefault="006D116F" w:rsidP="00E15BE1">
            <w:pPr>
              <w:widowControl w:val="0"/>
              <w:tabs>
                <w:tab w:val="clear" w:pos="567"/>
              </w:tabs>
              <w:spacing w:line="243" w:lineRule="exact"/>
              <w:ind w:right="-20"/>
              <w:rPr>
                <w:szCs w:val="22"/>
              </w:rPr>
            </w:pPr>
            <w:r>
              <w:t>Абнормни резултати при чернодробни</w:t>
            </w:r>
          </w:p>
          <w:p w14:paraId="1CFC5B52" w14:textId="77777777" w:rsidR="006D116F" w:rsidRPr="00D407D5" w:rsidRDefault="006D116F" w:rsidP="00E15BE1">
            <w:pPr>
              <w:widowControl w:val="0"/>
              <w:tabs>
                <w:tab w:val="clear" w:pos="567"/>
              </w:tabs>
              <w:spacing w:before="1" w:line="240" w:lineRule="auto"/>
              <w:ind w:right="426"/>
              <w:rPr>
                <w:szCs w:val="22"/>
              </w:rPr>
            </w:pPr>
            <w:r>
              <w:t>функционални тестове</w:t>
            </w:r>
            <w:r w:rsidRPr="006150EE">
              <w:rPr>
                <w:sz w:val="18"/>
                <w:szCs w:val="18"/>
                <w:vertAlign w:val="superscript"/>
              </w:rPr>
              <w:t xml:space="preserve">(2) </w:t>
            </w:r>
            <w:r>
              <w:t>Повишени чернодробни ензими</w:t>
            </w:r>
          </w:p>
          <w:p w14:paraId="18482C69" w14:textId="77777777" w:rsidR="006D116F" w:rsidRPr="00D407D5" w:rsidRDefault="006D116F" w:rsidP="00E15BE1">
            <w:pPr>
              <w:widowControl w:val="0"/>
              <w:tabs>
                <w:tab w:val="clear" w:pos="567"/>
              </w:tabs>
              <w:spacing w:line="252" w:lineRule="exact"/>
              <w:ind w:right="-20"/>
              <w:rPr>
                <w:sz w:val="14"/>
                <w:szCs w:val="14"/>
              </w:rPr>
            </w:pPr>
            <w:r>
              <w:t xml:space="preserve">(&gt;2 х ULN) </w:t>
            </w:r>
            <w:r w:rsidRPr="006150EE">
              <w:rPr>
                <w:sz w:val="18"/>
                <w:szCs w:val="18"/>
                <w:vertAlign w:val="superscript"/>
              </w:rPr>
              <w:t>(1)</w:t>
            </w:r>
          </w:p>
        </w:tc>
        <w:tc>
          <w:tcPr>
            <w:tcW w:w="1782" w:type="dxa"/>
            <w:tcBorders>
              <w:top w:val="single" w:sz="4" w:space="0" w:color="000000"/>
              <w:left w:val="single" w:sz="4" w:space="0" w:color="000000"/>
              <w:bottom w:val="single" w:sz="4" w:space="0" w:color="000000"/>
              <w:right w:val="single" w:sz="4" w:space="0" w:color="000000"/>
            </w:tcBorders>
          </w:tcPr>
          <w:p w14:paraId="23DC86E5"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r>
      <w:tr w:rsidR="006D116F" w:rsidRPr="00D407D5" w14:paraId="7D31DDD0" w14:textId="77777777" w:rsidTr="003D38DA">
        <w:trPr>
          <w:trHeight w:hRule="exact" w:val="1700"/>
        </w:trPr>
        <w:tc>
          <w:tcPr>
            <w:tcW w:w="1939" w:type="dxa"/>
            <w:tcBorders>
              <w:top w:val="single" w:sz="4" w:space="0" w:color="000000"/>
              <w:left w:val="single" w:sz="4" w:space="0" w:color="000000"/>
              <w:bottom w:val="single" w:sz="4" w:space="0" w:color="000000"/>
              <w:right w:val="single" w:sz="4" w:space="0" w:color="000000"/>
            </w:tcBorders>
          </w:tcPr>
          <w:p w14:paraId="6C18FFEA" w14:textId="77777777" w:rsidR="006D116F" w:rsidRPr="00D407D5" w:rsidRDefault="006D116F" w:rsidP="00104FEC">
            <w:pPr>
              <w:widowControl w:val="0"/>
              <w:tabs>
                <w:tab w:val="clear" w:pos="567"/>
              </w:tabs>
              <w:spacing w:line="246" w:lineRule="exact"/>
              <w:ind w:left="102" w:right="-20"/>
              <w:rPr>
                <w:szCs w:val="22"/>
              </w:rPr>
            </w:pPr>
            <w:r>
              <w:t>Нарушения на кожата и</w:t>
            </w:r>
          </w:p>
          <w:p w14:paraId="161E9784" w14:textId="77777777" w:rsidR="006D116F" w:rsidRPr="00D407D5" w:rsidRDefault="006D116F" w:rsidP="00104FEC">
            <w:pPr>
              <w:widowControl w:val="0"/>
              <w:tabs>
                <w:tab w:val="clear" w:pos="567"/>
              </w:tabs>
              <w:spacing w:before="3" w:line="252" w:lineRule="exact"/>
              <w:ind w:left="102" w:right="405"/>
              <w:rPr>
                <w:szCs w:val="22"/>
              </w:rPr>
            </w:pPr>
            <w:r>
              <w:t>подкожната тъкан</w:t>
            </w:r>
          </w:p>
        </w:tc>
        <w:tc>
          <w:tcPr>
            <w:tcW w:w="1209" w:type="dxa"/>
            <w:tcBorders>
              <w:top w:val="single" w:sz="4" w:space="0" w:color="000000"/>
              <w:left w:val="single" w:sz="4" w:space="0" w:color="000000"/>
              <w:bottom w:val="single" w:sz="4" w:space="0" w:color="000000"/>
              <w:right w:val="single" w:sz="4" w:space="0" w:color="000000"/>
            </w:tcBorders>
          </w:tcPr>
          <w:p w14:paraId="2EA75ED2" w14:textId="77777777" w:rsidR="006D116F" w:rsidRPr="00D407D5" w:rsidRDefault="006D116F" w:rsidP="00104FEC">
            <w:pPr>
              <w:widowControl w:val="0"/>
              <w:tabs>
                <w:tab w:val="clear" w:pos="567"/>
              </w:tabs>
              <w:spacing w:after="200" w:line="276" w:lineRule="auto"/>
              <w:rPr>
                <w:rFonts w:ascii="Calibri" w:eastAsia="Calibri" w:hAnsi="Calibri"/>
                <w:szCs w:val="22"/>
                <w:lang w:val="en-US"/>
              </w:rPr>
            </w:pPr>
          </w:p>
        </w:tc>
        <w:tc>
          <w:tcPr>
            <w:tcW w:w="2409" w:type="dxa"/>
            <w:tcBorders>
              <w:top w:val="single" w:sz="4" w:space="0" w:color="000000"/>
              <w:left w:val="single" w:sz="4" w:space="0" w:color="000000"/>
              <w:bottom w:val="single" w:sz="4" w:space="0" w:color="000000"/>
              <w:right w:val="single" w:sz="4" w:space="0" w:color="000000"/>
            </w:tcBorders>
          </w:tcPr>
          <w:p w14:paraId="65ED7D25" w14:textId="77777777" w:rsidR="006D116F" w:rsidRPr="00D407D5" w:rsidRDefault="006D116F" w:rsidP="00E15BE1">
            <w:pPr>
              <w:widowControl w:val="0"/>
              <w:tabs>
                <w:tab w:val="clear" w:pos="567"/>
              </w:tabs>
              <w:spacing w:line="246" w:lineRule="exact"/>
              <w:ind w:right="-20"/>
              <w:rPr>
                <w:szCs w:val="22"/>
              </w:rPr>
            </w:pPr>
            <w:r>
              <w:t>Сърбеж</w:t>
            </w:r>
          </w:p>
          <w:p w14:paraId="62E6F2FE" w14:textId="77777777" w:rsidR="006D116F" w:rsidRPr="00D407D5" w:rsidRDefault="006D116F" w:rsidP="00E15BE1">
            <w:pPr>
              <w:widowControl w:val="0"/>
              <w:tabs>
                <w:tab w:val="clear" w:pos="567"/>
              </w:tabs>
              <w:spacing w:line="252" w:lineRule="exact"/>
              <w:ind w:right="-20"/>
              <w:rPr>
                <w:sz w:val="14"/>
                <w:szCs w:val="14"/>
              </w:rPr>
            </w:pPr>
            <w:r>
              <w:t>Обрив</w:t>
            </w:r>
            <w:r w:rsidRPr="006150EE">
              <w:rPr>
                <w:sz w:val="18"/>
                <w:szCs w:val="18"/>
                <w:vertAlign w:val="superscript"/>
              </w:rPr>
              <w:t>(1)</w:t>
            </w:r>
          </w:p>
        </w:tc>
        <w:tc>
          <w:tcPr>
            <w:tcW w:w="1843" w:type="dxa"/>
            <w:tcBorders>
              <w:top w:val="single" w:sz="4" w:space="0" w:color="000000"/>
              <w:left w:val="single" w:sz="4" w:space="0" w:color="000000"/>
              <w:bottom w:val="single" w:sz="4" w:space="0" w:color="000000"/>
              <w:right w:val="single" w:sz="4" w:space="0" w:color="000000"/>
            </w:tcBorders>
          </w:tcPr>
          <w:p w14:paraId="5104F275" w14:textId="77777777" w:rsidR="006D116F" w:rsidRPr="00D407D5" w:rsidRDefault="006D116F" w:rsidP="00E15BE1">
            <w:pPr>
              <w:widowControl w:val="0"/>
              <w:tabs>
                <w:tab w:val="clear" w:pos="567"/>
              </w:tabs>
              <w:spacing w:line="246" w:lineRule="exact"/>
              <w:ind w:right="-20"/>
              <w:rPr>
                <w:sz w:val="14"/>
                <w:szCs w:val="14"/>
              </w:rPr>
            </w:pPr>
            <w:r>
              <w:t>Ангиоадем</w:t>
            </w:r>
            <w:r w:rsidRPr="006150EE">
              <w:rPr>
                <w:sz w:val="18"/>
                <w:szCs w:val="18"/>
                <w:vertAlign w:val="superscript"/>
              </w:rPr>
              <w:t>(1)</w:t>
            </w:r>
          </w:p>
          <w:p w14:paraId="45D659D4" w14:textId="77777777" w:rsidR="006D116F" w:rsidRPr="00D407D5" w:rsidRDefault="006D116F" w:rsidP="00E15BE1">
            <w:pPr>
              <w:widowControl w:val="0"/>
              <w:tabs>
                <w:tab w:val="clear" w:pos="567"/>
              </w:tabs>
              <w:spacing w:line="252" w:lineRule="exact"/>
              <w:ind w:right="-20"/>
              <w:rPr>
                <w:sz w:val="14"/>
                <w:szCs w:val="14"/>
              </w:rPr>
            </w:pPr>
            <w:r>
              <w:t>Уртикария</w:t>
            </w:r>
            <w:r w:rsidRPr="006150EE">
              <w:rPr>
                <w:sz w:val="18"/>
                <w:szCs w:val="18"/>
                <w:vertAlign w:val="superscript"/>
              </w:rPr>
              <w:t>(1)</w:t>
            </w:r>
          </w:p>
        </w:tc>
        <w:tc>
          <w:tcPr>
            <w:tcW w:w="1782" w:type="dxa"/>
            <w:tcBorders>
              <w:top w:val="single" w:sz="4" w:space="0" w:color="000000"/>
              <w:left w:val="single" w:sz="4" w:space="0" w:color="000000"/>
              <w:bottom w:val="single" w:sz="4" w:space="0" w:color="000000"/>
              <w:right w:val="single" w:sz="4" w:space="0" w:color="000000"/>
            </w:tcBorders>
          </w:tcPr>
          <w:p w14:paraId="4B41065D" w14:textId="77777777" w:rsidR="006D116F" w:rsidRPr="00D407D5" w:rsidRDefault="006D116F" w:rsidP="00E15BE1">
            <w:pPr>
              <w:widowControl w:val="0"/>
              <w:tabs>
                <w:tab w:val="clear" w:pos="567"/>
              </w:tabs>
              <w:spacing w:before="56" w:line="252" w:lineRule="exact"/>
              <w:ind w:right="360"/>
              <w:rPr>
                <w:sz w:val="14"/>
                <w:szCs w:val="14"/>
              </w:rPr>
            </w:pPr>
            <w:r>
              <w:t>Синдром на Stevens-Johnson</w:t>
            </w:r>
            <w:r>
              <w:rPr>
                <w:sz w:val="14"/>
                <w:szCs w:val="14"/>
              </w:rPr>
              <w:t>(1)</w:t>
            </w:r>
          </w:p>
          <w:p w14:paraId="189DEA4A" w14:textId="77777777" w:rsidR="006D116F" w:rsidRPr="00D407D5" w:rsidRDefault="006D116F" w:rsidP="00E15BE1">
            <w:pPr>
              <w:widowControl w:val="0"/>
              <w:tabs>
                <w:tab w:val="clear" w:pos="567"/>
              </w:tabs>
              <w:spacing w:before="56" w:line="241" w:lineRule="auto"/>
              <w:ind w:right="394"/>
              <w:rPr>
                <w:sz w:val="14"/>
                <w:szCs w:val="14"/>
              </w:rPr>
            </w:pPr>
            <w:r>
              <w:t>Токсична епидермална некролиза</w:t>
            </w:r>
            <w:r w:rsidRPr="006150EE">
              <w:rPr>
                <w:sz w:val="18"/>
                <w:szCs w:val="18"/>
                <w:vertAlign w:val="superscript"/>
              </w:rPr>
              <w:t>(1)</w:t>
            </w:r>
          </w:p>
        </w:tc>
      </w:tr>
      <w:tr w:rsidR="006D116F" w:rsidRPr="00F256A5" w14:paraId="63EEA63E" w14:textId="77777777" w:rsidTr="003D38DA">
        <w:trPr>
          <w:trHeight w:hRule="exact" w:val="1548"/>
        </w:trPr>
        <w:tc>
          <w:tcPr>
            <w:tcW w:w="1939" w:type="dxa"/>
            <w:tcBorders>
              <w:top w:val="single" w:sz="4" w:space="0" w:color="000000"/>
              <w:left w:val="single" w:sz="4" w:space="0" w:color="000000"/>
              <w:bottom w:val="single" w:sz="4" w:space="0" w:color="000000"/>
              <w:right w:val="single" w:sz="4" w:space="0" w:color="000000"/>
            </w:tcBorders>
          </w:tcPr>
          <w:p w14:paraId="7D1778F5" w14:textId="77777777" w:rsidR="006D116F" w:rsidRPr="00F256A5" w:rsidRDefault="006D116F" w:rsidP="00104FEC">
            <w:pPr>
              <w:widowControl w:val="0"/>
              <w:tabs>
                <w:tab w:val="clear" w:pos="567"/>
              </w:tabs>
              <w:spacing w:line="246" w:lineRule="exact"/>
              <w:ind w:left="102" w:right="-20"/>
              <w:rPr>
                <w:szCs w:val="22"/>
              </w:rPr>
            </w:pPr>
            <w:r>
              <w:t xml:space="preserve">Нарушения на мускулно-скелетната система и </w:t>
            </w:r>
          </w:p>
          <w:p w14:paraId="08884DB6" w14:textId="77777777" w:rsidR="006D116F" w:rsidRPr="00F256A5" w:rsidRDefault="006D116F" w:rsidP="00104FEC">
            <w:pPr>
              <w:widowControl w:val="0"/>
              <w:tabs>
                <w:tab w:val="clear" w:pos="567"/>
              </w:tabs>
              <w:spacing w:before="3" w:line="252" w:lineRule="exact"/>
              <w:ind w:left="102" w:right="405"/>
              <w:rPr>
                <w:szCs w:val="22"/>
              </w:rPr>
            </w:pPr>
            <w:r>
              <w:t>съединителната тъкан</w:t>
            </w:r>
          </w:p>
        </w:tc>
        <w:tc>
          <w:tcPr>
            <w:tcW w:w="1209" w:type="dxa"/>
            <w:tcBorders>
              <w:top w:val="single" w:sz="4" w:space="0" w:color="000000"/>
              <w:left w:val="single" w:sz="4" w:space="0" w:color="000000"/>
              <w:bottom w:val="single" w:sz="4" w:space="0" w:color="000000"/>
              <w:right w:val="single" w:sz="4" w:space="0" w:color="000000"/>
            </w:tcBorders>
          </w:tcPr>
          <w:p w14:paraId="7019F896" w14:textId="77777777" w:rsidR="006D116F" w:rsidRPr="00F256A5" w:rsidRDefault="006D116F" w:rsidP="00104FEC">
            <w:pPr>
              <w:widowControl w:val="0"/>
              <w:tabs>
                <w:tab w:val="clear" w:pos="567"/>
              </w:tabs>
              <w:spacing w:after="200" w:line="276" w:lineRule="auto"/>
              <w:rPr>
                <w:rFonts w:ascii="Calibri" w:eastAsia="Calibri" w:hAnsi="Calibri"/>
                <w:szCs w:val="22"/>
                <w:lang w:val="en-US"/>
              </w:rPr>
            </w:pPr>
          </w:p>
        </w:tc>
        <w:tc>
          <w:tcPr>
            <w:tcW w:w="2409" w:type="dxa"/>
            <w:tcBorders>
              <w:top w:val="single" w:sz="4" w:space="0" w:color="000000"/>
              <w:left w:val="single" w:sz="4" w:space="0" w:color="000000"/>
              <w:bottom w:val="single" w:sz="4" w:space="0" w:color="000000"/>
              <w:right w:val="single" w:sz="4" w:space="0" w:color="000000"/>
            </w:tcBorders>
          </w:tcPr>
          <w:p w14:paraId="2F62788C" w14:textId="77777777" w:rsidR="006D116F" w:rsidRPr="00F256A5" w:rsidRDefault="006D116F" w:rsidP="00E15BE1">
            <w:pPr>
              <w:widowControl w:val="0"/>
              <w:tabs>
                <w:tab w:val="clear" w:pos="567"/>
              </w:tabs>
              <w:spacing w:line="246" w:lineRule="exact"/>
              <w:ind w:right="-20"/>
              <w:rPr>
                <w:szCs w:val="22"/>
              </w:rPr>
            </w:pPr>
            <w:r>
              <w:t>Мускулни спазми</w:t>
            </w:r>
          </w:p>
        </w:tc>
        <w:tc>
          <w:tcPr>
            <w:tcW w:w="1843" w:type="dxa"/>
            <w:tcBorders>
              <w:top w:val="single" w:sz="4" w:space="0" w:color="000000"/>
              <w:left w:val="single" w:sz="4" w:space="0" w:color="000000"/>
              <w:bottom w:val="single" w:sz="4" w:space="0" w:color="000000"/>
              <w:right w:val="single" w:sz="4" w:space="0" w:color="000000"/>
            </w:tcBorders>
          </w:tcPr>
          <w:p w14:paraId="6FB7559E" w14:textId="77777777" w:rsidR="006D116F" w:rsidRPr="00F256A5" w:rsidRDefault="006D116F" w:rsidP="00104FEC">
            <w:pPr>
              <w:widowControl w:val="0"/>
              <w:tabs>
                <w:tab w:val="clear" w:pos="567"/>
              </w:tabs>
              <w:spacing w:after="200" w:line="276" w:lineRule="auto"/>
              <w:rPr>
                <w:rFonts w:ascii="Calibri" w:eastAsia="Calibri" w:hAnsi="Calibri"/>
                <w:szCs w:val="22"/>
                <w:lang w:val="en-US"/>
              </w:rPr>
            </w:pPr>
          </w:p>
        </w:tc>
        <w:tc>
          <w:tcPr>
            <w:tcW w:w="1782" w:type="dxa"/>
            <w:tcBorders>
              <w:top w:val="single" w:sz="4" w:space="0" w:color="000000"/>
              <w:left w:val="single" w:sz="4" w:space="0" w:color="000000"/>
              <w:bottom w:val="single" w:sz="4" w:space="0" w:color="000000"/>
              <w:right w:val="single" w:sz="4" w:space="0" w:color="000000"/>
            </w:tcBorders>
          </w:tcPr>
          <w:p w14:paraId="675C8888" w14:textId="77777777" w:rsidR="006D116F" w:rsidRPr="00F256A5" w:rsidRDefault="006D116F" w:rsidP="00104FEC">
            <w:pPr>
              <w:widowControl w:val="0"/>
              <w:tabs>
                <w:tab w:val="clear" w:pos="567"/>
              </w:tabs>
              <w:spacing w:after="200" w:line="276" w:lineRule="auto"/>
              <w:rPr>
                <w:rFonts w:ascii="Calibri" w:eastAsia="Calibri" w:hAnsi="Calibri"/>
                <w:szCs w:val="22"/>
                <w:lang w:val="en-US"/>
              </w:rPr>
            </w:pPr>
          </w:p>
        </w:tc>
      </w:tr>
      <w:tr w:rsidR="006D116F" w:rsidRPr="00F256A5" w14:paraId="3EDE6574" w14:textId="77777777" w:rsidTr="003D38DA">
        <w:trPr>
          <w:trHeight w:hRule="exact" w:val="1934"/>
        </w:trPr>
        <w:tc>
          <w:tcPr>
            <w:tcW w:w="1939" w:type="dxa"/>
            <w:tcBorders>
              <w:top w:val="single" w:sz="4" w:space="0" w:color="000000"/>
              <w:left w:val="single" w:sz="4" w:space="0" w:color="000000"/>
              <w:bottom w:val="single" w:sz="4" w:space="0" w:color="000000"/>
              <w:right w:val="single" w:sz="4" w:space="0" w:color="000000"/>
            </w:tcBorders>
          </w:tcPr>
          <w:p w14:paraId="556C7462" w14:textId="77777777" w:rsidR="006D116F" w:rsidRPr="00F256A5" w:rsidRDefault="006D116F" w:rsidP="00104FEC">
            <w:pPr>
              <w:widowControl w:val="0"/>
              <w:tabs>
                <w:tab w:val="clear" w:pos="567"/>
              </w:tabs>
              <w:spacing w:line="243" w:lineRule="exact"/>
              <w:ind w:left="102" w:right="-20"/>
              <w:rPr>
                <w:szCs w:val="22"/>
              </w:rPr>
            </w:pPr>
            <w:r>
              <w:t>Общи нарушения</w:t>
            </w:r>
          </w:p>
          <w:p w14:paraId="3CB9C7F7" w14:textId="77777777" w:rsidR="006D116F" w:rsidRPr="00F256A5" w:rsidRDefault="006D116F" w:rsidP="00104FEC">
            <w:pPr>
              <w:widowControl w:val="0"/>
              <w:tabs>
                <w:tab w:val="clear" w:pos="567"/>
              </w:tabs>
              <w:spacing w:before="1" w:line="254" w:lineRule="exact"/>
              <w:ind w:left="102" w:right="124"/>
              <w:rPr>
                <w:szCs w:val="22"/>
              </w:rPr>
            </w:pPr>
            <w:r>
              <w:t>и ефекти на мястото на приложение</w:t>
            </w:r>
          </w:p>
        </w:tc>
        <w:tc>
          <w:tcPr>
            <w:tcW w:w="1209" w:type="dxa"/>
            <w:tcBorders>
              <w:top w:val="single" w:sz="4" w:space="0" w:color="000000"/>
              <w:left w:val="single" w:sz="4" w:space="0" w:color="000000"/>
              <w:bottom w:val="single" w:sz="4" w:space="0" w:color="000000"/>
              <w:right w:val="single" w:sz="4" w:space="0" w:color="000000"/>
            </w:tcBorders>
          </w:tcPr>
          <w:p w14:paraId="3E392BF1" w14:textId="77777777" w:rsidR="006D116F" w:rsidRPr="00F256A5" w:rsidRDefault="006D116F" w:rsidP="00104FEC">
            <w:pPr>
              <w:widowControl w:val="0"/>
              <w:tabs>
                <w:tab w:val="clear" w:pos="567"/>
              </w:tabs>
              <w:spacing w:after="200" w:line="276" w:lineRule="auto"/>
              <w:rPr>
                <w:rFonts w:ascii="Calibri" w:eastAsia="Calibri" w:hAnsi="Calibri"/>
                <w:szCs w:val="22"/>
                <w:lang w:val="en-US"/>
              </w:rPr>
            </w:pPr>
          </w:p>
        </w:tc>
        <w:tc>
          <w:tcPr>
            <w:tcW w:w="2409" w:type="dxa"/>
            <w:tcBorders>
              <w:top w:val="single" w:sz="4" w:space="0" w:color="000000"/>
              <w:left w:val="single" w:sz="4" w:space="0" w:color="000000"/>
              <w:bottom w:val="single" w:sz="4" w:space="0" w:color="000000"/>
              <w:right w:val="single" w:sz="4" w:space="0" w:color="000000"/>
            </w:tcBorders>
          </w:tcPr>
          <w:p w14:paraId="325794E4" w14:textId="77777777" w:rsidR="006D116F" w:rsidRPr="00F256A5" w:rsidRDefault="006D116F" w:rsidP="00E15BE1">
            <w:pPr>
              <w:widowControl w:val="0"/>
              <w:tabs>
                <w:tab w:val="clear" w:pos="567"/>
              </w:tabs>
              <w:spacing w:line="243" w:lineRule="exact"/>
              <w:ind w:right="-20"/>
              <w:rPr>
                <w:szCs w:val="22"/>
              </w:rPr>
            </w:pPr>
            <w:r>
              <w:t>Нарушение на походката</w:t>
            </w:r>
          </w:p>
          <w:p w14:paraId="64F7CE96" w14:textId="77777777" w:rsidR="006D116F" w:rsidRPr="00F256A5" w:rsidRDefault="006D116F" w:rsidP="00E15BE1">
            <w:pPr>
              <w:widowControl w:val="0"/>
              <w:tabs>
                <w:tab w:val="clear" w:pos="567"/>
              </w:tabs>
              <w:spacing w:line="252" w:lineRule="exact"/>
              <w:ind w:right="-20"/>
              <w:rPr>
                <w:szCs w:val="22"/>
              </w:rPr>
            </w:pPr>
            <w:r>
              <w:t>Астения</w:t>
            </w:r>
          </w:p>
          <w:p w14:paraId="11BD2F94" w14:textId="5FA62676" w:rsidR="006D116F" w:rsidRPr="00F256A5" w:rsidRDefault="00330D6F" w:rsidP="00E15BE1">
            <w:pPr>
              <w:widowControl w:val="0"/>
              <w:tabs>
                <w:tab w:val="clear" w:pos="567"/>
              </w:tabs>
              <w:spacing w:before="1" w:line="240" w:lineRule="auto"/>
              <w:ind w:right="623"/>
              <w:rPr>
                <w:szCs w:val="22"/>
              </w:rPr>
            </w:pPr>
            <w:r>
              <w:t>Умора Раздразнителнос</w:t>
            </w:r>
            <w:r w:rsidR="006D116F">
              <w:t>т Чувство за опиянение</w:t>
            </w:r>
          </w:p>
        </w:tc>
        <w:tc>
          <w:tcPr>
            <w:tcW w:w="1843" w:type="dxa"/>
            <w:tcBorders>
              <w:top w:val="single" w:sz="4" w:space="0" w:color="000000"/>
              <w:left w:val="single" w:sz="4" w:space="0" w:color="000000"/>
              <w:bottom w:val="single" w:sz="4" w:space="0" w:color="000000"/>
              <w:right w:val="single" w:sz="4" w:space="0" w:color="000000"/>
            </w:tcBorders>
          </w:tcPr>
          <w:p w14:paraId="21D70780" w14:textId="77777777" w:rsidR="006D116F" w:rsidRPr="00F256A5" w:rsidRDefault="006D116F" w:rsidP="00104FEC">
            <w:pPr>
              <w:widowControl w:val="0"/>
              <w:tabs>
                <w:tab w:val="clear" w:pos="567"/>
              </w:tabs>
              <w:spacing w:after="200" w:line="276" w:lineRule="auto"/>
              <w:rPr>
                <w:rFonts w:ascii="Calibri" w:eastAsia="Calibri" w:hAnsi="Calibri"/>
                <w:szCs w:val="22"/>
                <w:lang w:val="en-US"/>
              </w:rPr>
            </w:pPr>
          </w:p>
        </w:tc>
        <w:tc>
          <w:tcPr>
            <w:tcW w:w="1782" w:type="dxa"/>
            <w:tcBorders>
              <w:top w:val="single" w:sz="4" w:space="0" w:color="000000"/>
              <w:left w:val="single" w:sz="4" w:space="0" w:color="000000"/>
              <w:bottom w:val="single" w:sz="4" w:space="0" w:color="000000"/>
              <w:right w:val="single" w:sz="4" w:space="0" w:color="000000"/>
            </w:tcBorders>
          </w:tcPr>
          <w:p w14:paraId="51477EF5" w14:textId="77777777" w:rsidR="006D116F" w:rsidRPr="00F256A5" w:rsidRDefault="006D116F" w:rsidP="00104FEC">
            <w:pPr>
              <w:widowControl w:val="0"/>
              <w:tabs>
                <w:tab w:val="clear" w:pos="567"/>
              </w:tabs>
              <w:spacing w:after="200" w:line="276" w:lineRule="auto"/>
              <w:rPr>
                <w:rFonts w:ascii="Calibri" w:eastAsia="Calibri" w:hAnsi="Calibri"/>
                <w:szCs w:val="22"/>
                <w:lang w:val="en-US"/>
              </w:rPr>
            </w:pPr>
          </w:p>
        </w:tc>
      </w:tr>
      <w:tr w:rsidR="006D116F" w:rsidRPr="00F256A5" w14:paraId="3A877B88" w14:textId="77777777" w:rsidTr="003D38DA">
        <w:trPr>
          <w:trHeight w:hRule="exact" w:val="1711"/>
        </w:trPr>
        <w:tc>
          <w:tcPr>
            <w:tcW w:w="1939" w:type="dxa"/>
            <w:tcBorders>
              <w:top w:val="single" w:sz="4" w:space="0" w:color="000000"/>
              <w:left w:val="single" w:sz="4" w:space="0" w:color="000000"/>
              <w:bottom w:val="single" w:sz="4" w:space="0" w:color="000000"/>
              <w:right w:val="single" w:sz="4" w:space="0" w:color="000000"/>
            </w:tcBorders>
          </w:tcPr>
          <w:p w14:paraId="74E6F4EB" w14:textId="77777777" w:rsidR="006D116F" w:rsidRPr="00F256A5" w:rsidRDefault="006D116F" w:rsidP="00104FEC">
            <w:pPr>
              <w:widowControl w:val="0"/>
              <w:tabs>
                <w:tab w:val="clear" w:pos="567"/>
              </w:tabs>
              <w:spacing w:line="243" w:lineRule="exact"/>
              <w:ind w:left="102" w:right="-20"/>
              <w:rPr>
                <w:szCs w:val="22"/>
              </w:rPr>
            </w:pPr>
            <w:r>
              <w:t>Наранявания, отравяния</w:t>
            </w:r>
          </w:p>
          <w:p w14:paraId="5B4EDD25" w14:textId="1195693D" w:rsidR="006D116F" w:rsidRPr="00F256A5" w:rsidRDefault="00050D35" w:rsidP="00050D35">
            <w:pPr>
              <w:widowControl w:val="0"/>
              <w:tabs>
                <w:tab w:val="clear" w:pos="567"/>
              </w:tabs>
              <w:spacing w:before="5" w:line="252" w:lineRule="exact"/>
              <w:ind w:left="102" w:right="454"/>
              <w:rPr>
                <w:szCs w:val="22"/>
              </w:rPr>
            </w:pPr>
            <w:r>
              <w:t>и</w:t>
            </w:r>
            <w:r w:rsidR="006D116F">
              <w:t xml:space="preserve"> усложнения</w:t>
            </w:r>
            <w:r>
              <w:t>, възникнали в резултат на интервенции</w:t>
            </w:r>
          </w:p>
        </w:tc>
        <w:tc>
          <w:tcPr>
            <w:tcW w:w="1209" w:type="dxa"/>
            <w:tcBorders>
              <w:top w:val="single" w:sz="4" w:space="0" w:color="000000"/>
              <w:left w:val="single" w:sz="4" w:space="0" w:color="000000"/>
              <w:bottom w:val="single" w:sz="4" w:space="0" w:color="000000"/>
              <w:right w:val="single" w:sz="4" w:space="0" w:color="000000"/>
            </w:tcBorders>
          </w:tcPr>
          <w:p w14:paraId="7B86C55B" w14:textId="77777777" w:rsidR="006D116F" w:rsidRPr="00F256A5" w:rsidRDefault="006D116F" w:rsidP="00104FEC">
            <w:pPr>
              <w:widowControl w:val="0"/>
              <w:tabs>
                <w:tab w:val="clear" w:pos="567"/>
              </w:tabs>
              <w:spacing w:after="200" w:line="276" w:lineRule="auto"/>
              <w:rPr>
                <w:rFonts w:ascii="Calibri" w:eastAsia="Calibri" w:hAnsi="Calibri"/>
                <w:szCs w:val="22"/>
                <w:lang w:val="en-US"/>
              </w:rPr>
            </w:pPr>
          </w:p>
        </w:tc>
        <w:tc>
          <w:tcPr>
            <w:tcW w:w="2409" w:type="dxa"/>
            <w:tcBorders>
              <w:top w:val="single" w:sz="4" w:space="0" w:color="000000"/>
              <w:left w:val="single" w:sz="4" w:space="0" w:color="000000"/>
              <w:bottom w:val="single" w:sz="4" w:space="0" w:color="000000"/>
              <w:right w:val="single" w:sz="4" w:space="0" w:color="000000"/>
            </w:tcBorders>
          </w:tcPr>
          <w:p w14:paraId="7C4E29FE" w14:textId="77777777" w:rsidR="006D116F" w:rsidRPr="00F256A5" w:rsidRDefault="006D116F" w:rsidP="00E15BE1">
            <w:pPr>
              <w:widowControl w:val="0"/>
              <w:tabs>
                <w:tab w:val="clear" w:pos="567"/>
              </w:tabs>
              <w:spacing w:line="243" w:lineRule="exact"/>
              <w:ind w:right="-20"/>
              <w:rPr>
                <w:szCs w:val="22"/>
              </w:rPr>
            </w:pPr>
            <w:r>
              <w:t>Падане</w:t>
            </w:r>
          </w:p>
          <w:p w14:paraId="5DADF1E1" w14:textId="77777777" w:rsidR="006D116F" w:rsidRPr="00F256A5" w:rsidRDefault="006D116F" w:rsidP="00E15BE1">
            <w:pPr>
              <w:widowControl w:val="0"/>
              <w:tabs>
                <w:tab w:val="clear" w:pos="567"/>
              </w:tabs>
              <w:spacing w:before="1" w:line="240" w:lineRule="auto"/>
              <w:ind w:right="-20"/>
              <w:rPr>
                <w:szCs w:val="22"/>
              </w:rPr>
            </w:pPr>
            <w:r>
              <w:t>Нараняване на кожата</w:t>
            </w:r>
          </w:p>
          <w:p w14:paraId="75252146" w14:textId="77777777" w:rsidR="006D116F" w:rsidRPr="00F256A5" w:rsidRDefault="006D116F" w:rsidP="00E15BE1">
            <w:pPr>
              <w:widowControl w:val="0"/>
              <w:tabs>
                <w:tab w:val="clear" w:pos="567"/>
              </w:tabs>
              <w:spacing w:line="252" w:lineRule="exact"/>
              <w:ind w:right="-20"/>
              <w:rPr>
                <w:szCs w:val="22"/>
              </w:rPr>
            </w:pPr>
            <w:r>
              <w:t>Контузия</w:t>
            </w:r>
          </w:p>
        </w:tc>
        <w:tc>
          <w:tcPr>
            <w:tcW w:w="1843" w:type="dxa"/>
            <w:tcBorders>
              <w:top w:val="single" w:sz="4" w:space="0" w:color="000000"/>
              <w:left w:val="single" w:sz="4" w:space="0" w:color="000000"/>
              <w:bottom w:val="single" w:sz="4" w:space="0" w:color="000000"/>
              <w:right w:val="single" w:sz="4" w:space="0" w:color="000000"/>
            </w:tcBorders>
          </w:tcPr>
          <w:p w14:paraId="2C7A60C9" w14:textId="77777777" w:rsidR="006D116F" w:rsidRPr="00F256A5" w:rsidRDefault="006D116F" w:rsidP="00104FEC">
            <w:pPr>
              <w:widowControl w:val="0"/>
              <w:tabs>
                <w:tab w:val="clear" w:pos="567"/>
              </w:tabs>
              <w:spacing w:after="200" w:line="276" w:lineRule="auto"/>
              <w:rPr>
                <w:rFonts w:ascii="Calibri" w:eastAsia="Calibri" w:hAnsi="Calibri"/>
                <w:szCs w:val="22"/>
                <w:lang w:val="en-US"/>
              </w:rPr>
            </w:pPr>
          </w:p>
        </w:tc>
        <w:tc>
          <w:tcPr>
            <w:tcW w:w="1782" w:type="dxa"/>
            <w:tcBorders>
              <w:top w:val="single" w:sz="4" w:space="0" w:color="000000"/>
              <w:left w:val="single" w:sz="4" w:space="0" w:color="000000"/>
              <w:bottom w:val="single" w:sz="4" w:space="0" w:color="000000"/>
              <w:right w:val="single" w:sz="4" w:space="0" w:color="000000"/>
            </w:tcBorders>
          </w:tcPr>
          <w:p w14:paraId="6DDFB74A" w14:textId="77777777" w:rsidR="006D116F" w:rsidRPr="00F256A5" w:rsidRDefault="006D116F" w:rsidP="00104FEC">
            <w:pPr>
              <w:widowControl w:val="0"/>
              <w:tabs>
                <w:tab w:val="clear" w:pos="567"/>
              </w:tabs>
              <w:spacing w:after="200" w:line="276" w:lineRule="auto"/>
              <w:rPr>
                <w:rFonts w:ascii="Calibri" w:eastAsia="Calibri" w:hAnsi="Calibri"/>
                <w:szCs w:val="22"/>
                <w:lang w:val="en-US"/>
              </w:rPr>
            </w:pPr>
          </w:p>
        </w:tc>
      </w:tr>
    </w:tbl>
    <w:p w14:paraId="7A9AEEBD" w14:textId="77777777" w:rsidR="006D116F" w:rsidRPr="00F256A5" w:rsidRDefault="006D116F" w:rsidP="006D116F">
      <w:pPr>
        <w:widowControl w:val="0"/>
        <w:tabs>
          <w:tab w:val="clear" w:pos="567"/>
        </w:tabs>
        <w:spacing w:line="243" w:lineRule="exact"/>
        <w:ind w:left="119" w:right="-20"/>
        <w:rPr>
          <w:szCs w:val="22"/>
        </w:rPr>
      </w:pPr>
      <w:r>
        <w:rPr>
          <w:sz w:val="14"/>
          <w:szCs w:val="14"/>
        </w:rPr>
        <w:t xml:space="preserve">(1) </w:t>
      </w:r>
      <w:r>
        <w:t>Нежелани реакции съобщавани при постмаркетинговия опит.</w:t>
      </w:r>
    </w:p>
    <w:p w14:paraId="24C5BCCD" w14:textId="77777777" w:rsidR="006D116F" w:rsidRPr="00F256A5" w:rsidRDefault="006D116F" w:rsidP="006D116F">
      <w:pPr>
        <w:widowControl w:val="0"/>
        <w:tabs>
          <w:tab w:val="clear" w:pos="567"/>
        </w:tabs>
        <w:spacing w:line="253" w:lineRule="exact"/>
        <w:ind w:left="119" w:right="-20"/>
        <w:rPr>
          <w:szCs w:val="22"/>
        </w:rPr>
      </w:pPr>
      <w:r>
        <w:rPr>
          <w:sz w:val="14"/>
          <w:szCs w:val="14"/>
        </w:rPr>
        <w:t xml:space="preserve">(2) </w:t>
      </w:r>
      <w:r>
        <w:t>Вижте Описание на избрани нежелани реакции.</w:t>
      </w:r>
    </w:p>
    <w:p w14:paraId="50E8CCED" w14:textId="5A1AEBA7" w:rsidR="006D116F" w:rsidRPr="00F256A5" w:rsidRDefault="006D116F" w:rsidP="006D116F">
      <w:pPr>
        <w:widowControl w:val="0"/>
        <w:tabs>
          <w:tab w:val="clear" w:pos="567"/>
        </w:tabs>
        <w:spacing w:line="252" w:lineRule="exact"/>
        <w:ind w:left="119" w:right="-20"/>
        <w:rPr>
          <w:szCs w:val="22"/>
        </w:rPr>
      </w:pPr>
      <w:r>
        <w:rPr>
          <w:sz w:val="14"/>
          <w:szCs w:val="14"/>
        </w:rPr>
        <w:t xml:space="preserve">(3) </w:t>
      </w:r>
      <w:r>
        <w:t>Съобщени в проучвания</w:t>
      </w:r>
      <w:r w:rsidR="00785677">
        <w:t xml:space="preserve"> на </w:t>
      </w:r>
      <w:r w:rsidR="00785677">
        <w:rPr>
          <w:szCs w:val="22"/>
        </w:rPr>
        <w:t>ПГТКП</w:t>
      </w:r>
      <w:r>
        <w:t>.</w:t>
      </w:r>
    </w:p>
    <w:p w14:paraId="0E0A92BE" w14:textId="77777777" w:rsidR="006D116F" w:rsidRPr="00F256A5" w:rsidRDefault="006D116F" w:rsidP="006D116F">
      <w:pPr>
        <w:widowControl w:val="0"/>
        <w:tabs>
          <w:tab w:val="clear" w:pos="567"/>
        </w:tabs>
        <w:spacing w:before="13" w:line="240" w:lineRule="exact"/>
        <w:rPr>
          <w:rFonts w:ascii="Calibri" w:eastAsia="Calibri" w:hAnsi="Calibri"/>
          <w:sz w:val="24"/>
          <w:szCs w:val="24"/>
          <w:lang w:val="en-US"/>
        </w:rPr>
      </w:pPr>
    </w:p>
    <w:p w14:paraId="46AC330D" w14:textId="77777777" w:rsidR="006D116F" w:rsidRPr="00F256A5" w:rsidRDefault="006D116F" w:rsidP="006D116F">
      <w:pPr>
        <w:widowControl w:val="0"/>
        <w:tabs>
          <w:tab w:val="clear" w:pos="567"/>
        </w:tabs>
        <w:spacing w:line="249" w:lineRule="exact"/>
        <w:ind w:right="-20"/>
        <w:rPr>
          <w:szCs w:val="22"/>
        </w:rPr>
      </w:pPr>
      <w:r>
        <w:rPr>
          <w:szCs w:val="22"/>
          <w:u w:val="single" w:color="000000"/>
        </w:rPr>
        <w:t>Описание на избрани нежелани реакции</w:t>
      </w:r>
    </w:p>
    <w:p w14:paraId="572F641F" w14:textId="0C74B9B2" w:rsidR="006D116F" w:rsidRPr="009B0C95" w:rsidRDefault="006D116F" w:rsidP="006D116F">
      <w:pPr>
        <w:widowControl w:val="0"/>
        <w:tabs>
          <w:tab w:val="clear" w:pos="567"/>
        </w:tabs>
        <w:spacing w:before="32" w:line="240" w:lineRule="auto"/>
        <w:ind w:right="170"/>
        <w:rPr>
          <w:szCs w:val="22"/>
        </w:rPr>
      </w:pPr>
      <w:r>
        <w:t>Употребата на лакозамид е свързана с удължаване на PR-интервала в зависимост от дозата. Възможна е появата на свързани с удължаването на PR-интервала нежелани реакции (напр. атриовентрикуларен блок, синкоп, брадикардия). В допълващи клинични проучвания при пациентите с епилепсия честота на А</w:t>
      </w:r>
      <w:r w:rsidR="00962E47">
        <w:rPr>
          <w:lang w:val="en-US"/>
        </w:rPr>
        <w:t>V</w:t>
      </w:r>
      <w:r>
        <w:t xml:space="preserve"> блок от първа степен се среща рядко и е съответно 0,7%, 0%, 0,5% и 0% при прилагането на лакозамид 200 mg, 400 mg, 600 mg или плацебо. При тези проучвания не е наблюдавана втора или по-висока степен на А</w:t>
      </w:r>
      <w:r w:rsidR="00962E47">
        <w:rPr>
          <w:lang w:val="en-US"/>
        </w:rPr>
        <w:t>V</w:t>
      </w:r>
      <w:r>
        <w:t xml:space="preserve"> блок. Въпреки това случаи с втора и трета степен А</w:t>
      </w:r>
      <w:r w:rsidR="00962E47">
        <w:rPr>
          <w:lang w:val="en-US"/>
        </w:rPr>
        <w:t>V</w:t>
      </w:r>
      <w:r>
        <w:t xml:space="preserve"> блок, свързани с лечението с лакозамид, са съобщавани по време на постмаркетинговия опит. В клиничното проучване </w:t>
      </w:r>
      <w:r w:rsidR="00962E47">
        <w:t>като</w:t>
      </w:r>
      <w:r>
        <w:t xml:space="preserve"> монотерапия, сравняващо лакозамид с карбамазепин CR, степента на удължаване на PR-интервала е сравнима между лакозамид и карбамазепин. Появата на синкоп, която се съобщава от сборни клинични проучвания за допълваща терапия, се наблюдава нечесто, </w:t>
      </w:r>
      <w:r w:rsidR="00962E47">
        <w:t>и не се различава</w:t>
      </w:r>
      <w:r>
        <w:t xml:space="preserve"> </w:t>
      </w:r>
      <w:r w:rsidR="00962E47">
        <w:t>при</w:t>
      </w:r>
      <w:r>
        <w:t>пациентите с епилепсия (0,1%), лекувани с лакозамид (n=944), и пациентите с епилепсия (0,3%), лекувани с плацебо (n=364). В клиничното проучване за монотерапия, сравняващо лакозамид с карбамазепин CR, синкоп се съобщава при 7/444 (1,6%) пациенти на лакозамид и 1/442 (0,2%) пациенти на карбамазепин CR.</w:t>
      </w:r>
    </w:p>
    <w:p w14:paraId="5020D067" w14:textId="77777777" w:rsidR="006D116F" w:rsidRPr="009B0C95" w:rsidRDefault="006D116F" w:rsidP="006D116F">
      <w:pPr>
        <w:widowControl w:val="0"/>
        <w:tabs>
          <w:tab w:val="clear" w:pos="567"/>
        </w:tabs>
        <w:spacing w:before="1" w:line="254" w:lineRule="exact"/>
        <w:ind w:right="598"/>
        <w:rPr>
          <w:szCs w:val="22"/>
        </w:rPr>
      </w:pPr>
      <w:r>
        <w:t>Предсърдно мъждене или трептене не са съобщавани в краткосрочни клинични проучвания, но са съобщени в отворени проучвания за епилепсия и при постмаркетинговия опит.</w:t>
      </w:r>
    </w:p>
    <w:p w14:paraId="15E7E2C7" w14:textId="77777777" w:rsidR="006D116F" w:rsidRPr="009B0C95" w:rsidRDefault="006D116F" w:rsidP="006D116F">
      <w:pPr>
        <w:widowControl w:val="0"/>
        <w:tabs>
          <w:tab w:val="clear" w:pos="567"/>
        </w:tabs>
        <w:spacing w:before="13" w:line="240" w:lineRule="exact"/>
        <w:rPr>
          <w:rFonts w:ascii="Calibri" w:eastAsia="Calibri" w:hAnsi="Calibri"/>
          <w:sz w:val="24"/>
          <w:szCs w:val="24"/>
          <w:lang w:val="en-US"/>
        </w:rPr>
      </w:pPr>
    </w:p>
    <w:p w14:paraId="7BF39A38" w14:textId="77777777" w:rsidR="006D116F" w:rsidRPr="009B0C95" w:rsidRDefault="006D116F" w:rsidP="006D116F">
      <w:pPr>
        <w:widowControl w:val="0"/>
        <w:tabs>
          <w:tab w:val="clear" w:pos="567"/>
        </w:tabs>
        <w:spacing w:line="240" w:lineRule="auto"/>
        <w:ind w:right="-20"/>
        <w:rPr>
          <w:szCs w:val="22"/>
        </w:rPr>
      </w:pPr>
      <w:r>
        <w:rPr>
          <w:i/>
          <w:szCs w:val="22"/>
        </w:rPr>
        <w:t>Отклонения в лабораторните показатели</w:t>
      </w:r>
    </w:p>
    <w:p w14:paraId="4B7063CF" w14:textId="62605EAA" w:rsidR="006D116F" w:rsidRPr="009B0C95" w:rsidRDefault="00962E47" w:rsidP="006D116F">
      <w:pPr>
        <w:widowControl w:val="0"/>
        <w:tabs>
          <w:tab w:val="clear" w:pos="567"/>
        </w:tabs>
        <w:spacing w:before="3" w:line="252" w:lineRule="exact"/>
        <w:ind w:right="383"/>
        <w:rPr>
          <w:szCs w:val="22"/>
        </w:rPr>
      </w:pPr>
      <w:r>
        <w:t xml:space="preserve">Отклонения в изследванията на </w:t>
      </w:r>
      <w:r w:rsidR="006D116F">
        <w:t>чернодробн</w:t>
      </w:r>
      <w:r>
        <w:t>ата</w:t>
      </w:r>
      <w:r w:rsidR="006D116F">
        <w:t xml:space="preserve"> функци</w:t>
      </w:r>
      <w:r>
        <w:t>я</w:t>
      </w:r>
      <w:r w:rsidR="006D116F">
        <w:t xml:space="preserve"> са били наблюдавани в плацебо контролирани проучвания с лакозамид при възрастни пациенти с парциални пристъпи, които са приемали едновременно от 1 до 3 антиепилептични лекарствени продукта. Повишавания на ALT до ≥3 х ULN са настъпили при 0,7% (7/935) от пациентите на лакозамид и 0% (0/356) от пациентите на плацебо.</w:t>
      </w:r>
    </w:p>
    <w:p w14:paraId="31B1D3A4" w14:textId="77777777" w:rsidR="006D116F" w:rsidRDefault="006D116F" w:rsidP="006D116F">
      <w:pPr>
        <w:widowControl w:val="0"/>
        <w:tabs>
          <w:tab w:val="clear" w:pos="567"/>
        </w:tabs>
        <w:spacing w:line="240" w:lineRule="auto"/>
        <w:ind w:right="-20"/>
        <w:rPr>
          <w:i/>
          <w:spacing w:val="-2"/>
          <w:szCs w:val="22"/>
          <w:lang w:val="en-US"/>
        </w:rPr>
      </w:pPr>
    </w:p>
    <w:p w14:paraId="0E111372" w14:textId="77777777" w:rsidR="006D116F" w:rsidRPr="00A314A5" w:rsidRDefault="006D116F" w:rsidP="006D116F">
      <w:pPr>
        <w:widowControl w:val="0"/>
        <w:tabs>
          <w:tab w:val="clear" w:pos="567"/>
        </w:tabs>
        <w:spacing w:line="240" w:lineRule="auto"/>
        <w:ind w:right="-20"/>
        <w:rPr>
          <w:szCs w:val="22"/>
        </w:rPr>
      </w:pPr>
      <w:r>
        <w:rPr>
          <w:i/>
          <w:szCs w:val="22"/>
        </w:rPr>
        <w:t>Мултиорганни реакции на свръхчувствителност</w:t>
      </w:r>
    </w:p>
    <w:p w14:paraId="3692334F" w14:textId="3A1010A1" w:rsidR="006D116F" w:rsidRPr="00A314A5" w:rsidRDefault="006D116F" w:rsidP="003D38DA">
      <w:pPr>
        <w:widowControl w:val="0"/>
        <w:tabs>
          <w:tab w:val="clear" w:pos="567"/>
        </w:tabs>
        <w:spacing w:line="252" w:lineRule="exact"/>
        <w:ind w:right="-20"/>
        <w:rPr>
          <w:szCs w:val="22"/>
        </w:rPr>
      </w:pPr>
      <w:r>
        <w:t>Мултиорганни реакции на свръхчувствителност (позната също и като лекарствена реакция с еозинофилия и системни симптоми, DRESS) са</w:t>
      </w:r>
      <w:r w:rsidR="00962E47">
        <w:rPr>
          <w:szCs w:val="22"/>
        </w:rPr>
        <w:t xml:space="preserve"> </w:t>
      </w:r>
      <w:r>
        <w:t>съобщени при пациенти, лекувани с някои антиепилептични лекарствени продукти. Тези реакции се проявяват различно, но обикновено са съпроводени с треска и обрив и могат да бъдат свързани с включването на различни орган</w:t>
      </w:r>
      <w:r w:rsidR="00962E47">
        <w:t>и</w:t>
      </w:r>
      <w:r>
        <w:t>и</w:t>
      </w:r>
      <w:r w:rsidR="00962E47">
        <w:t xml:space="preserve"> системи</w:t>
      </w:r>
      <w:r>
        <w:t>. Ако се заподозре реакция на мултиорганна свръхчувствителност, приемът на лакозамид трябва да се прекрати.</w:t>
      </w:r>
    </w:p>
    <w:p w14:paraId="21C7270E" w14:textId="77777777" w:rsidR="006D116F" w:rsidRPr="00A314A5" w:rsidRDefault="006D116F" w:rsidP="006D116F">
      <w:pPr>
        <w:widowControl w:val="0"/>
        <w:tabs>
          <w:tab w:val="clear" w:pos="567"/>
        </w:tabs>
        <w:spacing w:before="11" w:line="240" w:lineRule="exact"/>
        <w:rPr>
          <w:rFonts w:ascii="Calibri" w:eastAsia="Calibri" w:hAnsi="Calibri"/>
          <w:sz w:val="24"/>
          <w:szCs w:val="24"/>
          <w:lang w:val="en-US"/>
        </w:rPr>
      </w:pPr>
    </w:p>
    <w:p w14:paraId="70321741" w14:textId="77777777" w:rsidR="006D116F" w:rsidRPr="00A314A5" w:rsidRDefault="006D116F" w:rsidP="006D116F">
      <w:pPr>
        <w:widowControl w:val="0"/>
        <w:tabs>
          <w:tab w:val="clear" w:pos="567"/>
        </w:tabs>
        <w:spacing w:line="249" w:lineRule="exact"/>
        <w:ind w:right="-20"/>
        <w:rPr>
          <w:szCs w:val="22"/>
        </w:rPr>
      </w:pPr>
      <w:r>
        <w:rPr>
          <w:szCs w:val="22"/>
          <w:u w:val="single" w:color="000000"/>
        </w:rPr>
        <w:t>Педиатрична популация</w:t>
      </w:r>
    </w:p>
    <w:p w14:paraId="4CB30A47" w14:textId="77777777" w:rsidR="006D116F" w:rsidRPr="00A314A5" w:rsidRDefault="006D116F" w:rsidP="006D116F">
      <w:pPr>
        <w:widowControl w:val="0"/>
        <w:tabs>
          <w:tab w:val="clear" w:pos="567"/>
        </w:tabs>
        <w:spacing w:before="8" w:line="220" w:lineRule="exact"/>
        <w:rPr>
          <w:rFonts w:ascii="Calibri" w:eastAsia="Calibri" w:hAnsi="Calibri"/>
          <w:szCs w:val="22"/>
          <w:lang w:val="en-US"/>
        </w:rPr>
      </w:pPr>
    </w:p>
    <w:p w14:paraId="0B9E34C4" w14:textId="119EA82A" w:rsidR="006D116F" w:rsidRPr="00A314A5" w:rsidRDefault="006D116F" w:rsidP="006D116F">
      <w:pPr>
        <w:widowControl w:val="0"/>
        <w:tabs>
          <w:tab w:val="clear" w:pos="567"/>
        </w:tabs>
        <w:spacing w:before="32" w:line="239" w:lineRule="auto"/>
        <w:ind w:right="414"/>
        <w:rPr>
          <w:szCs w:val="22"/>
        </w:rPr>
      </w:pPr>
      <w:r>
        <w:t>Профилът на безопасност на лакозамид в плацебо контролирани (вж. подробности за проучването в точка 5.1) и в открити проучвания (n=408) на допълваща терапия при деца на възраст над 4 години</w:t>
      </w:r>
      <w:r w:rsidR="00785677">
        <w:t xml:space="preserve"> с</w:t>
      </w:r>
      <w:r w:rsidR="00785677" w:rsidRPr="00785677">
        <w:rPr>
          <w:szCs w:val="22"/>
        </w:rPr>
        <w:t xml:space="preserve"> </w:t>
      </w:r>
      <w:r w:rsidR="00785677">
        <w:rPr>
          <w:szCs w:val="22"/>
        </w:rPr>
        <w:t>парциални пристъпи</w:t>
      </w:r>
      <w:r>
        <w:t xml:space="preserve"> е в съответствие с профила на безопасност, наблюдаван при възрастни, въпреки че честотата на някои нежелани реакции (сомнолентност, повръщане и конвулсии) е била повишена и са съобщени допълнителни нежелани реакции (назофарингит, пирексия, фарингит, намален апетит, летаргия и абнормно поведение) при педиатрични пациенти: назофарингит (15,7%), повръщане (14,7%), сомнолентност (14,0%), замайване (13,5%), пирексия (13,0%), конвулсии (7,8%), намален апетит (5,9%), фарингит (4,7%), летаргия (2,7%) и абнормно поведение (1,7%).</w:t>
      </w:r>
    </w:p>
    <w:p w14:paraId="4F5AF70E" w14:textId="77777777" w:rsidR="006D116F" w:rsidRPr="00A314A5" w:rsidRDefault="006D116F" w:rsidP="006D116F">
      <w:pPr>
        <w:widowControl w:val="0"/>
        <w:tabs>
          <w:tab w:val="clear" w:pos="567"/>
        </w:tabs>
        <w:spacing w:before="1" w:line="254" w:lineRule="exact"/>
        <w:ind w:right="125"/>
        <w:rPr>
          <w:szCs w:val="22"/>
        </w:rPr>
      </w:pPr>
      <w:r>
        <w:t>Общо 67,8% от пациентите, рандомизирани на лакозамид, и 58,1% от пациентите, рандомизирани на плацебо, съобщават поне 1 нежелана реакция.</w:t>
      </w:r>
    </w:p>
    <w:p w14:paraId="6FC4A23C" w14:textId="55CF5469" w:rsidR="006D116F" w:rsidRPr="00A314A5" w:rsidRDefault="006D116F" w:rsidP="006D116F">
      <w:pPr>
        <w:widowControl w:val="0"/>
        <w:tabs>
          <w:tab w:val="clear" w:pos="567"/>
        </w:tabs>
        <w:spacing w:line="249" w:lineRule="exact"/>
        <w:ind w:right="-20"/>
        <w:rPr>
          <w:szCs w:val="22"/>
        </w:rPr>
      </w:pPr>
      <w:r>
        <w:t xml:space="preserve">Поведенческите, когнитивните и емоционалните функции са били измерени чрез въпросниците Achenbach CBCL и BRIEF, прилагани на изходно ниво и по време на проучванията, и когато са главно стабилни в хода на </w:t>
      </w:r>
      <w:r w:rsidR="00785677">
        <w:t>проучванията</w:t>
      </w:r>
      <w:r>
        <w:t>.</w:t>
      </w:r>
    </w:p>
    <w:p w14:paraId="6590C2F1" w14:textId="77777777" w:rsidR="006D116F" w:rsidRDefault="006D116F" w:rsidP="006D116F">
      <w:pPr>
        <w:widowControl w:val="0"/>
        <w:tabs>
          <w:tab w:val="clear" w:pos="567"/>
        </w:tabs>
        <w:spacing w:before="11" w:line="240" w:lineRule="exact"/>
        <w:rPr>
          <w:rFonts w:ascii="Calibri" w:eastAsia="Calibri" w:hAnsi="Calibri"/>
          <w:sz w:val="24"/>
          <w:szCs w:val="24"/>
          <w:lang w:val="en-US"/>
        </w:rPr>
      </w:pPr>
    </w:p>
    <w:p w14:paraId="7D938E29" w14:textId="318DC4EC" w:rsidR="006D116F" w:rsidRPr="00A314A5" w:rsidRDefault="00735EDA" w:rsidP="006D116F">
      <w:pPr>
        <w:widowControl w:val="0"/>
        <w:tabs>
          <w:tab w:val="clear" w:pos="567"/>
        </w:tabs>
        <w:spacing w:line="249" w:lineRule="exact"/>
        <w:ind w:right="-20"/>
        <w:rPr>
          <w:szCs w:val="22"/>
        </w:rPr>
      </w:pPr>
      <w:r>
        <w:rPr>
          <w:szCs w:val="22"/>
          <w:u w:val="single" w:color="000000"/>
        </w:rPr>
        <w:t xml:space="preserve">Пациенти </w:t>
      </w:r>
      <w:r w:rsidR="006D116F">
        <w:rPr>
          <w:szCs w:val="22"/>
          <w:u w:val="single" w:color="000000"/>
        </w:rPr>
        <w:t>в старческа възраст</w:t>
      </w:r>
    </w:p>
    <w:p w14:paraId="20C1A957" w14:textId="77777777" w:rsidR="006D116F" w:rsidRPr="00A314A5" w:rsidRDefault="006D116F" w:rsidP="006D116F">
      <w:pPr>
        <w:widowControl w:val="0"/>
        <w:tabs>
          <w:tab w:val="clear" w:pos="567"/>
        </w:tabs>
        <w:spacing w:before="6" w:line="220" w:lineRule="exact"/>
        <w:rPr>
          <w:rFonts w:ascii="Calibri" w:eastAsia="Calibri" w:hAnsi="Calibri"/>
          <w:szCs w:val="22"/>
          <w:lang w:val="en-US"/>
        </w:rPr>
      </w:pPr>
    </w:p>
    <w:p w14:paraId="408A3E8E" w14:textId="26C85EFD" w:rsidR="006D116F" w:rsidRPr="00A314A5" w:rsidRDefault="006D116F" w:rsidP="006D116F">
      <w:pPr>
        <w:widowControl w:val="0"/>
        <w:tabs>
          <w:tab w:val="clear" w:pos="567"/>
        </w:tabs>
        <w:spacing w:before="32" w:line="239" w:lineRule="auto"/>
        <w:ind w:right="100"/>
        <w:rPr>
          <w:szCs w:val="22"/>
        </w:rPr>
      </w:pPr>
      <w:r>
        <w:t>В проучването за монотерапия, сравняващо лакозамид с карбамазепин CR, видовете нежелани реакции, свързани с лакозамид при пациенти в старческа възраст (≥65 години), са сходни с тези, наблюдавани при пациенти на възраст под 65 години. Въпреки това</w:t>
      </w:r>
      <w:r w:rsidR="00735EDA">
        <w:t>,</w:t>
      </w:r>
      <w:r>
        <w:t xml:space="preserve"> по-висока честота (разлика ≥5%) на падане, диария и тремор са съобщени при пациенти в старческа възраст спрямо по-млади възрастни пациенти. Най-честата нежелана реакция, свързана със сърцето, в старческа възраст спрямо по-млади възрастни пациенти е А</w:t>
      </w:r>
      <w:r w:rsidR="00735EDA">
        <w:rPr>
          <w:lang w:val="en-US"/>
        </w:rPr>
        <w:t>V</w:t>
      </w:r>
      <w:r>
        <w:t xml:space="preserve"> блок първа степен. Тя се съобщава за 4,8% (3/62) от пациентите на лакозамид в старческа възраст, срещу 1,6% (6/382) при по-млади възрастни пациенти. Преустановяването на лечението поради наблюдавани нежелани реакции с лакозамид е 21,0% (13/62) при пациенти в старческа възраст, срещу 9,2% (35/382) при по-младите възрастни пациенти. Тези разлики между пациенти в старческа възраст и по-млади възрастни пациенти са сходни с тези, наблюдавани при активната група за сравнение.</w:t>
      </w:r>
    </w:p>
    <w:p w14:paraId="128EA029" w14:textId="77777777" w:rsidR="006D116F" w:rsidRPr="00777769" w:rsidRDefault="006D116F" w:rsidP="006D116F">
      <w:pPr>
        <w:spacing w:line="240" w:lineRule="auto"/>
        <w:rPr>
          <w:szCs w:val="22"/>
          <w:u w:val="single"/>
        </w:rPr>
      </w:pPr>
    </w:p>
    <w:p w14:paraId="04A2FED1" w14:textId="77777777" w:rsidR="006D116F" w:rsidRPr="00B3208E" w:rsidRDefault="006D116F" w:rsidP="006D116F">
      <w:pPr>
        <w:autoSpaceDE w:val="0"/>
        <w:autoSpaceDN w:val="0"/>
        <w:adjustRightInd w:val="0"/>
        <w:spacing w:line="240" w:lineRule="auto"/>
        <w:rPr>
          <w:szCs w:val="22"/>
          <w:u w:val="single"/>
        </w:rPr>
      </w:pPr>
      <w:r>
        <w:rPr>
          <w:szCs w:val="22"/>
          <w:u w:val="single"/>
        </w:rPr>
        <w:t>Съобщаване на подозирани нежелани реакции</w:t>
      </w:r>
    </w:p>
    <w:p w14:paraId="10089029" w14:textId="097730C2" w:rsidR="00735EDA" w:rsidRDefault="006D116F" w:rsidP="006D116F">
      <w:pPr>
        <w:autoSpaceDE w:val="0"/>
        <w:autoSpaceDN w:val="0"/>
        <w:adjustRightInd w:val="0"/>
        <w:spacing w:line="240" w:lineRule="auto"/>
        <w:rPr>
          <w:lang w:val="en-US"/>
        </w:rPr>
      </w:pPr>
      <w: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r w:rsidR="00735EDA">
        <w:rPr>
          <w:lang w:val="en-US"/>
        </w:rPr>
        <w:t>:</w:t>
      </w:r>
    </w:p>
    <w:p w14:paraId="5FF9BEAC" w14:textId="6B1F0341" w:rsidR="00735EDA" w:rsidRPr="004B02C0" w:rsidRDefault="00735EDA" w:rsidP="00735EDA">
      <w:pPr>
        <w:spacing w:line="240" w:lineRule="auto"/>
        <w:ind w:right="-20"/>
      </w:pPr>
      <w:r w:rsidRPr="004B02C0">
        <w:t xml:space="preserve">Изпълнителна Агенция по Лекарствата </w:t>
      </w:r>
    </w:p>
    <w:p w14:paraId="0B14AE7E" w14:textId="77777777" w:rsidR="00735EDA" w:rsidRPr="004B02C0" w:rsidRDefault="00735EDA" w:rsidP="00735EDA">
      <w:pPr>
        <w:spacing w:line="240" w:lineRule="auto"/>
        <w:ind w:right="-20"/>
      </w:pPr>
      <w:r w:rsidRPr="004B02C0">
        <w:t xml:space="preserve">ул. „Дамян Груев” № 8 </w:t>
      </w:r>
    </w:p>
    <w:p w14:paraId="3376E1BB" w14:textId="77777777" w:rsidR="00735EDA" w:rsidRPr="004B02C0" w:rsidRDefault="00735EDA" w:rsidP="00735EDA">
      <w:pPr>
        <w:spacing w:line="240" w:lineRule="auto"/>
        <w:ind w:right="-20"/>
      </w:pPr>
      <w:r w:rsidRPr="004B02C0">
        <w:t xml:space="preserve">1303 София </w:t>
      </w:r>
    </w:p>
    <w:p w14:paraId="72BE811F" w14:textId="0DE62BD2" w:rsidR="00735EDA" w:rsidRPr="004B02C0" w:rsidRDefault="00785677" w:rsidP="00735EDA">
      <w:pPr>
        <w:spacing w:line="240" w:lineRule="auto"/>
        <w:ind w:right="-20"/>
      </w:pPr>
      <w:r>
        <w:t>т</w:t>
      </w:r>
      <w:r w:rsidR="00735EDA" w:rsidRPr="004B02C0">
        <w:t>eл.: +35 928903417</w:t>
      </w:r>
    </w:p>
    <w:p w14:paraId="116C7953" w14:textId="77777777" w:rsidR="00735EDA" w:rsidRDefault="00735EDA" w:rsidP="00735EDA">
      <w:pPr>
        <w:spacing w:line="240" w:lineRule="auto"/>
        <w:ind w:right="-20"/>
      </w:pPr>
      <w:r w:rsidRPr="004B02C0">
        <w:t xml:space="preserve">уебсайт: </w:t>
      </w:r>
      <w:hyperlink r:id="rId8" w:history="1">
        <w:r w:rsidRPr="007D4764">
          <w:rPr>
            <w:rStyle w:val="Hyperlink"/>
          </w:rPr>
          <w:t>www.bda.bg</w:t>
        </w:r>
      </w:hyperlink>
    </w:p>
    <w:p w14:paraId="7C165B0F" w14:textId="4FFC01B4" w:rsidR="006D116F" w:rsidRPr="008225EB" w:rsidRDefault="006D116F" w:rsidP="006D116F">
      <w:pPr>
        <w:autoSpaceDE w:val="0"/>
        <w:autoSpaceDN w:val="0"/>
        <w:adjustRightInd w:val="0"/>
        <w:spacing w:line="240" w:lineRule="auto"/>
        <w:rPr>
          <w:noProof/>
          <w:szCs w:val="22"/>
        </w:rPr>
      </w:pPr>
      <w:r>
        <w:t xml:space="preserve"> </w:t>
      </w:r>
    </w:p>
    <w:p w14:paraId="05563EF9" w14:textId="77777777" w:rsidR="006D116F" w:rsidRDefault="006D116F" w:rsidP="006D116F">
      <w:pPr>
        <w:spacing w:line="240" w:lineRule="auto"/>
        <w:rPr>
          <w:b/>
        </w:rPr>
      </w:pPr>
    </w:p>
    <w:p w14:paraId="58BA86DC" w14:textId="77777777" w:rsidR="006D116F" w:rsidRDefault="006D116F" w:rsidP="006D116F">
      <w:pPr>
        <w:spacing w:line="240" w:lineRule="auto"/>
      </w:pPr>
      <w:r>
        <w:rPr>
          <w:b/>
        </w:rPr>
        <w:t>4.9</w:t>
      </w:r>
      <w:r>
        <w:rPr>
          <w:b/>
        </w:rPr>
        <w:tab/>
        <w:t>Предозиране</w:t>
      </w:r>
    </w:p>
    <w:p w14:paraId="06D4984D" w14:textId="77777777" w:rsidR="006D116F" w:rsidRDefault="006D116F" w:rsidP="006D116F">
      <w:pPr>
        <w:spacing w:line="240" w:lineRule="auto"/>
      </w:pPr>
    </w:p>
    <w:p w14:paraId="24E36531" w14:textId="77777777" w:rsidR="006D116F" w:rsidRPr="000A7348" w:rsidRDefault="006D116F" w:rsidP="00B36189">
      <w:pPr>
        <w:widowControl w:val="0"/>
        <w:tabs>
          <w:tab w:val="clear" w:pos="567"/>
        </w:tabs>
        <w:spacing w:line="249" w:lineRule="exact"/>
        <w:ind w:right="-20"/>
        <w:rPr>
          <w:szCs w:val="22"/>
        </w:rPr>
      </w:pPr>
      <w:r>
        <w:rPr>
          <w:szCs w:val="22"/>
          <w:u w:val="single" w:color="000000"/>
        </w:rPr>
        <w:t>Симптоми</w:t>
      </w:r>
    </w:p>
    <w:p w14:paraId="42ADCA83" w14:textId="77777777" w:rsidR="006D116F" w:rsidRPr="000A7348" w:rsidRDefault="006D116F" w:rsidP="006D116F">
      <w:pPr>
        <w:widowControl w:val="0"/>
        <w:tabs>
          <w:tab w:val="clear" w:pos="567"/>
        </w:tabs>
        <w:spacing w:before="6" w:line="220" w:lineRule="exact"/>
        <w:rPr>
          <w:rFonts w:ascii="Calibri" w:eastAsia="Calibri" w:hAnsi="Calibri"/>
          <w:szCs w:val="22"/>
          <w:lang w:val="en-US"/>
        </w:rPr>
      </w:pPr>
    </w:p>
    <w:p w14:paraId="203EE8E5" w14:textId="77777777" w:rsidR="006D116F" w:rsidRPr="000A7348" w:rsidRDefault="006D116F" w:rsidP="00B36189">
      <w:pPr>
        <w:widowControl w:val="0"/>
        <w:tabs>
          <w:tab w:val="clear" w:pos="567"/>
        </w:tabs>
        <w:spacing w:before="36" w:line="252" w:lineRule="exact"/>
        <w:ind w:right="76"/>
        <w:rPr>
          <w:szCs w:val="22"/>
        </w:rPr>
      </w:pPr>
      <w:r>
        <w:t>Симптомите, наблюдавани след случайно или преднамерено предозиране на лакозамид, са свързани главно с ЦНС и стомашно-чревната система.</w:t>
      </w:r>
    </w:p>
    <w:p w14:paraId="287962D9" w14:textId="77777777" w:rsidR="006D116F" w:rsidRPr="000A7348" w:rsidRDefault="006D116F" w:rsidP="006150EE">
      <w:pPr>
        <w:widowControl w:val="0"/>
        <w:tabs>
          <w:tab w:val="clear" w:pos="567"/>
          <w:tab w:val="left" w:pos="820"/>
        </w:tabs>
        <w:spacing w:line="264" w:lineRule="exact"/>
        <w:ind w:left="479" w:right="90" w:hanging="479"/>
        <w:rPr>
          <w:szCs w:val="22"/>
        </w:rPr>
      </w:pPr>
      <w:r>
        <w:rPr>
          <w:rFonts w:ascii="Symbol" w:hAnsi="Symbol"/>
          <w:szCs w:val="22"/>
        </w:rPr>
        <w:t></w:t>
      </w:r>
      <w:r>
        <w:tab/>
        <w:t>Видовете нежелани реакции, наблюдавани при пациенти, приемали дози над 400 mg до 800 mg, не са били клинично различни от тези при пациенти, приемали препоръчителните дози лакозамид.</w:t>
      </w:r>
    </w:p>
    <w:p w14:paraId="53D1E783" w14:textId="77777777" w:rsidR="006D116F" w:rsidRPr="000A7348" w:rsidRDefault="006D116F" w:rsidP="006150EE">
      <w:pPr>
        <w:widowControl w:val="0"/>
        <w:tabs>
          <w:tab w:val="clear" w:pos="567"/>
        </w:tabs>
        <w:spacing w:before="14" w:line="254" w:lineRule="exact"/>
        <w:ind w:left="426" w:right="186" w:hanging="426"/>
        <w:rPr>
          <w:szCs w:val="22"/>
        </w:rPr>
      </w:pPr>
      <w:r>
        <w:rPr>
          <w:rFonts w:ascii="Symbol" w:hAnsi="Symbol"/>
          <w:szCs w:val="22"/>
        </w:rPr>
        <w:t></w:t>
      </w:r>
      <w:r>
        <w:tab/>
        <w:t>Реакции, съобщени след прием на над 800 mg, са замаяност, гадене, повръщане, припадъци (генерализирани тонично-клонични припадъци, статус епилептикус). Нарушения на сърдечната проводимост, шок и кома също са били наблюдавани. Смъртни случаи са съобщавани при пациенти след остро еднократно предозиране с няколко грама лакозамид.</w:t>
      </w:r>
    </w:p>
    <w:p w14:paraId="36AB6DC6" w14:textId="77777777" w:rsidR="006D116F" w:rsidRPr="000A7348" w:rsidRDefault="006D116F" w:rsidP="006D116F">
      <w:pPr>
        <w:widowControl w:val="0"/>
        <w:tabs>
          <w:tab w:val="clear" w:pos="567"/>
        </w:tabs>
        <w:spacing w:before="13" w:line="240" w:lineRule="exact"/>
        <w:rPr>
          <w:rFonts w:ascii="Calibri" w:eastAsia="Calibri" w:hAnsi="Calibri"/>
          <w:sz w:val="24"/>
          <w:szCs w:val="24"/>
          <w:lang w:val="en-US"/>
        </w:rPr>
      </w:pPr>
    </w:p>
    <w:p w14:paraId="699F0EF5" w14:textId="77777777" w:rsidR="006D116F" w:rsidRPr="000A7348" w:rsidRDefault="006D116F" w:rsidP="00B36189">
      <w:pPr>
        <w:widowControl w:val="0"/>
        <w:tabs>
          <w:tab w:val="clear" w:pos="567"/>
        </w:tabs>
        <w:spacing w:line="249" w:lineRule="exact"/>
        <w:ind w:right="-20"/>
        <w:rPr>
          <w:szCs w:val="22"/>
        </w:rPr>
      </w:pPr>
      <w:r>
        <w:rPr>
          <w:szCs w:val="22"/>
          <w:u w:val="single" w:color="000000"/>
        </w:rPr>
        <w:t>Лечение при предозиране</w:t>
      </w:r>
    </w:p>
    <w:p w14:paraId="160DB887" w14:textId="77777777" w:rsidR="006D116F" w:rsidRPr="000A7348" w:rsidRDefault="006D116F" w:rsidP="006D116F">
      <w:pPr>
        <w:widowControl w:val="0"/>
        <w:tabs>
          <w:tab w:val="clear" w:pos="567"/>
        </w:tabs>
        <w:spacing w:before="6" w:line="220" w:lineRule="exact"/>
        <w:rPr>
          <w:rFonts w:ascii="Calibri" w:eastAsia="Calibri" w:hAnsi="Calibri"/>
          <w:szCs w:val="22"/>
          <w:lang w:val="en-US"/>
        </w:rPr>
      </w:pPr>
    </w:p>
    <w:p w14:paraId="276CDF9F" w14:textId="11DA2FDC" w:rsidR="006D116F" w:rsidRPr="000A7348" w:rsidRDefault="006D116F" w:rsidP="00B36189">
      <w:pPr>
        <w:widowControl w:val="0"/>
        <w:tabs>
          <w:tab w:val="clear" w:pos="567"/>
        </w:tabs>
        <w:spacing w:before="36" w:line="252" w:lineRule="exact"/>
        <w:ind w:right="124"/>
        <w:rPr>
          <w:szCs w:val="22"/>
        </w:rPr>
      </w:pPr>
      <w:r>
        <w:t xml:space="preserve">Няма специфичен антидот </w:t>
      </w:r>
      <w:r w:rsidR="00C720C2">
        <w:t>при</w:t>
      </w:r>
      <w:r>
        <w:t xml:space="preserve"> предозиране с лакозамид. Лечението при предозиране с лакозамид включва предприемането на общоприетите поддържащи мерки, като при необходимост може да включва хемодиализа (вж. точка 5.2).</w:t>
      </w:r>
    </w:p>
    <w:p w14:paraId="16CBA2AB" w14:textId="77777777" w:rsidR="006D116F" w:rsidRDefault="006D116F" w:rsidP="006D116F">
      <w:pPr>
        <w:tabs>
          <w:tab w:val="clear" w:pos="567"/>
        </w:tabs>
        <w:spacing w:line="240" w:lineRule="auto"/>
        <w:rPr>
          <w:i/>
          <w:noProof/>
          <w:szCs w:val="22"/>
        </w:rPr>
      </w:pPr>
    </w:p>
    <w:p w14:paraId="1D2C2DAD" w14:textId="77777777" w:rsidR="006D116F" w:rsidRDefault="006D116F" w:rsidP="006D116F">
      <w:pPr>
        <w:spacing w:line="240" w:lineRule="auto"/>
      </w:pPr>
    </w:p>
    <w:p w14:paraId="42E0F820" w14:textId="77777777" w:rsidR="006D116F" w:rsidRDefault="006D116F" w:rsidP="006D116F">
      <w:pPr>
        <w:spacing w:line="240" w:lineRule="auto"/>
        <w:ind w:left="567" w:hanging="567"/>
      </w:pPr>
      <w:r>
        <w:rPr>
          <w:b/>
        </w:rPr>
        <w:t>5.</w:t>
      </w:r>
      <w:r>
        <w:rPr>
          <w:b/>
        </w:rPr>
        <w:tab/>
        <w:t>ФАРМАКОЛОГИЧНИ СВОЙСТВА</w:t>
      </w:r>
    </w:p>
    <w:p w14:paraId="4B9BB8E5" w14:textId="77777777" w:rsidR="006D116F" w:rsidRDefault="006D116F" w:rsidP="006D116F">
      <w:pPr>
        <w:spacing w:line="240" w:lineRule="auto"/>
        <w:rPr>
          <w:b/>
        </w:rPr>
      </w:pPr>
    </w:p>
    <w:p w14:paraId="3010F7CB" w14:textId="77777777" w:rsidR="006D116F" w:rsidRDefault="006D116F" w:rsidP="006D116F">
      <w:pPr>
        <w:spacing w:line="240" w:lineRule="auto"/>
        <w:ind w:left="567" w:hanging="567"/>
      </w:pPr>
      <w:r>
        <w:rPr>
          <w:b/>
        </w:rPr>
        <w:t xml:space="preserve">5.1 </w:t>
      </w:r>
      <w:r>
        <w:rPr>
          <w:b/>
        </w:rPr>
        <w:tab/>
        <w:t>Фармакодинамични свойства</w:t>
      </w:r>
    </w:p>
    <w:p w14:paraId="15FEEEFB" w14:textId="77777777" w:rsidR="006D116F" w:rsidRDefault="006D116F" w:rsidP="006D116F">
      <w:pPr>
        <w:spacing w:line="240" w:lineRule="auto"/>
      </w:pPr>
    </w:p>
    <w:p w14:paraId="7022CA8E" w14:textId="77777777" w:rsidR="006D116F" w:rsidRPr="00673AA0" w:rsidRDefault="006D116F" w:rsidP="006D116F">
      <w:pPr>
        <w:widowControl w:val="0"/>
        <w:tabs>
          <w:tab w:val="clear" w:pos="567"/>
        </w:tabs>
        <w:spacing w:line="240" w:lineRule="auto"/>
        <w:ind w:right="-20"/>
        <w:rPr>
          <w:szCs w:val="22"/>
        </w:rPr>
      </w:pPr>
      <w:r>
        <w:t>Фармакотерапевтична група: антиепилептици, други антиепилептици, ATC код: N03AX18</w:t>
      </w:r>
    </w:p>
    <w:p w14:paraId="01C18C58" w14:textId="77777777" w:rsidR="006D116F" w:rsidRPr="00673AA0" w:rsidRDefault="006D116F" w:rsidP="006D116F">
      <w:pPr>
        <w:widowControl w:val="0"/>
        <w:tabs>
          <w:tab w:val="clear" w:pos="567"/>
        </w:tabs>
        <w:spacing w:before="14" w:line="240" w:lineRule="exact"/>
        <w:rPr>
          <w:rFonts w:ascii="Calibri" w:eastAsia="Calibri" w:hAnsi="Calibri"/>
          <w:sz w:val="24"/>
          <w:szCs w:val="24"/>
          <w:lang w:val="en-US"/>
        </w:rPr>
      </w:pPr>
    </w:p>
    <w:p w14:paraId="7931CF07" w14:textId="77777777" w:rsidR="006D116F" w:rsidRPr="00673AA0" w:rsidRDefault="006D116F" w:rsidP="006D116F">
      <w:pPr>
        <w:widowControl w:val="0"/>
        <w:tabs>
          <w:tab w:val="clear" w:pos="567"/>
        </w:tabs>
        <w:spacing w:line="249" w:lineRule="exact"/>
        <w:ind w:right="-20"/>
        <w:rPr>
          <w:szCs w:val="22"/>
        </w:rPr>
      </w:pPr>
      <w:r>
        <w:rPr>
          <w:szCs w:val="22"/>
          <w:u w:val="single" w:color="000000"/>
        </w:rPr>
        <w:t>Механизъм на действие</w:t>
      </w:r>
    </w:p>
    <w:p w14:paraId="06E02F31" w14:textId="77777777" w:rsidR="006D116F" w:rsidRPr="00673AA0" w:rsidRDefault="006D116F" w:rsidP="006D116F">
      <w:pPr>
        <w:widowControl w:val="0"/>
        <w:tabs>
          <w:tab w:val="clear" w:pos="567"/>
        </w:tabs>
        <w:spacing w:before="3" w:line="220" w:lineRule="exact"/>
        <w:rPr>
          <w:rFonts w:ascii="Calibri" w:eastAsia="Calibri" w:hAnsi="Calibri"/>
          <w:szCs w:val="22"/>
          <w:lang w:val="en-US"/>
        </w:rPr>
      </w:pPr>
    </w:p>
    <w:p w14:paraId="617F27B7" w14:textId="77777777" w:rsidR="006D116F" w:rsidRPr="00673AA0" w:rsidRDefault="006D116F" w:rsidP="006D116F">
      <w:pPr>
        <w:widowControl w:val="0"/>
        <w:tabs>
          <w:tab w:val="clear" w:pos="567"/>
        </w:tabs>
        <w:spacing w:before="32" w:line="240" w:lineRule="auto"/>
        <w:ind w:right="-20"/>
        <w:rPr>
          <w:szCs w:val="22"/>
        </w:rPr>
      </w:pPr>
      <w:r>
        <w:t>Активното вещество лакозамид (R-2-ацетамидо-N-бензил-3-метоксипропионамид) представлява функционализирана аминокиселина.</w:t>
      </w:r>
    </w:p>
    <w:p w14:paraId="66238B2B" w14:textId="77777777" w:rsidR="006D116F" w:rsidRPr="00673AA0" w:rsidRDefault="006D116F" w:rsidP="006D116F">
      <w:pPr>
        <w:widowControl w:val="0"/>
        <w:tabs>
          <w:tab w:val="clear" w:pos="567"/>
        </w:tabs>
        <w:spacing w:before="1" w:line="240" w:lineRule="auto"/>
        <w:ind w:right="67"/>
        <w:rPr>
          <w:szCs w:val="22"/>
        </w:rPr>
      </w:pPr>
      <w:r>
        <w:t xml:space="preserve">Точният механизъм на антиепилептичния ефект на лакозамид при хора все още не е напълно изяснен. </w:t>
      </w:r>
      <w:r>
        <w:rPr>
          <w:i/>
          <w:szCs w:val="22"/>
        </w:rPr>
        <w:t>In vitro</w:t>
      </w:r>
      <w:r>
        <w:t xml:space="preserve"> електрофизиологичните проучвания показват, че лакозамид селективно повишава бавното инактивиране на волтаж-зависимите натриеви канали, което води до стабилизиране на свръхвъзбудимите невронни мембрани.</w:t>
      </w:r>
    </w:p>
    <w:p w14:paraId="7C9EDBD7" w14:textId="77777777" w:rsidR="006D116F" w:rsidRPr="00673AA0" w:rsidRDefault="006D116F" w:rsidP="006D116F">
      <w:pPr>
        <w:widowControl w:val="0"/>
        <w:tabs>
          <w:tab w:val="clear" w:pos="567"/>
        </w:tabs>
        <w:spacing w:before="13" w:line="240" w:lineRule="exact"/>
        <w:rPr>
          <w:rFonts w:ascii="Calibri" w:eastAsia="Calibri" w:hAnsi="Calibri"/>
          <w:sz w:val="24"/>
          <w:szCs w:val="24"/>
          <w:lang w:val="en-US"/>
        </w:rPr>
      </w:pPr>
    </w:p>
    <w:p w14:paraId="7564C488" w14:textId="77777777" w:rsidR="006D116F" w:rsidRPr="00673AA0" w:rsidRDefault="006D116F" w:rsidP="006D116F">
      <w:pPr>
        <w:widowControl w:val="0"/>
        <w:tabs>
          <w:tab w:val="clear" w:pos="567"/>
        </w:tabs>
        <w:spacing w:line="249" w:lineRule="exact"/>
        <w:ind w:right="-20"/>
        <w:rPr>
          <w:szCs w:val="22"/>
        </w:rPr>
      </w:pPr>
      <w:r>
        <w:rPr>
          <w:szCs w:val="22"/>
          <w:u w:val="single" w:color="000000"/>
        </w:rPr>
        <w:t>Фармакодинамични ефекти</w:t>
      </w:r>
    </w:p>
    <w:p w14:paraId="35D4984F" w14:textId="77777777" w:rsidR="006D116F" w:rsidRPr="00673AA0" w:rsidRDefault="006D116F" w:rsidP="006D116F">
      <w:pPr>
        <w:widowControl w:val="0"/>
        <w:tabs>
          <w:tab w:val="clear" w:pos="567"/>
        </w:tabs>
        <w:spacing w:before="6" w:line="220" w:lineRule="exact"/>
        <w:rPr>
          <w:rFonts w:ascii="Calibri" w:eastAsia="Calibri" w:hAnsi="Calibri"/>
          <w:szCs w:val="22"/>
          <w:lang w:val="en-US"/>
        </w:rPr>
      </w:pPr>
    </w:p>
    <w:p w14:paraId="37E3CEC4" w14:textId="77777777" w:rsidR="006D116F" w:rsidRPr="00673AA0" w:rsidRDefault="006D116F" w:rsidP="006D116F">
      <w:pPr>
        <w:widowControl w:val="0"/>
        <w:tabs>
          <w:tab w:val="clear" w:pos="567"/>
        </w:tabs>
        <w:spacing w:before="36" w:line="252" w:lineRule="exact"/>
        <w:ind w:right="677"/>
        <w:rPr>
          <w:szCs w:val="22"/>
        </w:rPr>
      </w:pPr>
      <w:r>
        <w:t>Лакозамид предотвратява появата на пристъпи в обширен диапазон от животински модели на парциални и първично генерализирани пристъпи и забавя прогресивното развитие на пристъпи.</w:t>
      </w:r>
    </w:p>
    <w:p w14:paraId="397FF44B" w14:textId="77777777" w:rsidR="006D116F" w:rsidRPr="00673AA0" w:rsidRDefault="006D116F" w:rsidP="006D116F">
      <w:pPr>
        <w:widowControl w:val="0"/>
        <w:tabs>
          <w:tab w:val="clear" w:pos="567"/>
        </w:tabs>
        <w:spacing w:before="2" w:line="252" w:lineRule="exact"/>
        <w:ind w:right="69"/>
        <w:rPr>
          <w:szCs w:val="22"/>
        </w:rPr>
      </w:pPr>
      <w:r>
        <w:t>По време на неклинични експериментални проучвания лакозамид в комбинация с леветирацетам, карбамазепин, фенитоин, валпроат, ламотригин, топирамат или габапентин показва синергични или адитивни ефекти на антиконвулсант.</w:t>
      </w:r>
    </w:p>
    <w:p w14:paraId="7CCBB8D5" w14:textId="77777777" w:rsidR="006D116F" w:rsidRPr="00673AA0" w:rsidRDefault="006D116F" w:rsidP="006D116F">
      <w:pPr>
        <w:widowControl w:val="0"/>
        <w:tabs>
          <w:tab w:val="clear" w:pos="567"/>
        </w:tabs>
        <w:spacing w:before="11" w:line="240" w:lineRule="exact"/>
        <w:rPr>
          <w:rFonts w:ascii="Calibri" w:eastAsia="Calibri" w:hAnsi="Calibri"/>
          <w:sz w:val="24"/>
          <w:szCs w:val="24"/>
          <w:lang w:val="en-US"/>
        </w:rPr>
      </w:pPr>
    </w:p>
    <w:p w14:paraId="2E7ED08C" w14:textId="4D731233" w:rsidR="006D116F" w:rsidRPr="00673AA0" w:rsidRDefault="006D116F" w:rsidP="006D116F">
      <w:pPr>
        <w:widowControl w:val="0"/>
        <w:tabs>
          <w:tab w:val="clear" w:pos="567"/>
        </w:tabs>
        <w:spacing w:line="240" w:lineRule="auto"/>
        <w:ind w:right="-20"/>
        <w:rPr>
          <w:szCs w:val="22"/>
        </w:rPr>
      </w:pPr>
      <w:r>
        <w:rPr>
          <w:szCs w:val="22"/>
          <w:u w:val="single" w:color="000000"/>
        </w:rPr>
        <w:t>Клинична ефикасност и безопасност</w:t>
      </w:r>
      <w:r w:rsidR="00355647" w:rsidRPr="00355647">
        <w:rPr>
          <w:szCs w:val="22"/>
        </w:rPr>
        <w:t xml:space="preserve"> </w:t>
      </w:r>
      <w:r w:rsidR="00355647">
        <w:rPr>
          <w:szCs w:val="22"/>
        </w:rPr>
        <w:t>(парциални пристъпи)</w:t>
      </w:r>
    </w:p>
    <w:p w14:paraId="5213466D" w14:textId="77777777" w:rsidR="006D116F" w:rsidRPr="00673AA0" w:rsidRDefault="006D116F" w:rsidP="006D116F">
      <w:pPr>
        <w:widowControl w:val="0"/>
        <w:tabs>
          <w:tab w:val="clear" w:pos="567"/>
        </w:tabs>
        <w:spacing w:line="248" w:lineRule="exact"/>
        <w:ind w:right="-20"/>
        <w:rPr>
          <w:szCs w:val="22"/>
        </w:rPr>
      </w:pPr>
      <w:r>
        <w:rPr>
          <w:szCs w:val="22"/>
          <w:u w:val="single" w:color="000000"/>
        </w:rPr>
        <w:t>Популация на възрастни</w:t>
      </w:r>
    </w:p>
    <w:p w14:paraId="4881ACF2" w14:textId="77777777" w:rsidR="006D116F" w:rsidRPr="00673AA0" w:rsidRDefault="006D116F" w:rsidP="006D116F">
      <w:pPr>
        <w:widowControl w:val="0"/>
        <w:tabs>
          <w:tab w:val="clear" w:pos="567"/>
        </w:tabs>
        <w:spacing w:before="6" w:line="220" w:lineRule="exact"/>
        <w:rPr>
          <w:rFonts w:ascii="Calibri" w:eastAsia="Calibri" w:hAnsi="Calibri"/>
          <w:szCs w:val="22"/>
          <w:lang w:val="en-US"/>
        </w:rPr>
      </w:pPr>
    </w:p>
    <w:p w14:paraId="31D4A897" w14:textId="77777777" w:rsidR="006D116F" w:rsidRPr="00673AA0" w:rsidRDefault="006D116F" w:rsidP="006D116F">
      <w:pPr>
        <w:widowControl w:val="0"/>
        <w:tabs>
          <w:tab w:val="clear" w:pos="567"/>
        </w:tabs>
        <w:spacing w:before="32" w:line="240" w:lineRule="auto"/>
        <w:ind w:right="-20"/>
        <w:rPr>
          <w:szCs w:val="22"/>
        </w:rPr>
      </w:pPr>
      <w:r>
        <w:rPr>
          <w:i/>
          <w:szCs w:val="22"/>
        </w:rPr>
        <w:t>Монотерапия</w:t>
      </w:r>
    </w:p>
    <w:p w14:paraId="4654792E" w14:textId="77777777" w:rsidR="006D116F" w:rsidRPr="00673AA0" w:rsidRDefault="006D116F" w:rsidP="006D116F">
      <w:pPr>
        <w:widowControl w:val="0"/>
        <w:tabs>
          <w:tab w:val="clear" w:pos="567"/>
        </w:tabs>
        <w:spacing w:before="1" w:line="254" w:lineRule="exact"/>
        <w:ind w:right="403"/>
        <w:rPr>
          <w:szCs w:val="22"/>
        </w:rPr>
      </w:pPr>
      <w:r>
        <w:t>Ефикасността на лакозамид като монотерапия е установена в двойно сляпо, паралелно-групово, неинфериорно сравнение с карбамазепин CR при 886 пациенти на възраст 16 години или по-възрастни с новодиагностицирана или наскоро диагностицирана епилепсия. Пациентите е трябвало да бъдат с непредизвикани парциални пристъпи, със или без вторична генерализация. Пациентите са рандомизирани за карбамазепин CR или лакозамид под формата на таблетки в съотношение 1:1. Дозата е била определена от зависимостта доза ‒ отговор и варира от 400 mg до 1200 mg/ден за карбамазепин CR и от 200 mg до 600 mg/ден за лакозамид. Продължителността на лечението е до 121 седмици в зависимост от отговора.</w:t>
      </w:r>
    </w:p>
    <w:p w14:paraId="31B9A8C3" w14:textId="77777777" w:rsidR="006D116F" w:rsidRPr="00673AA0" w:rsidRDefault="006D116F" w:rsidP="006D116F">
      <w:pPr>
        <w:widowControl w:val="0"/>
        <w:tabs>
          <w:tab w:val="clear" w:pos="567"/>
        </w:tabs>
        <w:spacing w:line="251" w:lineRule="exact"/>
        <w:ind w:right="-20"/>
        <w:rPr>
          <w:szCs w:val="22"/>
        </w:rPr>
      </w:pPr>
      <w:r>
        <w:t xml:space="preserve">Липса на пристъпи за 6 месеца се оценява при 89,8% от пациентите, приемащи лакозамид, и при 91,1% от пациентите, приемащи карбамазепин CR, като се използва методът за анализ на преживяемостта по Kaplan-Meier. Коригираната абсолютна разлика между леченията е -1,3% (95% CI: -5,5, 2,8). Оценените резултати по Kaplan-Meier за липса на пристъпи за период от 12 месеца са 77,8% при пациентите, лекувани с лакозамид, и 82,7% при пациентите, лекувани с карбамазепин CR. </w:t>
      </w:r>
    </w:p>
    <w:p w14:paraId="3A8C0C85" w14:textId="4F3AD207" w:rsidR="006D116F" w:rsidRPr="0034745C" w:rsidRDefault="006D116F" w:rsidP="006D116F">
      <w:pPr>
        <w:widowControl w:val="0"/>
        <w:tabs>
          <w:tab w:val="clear" w:pos="567"/>
        </w:tabs>
        <w:spacing w:line="252" w:lineRule="exact"/>
        <w:ind w:right="-20"/>
        <w:rPr>
          <w:szCs w:val="22"/>
        </w:rPr>
      </w:pPr>
      <w:r>
        <w:t>Липсата на пристъпи за 6 месеца при пациенти в старческа възраст на 65 и повече години (62 пациенти на лакозамид и 57 пациенти на карбамазепин CR) е била сравнима между двете групи на лечение. Нивата също са били сравними с тези, наблюдавани в общата популация. В старческата популация поддържащата доза лакозамид е 200 mg/ден при 55 пациенти (88,7%), 400 mg/ден при 6 пациенти (9,7%), като дозата е повишена до над 400 mg/ден при 1 пациент (1,6%).</w:t>
      </w:r>
    </w:p>
    <w:p w14:paraId="29C90F54" w14:textId="77777777" w:rsidR="006D116F" w:rsidRPr="0034745C" w:rsidRDefault="006D116F" w:rsidP="006D116F">
      <w:pPr>
        <w:widowControl w:val="0"/>
        <w:tabs>
          <w:tab w:val="clear" w:pos="567"/>
        </w:tabs>
        <w:spacing w:before="16" w:line="220" w:lineRule="exact"/>
        <w:rPr>
          <w:rFonts w:ascii="Calibri" w:eastAsia="Calibri" w:hAnsi="Calibri"/>
          <w:szCs w:val="22"/>
          <w:lang w:val="en-US"/>
        </w:rPr>
      </w:pPr>
    </w:p>
    <w:p w14:paraId="215DC828" w14:textId="77777777" w:rsidR="006D116F" w:rsidRPr="0034745C" w:rsidRDefault="006D116F" w:rsidP="006D116F">
      <w:pPr>
        <w:widowControl w:val="0"/>
        <w:tabs>
          <w:tab w:val="clear" w:pos="567"/>
        </w:tabs>
        <w:spacing w:line="240" w:lineRule="auto"/>
        <w:ind w:right="-20"/>
        <w:rPr>
          <w:szCs w:val="22"/>
        </w:rPr>
      </w:pPr>
      <w:r>
        <w:rPr>
          <w:i/>
          <w:szCs w:val="22"/>
        </w:rPr>
        <w:t>Преминаване към монотерапия</w:t>
      </w:r>
    </w:p>
    <w:p w14:paraId="25D47AAD" w14:textId="77777777" w:rsidR="006D116F" w:rsidRPr="0034745C" w:rsidRDefault="006D116F" w:rsidP="006D116F">
      <w:pPr>
        <w:widowControl w:val="0"/>
        <w:tabs>
          <w:tab w:val="clear" w:pos="567"/>
        </w:tabs>
        <w:spacing w:before="3" w:line="252" w:lineRule="exact"/>
        <w:ind w:right="118"/>
        <w:rPr>
          <w:szCs w:val="22"/>
        </w:rPr>
      </w:pPr>
      <w:r>
        <w:t>Ефикасността и безопасността на лакозамид при преминаване към монотерапия са оценени в исторически контролирано, многоцентрово, двойно сляпо, рандомизирано проучване. В това проучване 425 пациенти на възраст от 16 до 70 години с неконтролирани парциални пристъпи, приемащи постоянни дози от 1 или 2 предлагани на пазара антиепилептични лекарствени продукта, са били рандомизирани да преминат на монотерапия с лакозамид (или 400 mg/ден, или 300 mg/ден в съотношение 3:1). При лекуваните пациенти, преминали през титриране и започнали да спират антиепилептичните лекарствени продукти (съответно 284 и 99), е поддържана монотерапия при 71,5% и 70,7% от пациентите, съответно за 57–105 дни (медиана 71 дни) в целевия период на наблюдение 70 дни.</w:t>
      </w:r>
    </w:p>
    <w:p w14:paraId="63731803" w14:textId="77777777" w:rsidR="006D116F" w:rsidRPr="0034745C" w:rsidRDefault="006D116F" w:rsidP="006D116F">
      <w:pPr>
        <w:widowControl w:val="0"/>
        <w:tabs>
          <w:tab w:val="clear" w:pos="567"/>
        </w:tabs>
        <w:spacing w:before="13" w:line="240" w:lineRule="exact"/>
        <w:rPr>
          <w:rFonts w:ascii="Calibri" w:eastAsia="Calibri" w:hAnsi="Calibri"/>
          <w:sz w:val="24"/>
          <w:szCs w:val="24"/>
          <w:lang w:val="en-US"/>
        </w:rPr>
      </w:pPr>
    </w:p>
    <w:p w14:paraId="516D0AC6" w14:textId="77777777" w:rsidR="006D116F" w:rsidRPr="0034745C" w:rsidRDefault="006D116F" w:rsidP="006D116F">
      <w:pPr>
        <w:widowControl w:val="0"/>
        <w:tabs>
          <w:tab w:val="clear" w:pos="567"/>
        </w:tabs>
        <w:spacing w:line="240" w:lineRule="auto"/>
        <w:ind w:right="-20"/>
        <w:rPr>
          <w:szCs w:val="22"/>
        </w:rPr>
      </w:pPr>
      <w:r>
        <w:rPr>
          <w:i/>
          <w:szCs w:val="22"/>
        </w:rPr>
        <w:t>Допълваща терапия</w:t>
      </w:r>
    </w:p>
    <w:p w14:paraId="5F43260B" w14:textId="77777777" w:rsidR="006D116F" w:rsidRPr="0034745C" w:rsidRDefault="006D116F" w:rsidP="006D116F">
      <w:pPr>
        <w:widowControl w:val="0"/>
        <w:tabs>
          <w:tab w:val="clear" w:pos="567"/>
        </w:tabs>
        <w:spacing w:line="252" w:lineRule="exact"/>
        <w:ind w:right="-20"/>
        <w:rPr>
          <w:szCs w:val="22"/>
        </w:rPr>
      </w:pPr>
      <w:r>
        <w:t>Ефикасността на лакозамид като допълващо лечение (200 mg/ден, 400 mg/ден) е оценена в 3 многоцентрови, рандомизирани, плацебо контролирани клинични проучвания с 12-седмична продължителност. Лакозамид 600 mg/ден показва също и ефективност в контролирани проучвания за допълващо лечение, въпреки че ефикасността е близка до тази при 400 mg/ден, но поносимостта за пациентите е по-малка поради нежеланите лекарствени реакции от страна на ЦНС и стомашно-чревния тракт. Поради това не се препоръчва поддържащата доза от 600 mg/ден. Максималната препоръчителна доза е 400 mg/ден. Тези проучвания, включващи 1 308 пациенти със средна продължителност на парциалните пристъпи от порядъка на 23 години, са проведени за оценка на ефикасността и безопасността на лакозамид при едновременното му приложение с 1 до 3 антиепилептични лекарствени продукта при пациенти с неконтролирани парциални пристъпи със или без вторично генерализиране. Общото съотношение на пациентите с 50% намаление на честотата на пристъпите е 23%, 34% и 40%, съответно за плацебо, лакозамид 200 mg/ден и лакозамид 400 mg/ден.</w:t>
      </w:r>
    </w:p>
    <w:p w14:paraId="2E176537" w14:textId="77777777" w:rsidR="006D116F" w:rsidRPr="0034745C" w:rsidRDefault="006D116F" w:rsidP="006D116F">
      <w:pPr>
        <w:widowControl w:val="0"/>
        <w:tabs>
          <w:tab w:val="clear" w:pos="567"/>
        </w:tabs>
        <w:spacing w:before="80" w:line="240" w:lineRule="auto"/>
        <w:ind w:right="179"/>
        <w:rPr>
          <w:szCs w:val="22"/>
        </w:rPr>
      </w:pPr>
      <w:r>
        <w:t>Фармакокинетиката и безопасността на единична натоварваща доза интравенозно приложен лакозамид са определени в многоцентрово, отворено проучване, планирано да оцени безопасността и поносимостта на бързото въвеждане на лакозамид чрез единична интравенозна натоварваща доза (състояща се от 200 mg), последвана от два пъти дневно перорално приложение (еквивалентно на интравенозната доза) като съпътстваща терапия при възрастни пациенти на възраст от 16 до 60 години с парциални пристъпи.</w:t>
      </w:r>
    </w:p>
    <w:p w14:paraId="5292B410" w14:textId="77777777" w:rsidR="006D116F" w:rsidRPr="0034745C" w:rsidRDefault="006D116F" w:rsidP="006D116F">
      <w:pPr>
        <w:widowControl w:val="0"/>
        <w:tabs>
          <w:tab w:val="clear" w:pos="567"/>
        </w:tabs>
        <w:spacing w:before="11" w:line="240" w:lineRule="exact"/>
        <w:rPr>
          <w:rFonts w:ascii="Calibri" w:eastAsia="Calibri" w:hAnsi="Calibri"/>
          <w:sz w:val="24"/>
          <w:szCs w:val="24"/>
          <w:lang w:val="en-US"/>
        </w:rPr>
      </w:pPr>
    </w:p>
    <w:p w14:paraId="6112B5C8" w14:textId="77777777" w:rsidR="006D116F" w:rsidRPr="0034745C" w:rsidRDefault="006D116F" w:rsidP="006D116F">
      <w:pPr>
        <w:widowControl w:val="0"/>
        <w:tabs>
          <w:tab w:val="clear" w:pos="567"/>
        </w:tabs>
        <w:spacing w:line="249" w:lineRule="exact"/>
        <w:ind w:right="-20"/>
        <w:rPr>
          <w:szCs w:val="22"/>
        </w:rPr>
      </w:pPr>
      <w:r>
        <w:rPr>
          <w:szCs w:val="22"/>
          <w:u w:val="single" w:color="000000"/>
        </w:rPr>
        <w:t>Педиатрична популация</w:t>
      </w:r>
    </w:p>
    <w:p w14:paraId="25D4B00B" w14:textId="77777777" w:rsidR="006D116F" w:rsidRPr="0034745C" w:rsidRDefault="006D116F" w:rsidP="006D116F">
      <w:pPr>
        <w:widowControl w:val="0"/>
        <w:tabs>
          <w:tab w:val="clear" w:pos="567"/>
        </w:tabs>
        <w:spacing w:before="6" w:line="220" w:lineRule="exact"/>
        <w:rPr>
          <w:rFonts w:ascii="Calibri" w:eastAsia="Calibri" w:hAnsi="Calibri"/>
          <w:szCs w:val="22"/>
          <w:lang w:val="en-US"/>
        </w:rPr>
      </w:pPr>
    </w:p>
    <w:p w14:paraId="6B726F88" w14:textId="77777777" w:rsidR="00104FEC" w:rsidRDefault="006D116F" w:rsidP="006D116F">
      <w:pPr>
        <w:widowControl w:val="0"/>
        <w:tabs>
          <w:tab w:val="clear" w:pos="567"/>
        </w:tabs>
        <w:spacing w:before="32" w:line="240" w:lineRule="auto"/>
        <w:ind w:right="95"/>
        <w:rPr>
          <w:szCs w:val="22"/>
        </w:rPr>
      </w:pPr>
      <w:r>
        <w:t xml:space="preserve">Парциалните пристъпи имат подобно клинично изразяване при деца на възраст над 4 години и при възрастни. Ефикасността на лакозамид при деца на възраст 4 години и по-големи е екстраполирана от данни за юноши и възрастни с парциални пристъпи, за които се очаква подобен отговор, приемайки, че адаптирането на педиатричната доза е установено (вж. точка 4.2) и безопасността е демонстрирана (вж. точка 4.8). </w:t>
      </w:r>
    </w:p>
    <w:p w14:paraId="202DB6EF" w14:textId="77777777" w:rsidR="006D116F" w:rsidRPr="0034745C" w:rsidRDefault="006D116F" w:rsidP="006D116F">
      <w:pPr>
        <w:widowControl w:val="0"/>
        <w:tabs>
          <w:tab w:val="clear" w:pos="567"/>
        </w:tabs>
        <w:spacing w:before="32" w:line="240" w:lineRule="auto"/>
        <w:ind w:right="95"/>
        <w:rPr>
          <w:szCs w:val="22"/>
        </w:rPr>
      </w:pPr>
      <w:r>
        <w:t>Ефикасността, подкрепена от горепосочения принцип на екстраполация, се потвърждава от двойно сляпо, рандомизирано, плацебо контролирано проучване. Проучването включва 8-седмичен базов период, последван от 6-седмичен период на титриране. Допустими пациенти със стабилна дозова схема от 1 до ≤3 антиепилептични лекарствени продукта, които все още са имали поне 2 парциални пристъпа през 4-те седмици преди скрининга, с фаза без пристъпи не по-дълга от 21 дни през 8-седмичния период преди навлизане в базовия период, са рандомизирани да получават или плацебо (n=172), или лакозамид (n=171).</w:t>
      </w:r>
    </w:p>
    <w:p w14:paraId="14CFB27D" w14:textId="77777777" w:rsidR="006D116F" w:rsidRPr="0034745C" w:rsidRDefault="006D116F" w:rsidP="006D116F">
      <w:pPr>
        <w:widowControl w:val="0"/>
        <w:tabs>
          <w:tab w:val="clear" w:pos="567"/>
        </w:tabs>
        <w:spacing w:before="5" w:line="252" w:lineRule="exact"/>
        <w:ind w:right="276"/>
        <w:rPr>
          <w:szCs w:val="22"/>
        </w:rPr>
      </w:pPr>
      <w:r>
        <w:t>Прилагането е започнало в доза от 2 mg/kg/ден при пациенти с тегло под 50 kg или 100 mg/ден при пациенти с тегло 50 kg или повече в 2 разделени дози. По време на периода на титриране дозите лакозамид са били коригирани с увеличение от 1 mg/kg или 2 mg/kg/ден при пациенти с тегло под 50 kg или 50 mg или 100 mg/ден при участници с тегло 50 kg или повече на седмични интервали, за да се постигне дозов диапазон на целевия период на поддържащо лечение.</w:t>
      </w:r>
    </w:p>
    <w:p w14:paraId="7EFF19B5" w14:textId="77777777" w:rsidR="006D116F" w:rsidRPr="0034745C" w:rsidRDefault="006D116F" w:rsidP="006D116F">
      <w:pPr>
        <w:widowControl w:val="0"/>
        <w:tabs>
          <w:tab w:val="clear" w:pos="567"/>
        </w:tabs>
        <w:spacing w:line="252" w:lineRule="exact"/>
        <w:ind w:right="-20"/>
        <w:rPr>
          <w:szCs w:val="22"/>
        </w:rPr>
      </w:pPr>
      <w:r>
        <w:t>Пациентите трябва да са достигнали минималната целева доза за категорията си на телесно тегло за последните 3 дни от периода на титриране, за да бъдат допуснати за влизане в 10-седмичния период на поддържащо лечение. Пациентите е трябвало да останат на стабилна доза лакозамид през целия период на поддържащо лечение или да са били изтеглени и включени в заслепения период на намаляване на дозата.</w:t>
      </w:r>
    </w:p>
    <w:p w14:paraId="1B8A2CB7" w14:textId="77777777" w:rsidR="006D116F" w:rsidRPr="0034745C" w:rsidRDefault="006D116F" w:rsidP="006D116F">
      <w:pPr>
        <w:widowControl w:val="0"/>
        <w:tabs>
          <w:tab w:val="clear" w:pos="567"/>
        </w:tabs>
        <w:spacing w:before="1" w:line="254" w:lineRule="exact"/>
        <w:ind w:right="155"/>
        <w:rPr>
          <w:szCs w:val="22"/>
        </w:rPr>
      </w:pPr>
      <w:r>
        <w:t>Между групата на лакозамид и групата на плацебо е наблюдавано статистически значимо (р= 0,0003) и клинично значимо намаление на честотата на парциалните пристъпи за 28 дни от базовото ниво до периода на поддържащо лечение. Процентното намаление спрямо плацебо въз основа на ковариационен анализ е било 31,72%  (95% CI: 16.342, 44.277).</w:t>
      </w:r>
    </w:p>
    <w:p w14:paraId="1EE23AFB" w14:textId="77777777" w:rsidR="006D116F" w:rsidRPr="0034745C" w:rsidRDefault="006D116F" w:rsidP="006D116F">
      <w:pPr>
        <w:widowControl w:val="0"/>
        <w:tabs>
          <w:tab w:val="clear" w:pos="567"/>
        </w:tabs>
        <w:spacing w:line="252" w:lineRule="exact"/>
        <w:ind w:right="-20"/>
        <w:rPr>
          <w:szCs w:val="22"/>
        </w:rPr>
      </w:pPr>
      <w:r>
        <w:t>Като цяло процентът на пациентите с най-малко 50% намаление на честотата на парциалните пристъпи за 28 дни от базовото ниво до периода на поддържащо лечение е бил 52,9% в групата на лакозамид, в сравнение с 33,3% в групата на плацебо.</w:t>
      </w:r>
    </w:p>
    <w:p w14:paraId="67FD6222" w14:textId="66F09F98" w:rsidR="006D116F" w:rsidRDefault="006D116F" w:rsidP="006D116F">
      <w:pPr>
        <w:widowControl w:val="0"/>
        <w:tabs>
          <w:tab w:val="clear" w:pos="567"/>
        </w:tabs>
        <w:spacing w:before="1" w:line="254" w:lineRule="exact"/>
        <w:ind w:right="197"/>
      </w:pPr>
      <w:r>
        <w:t>Качеството на живот, оценено по индекса за качество на живот при деца (Pediatric Quality of Life Inventory), показва, че пациентите от групата на лакозамид и тези на плацебо имат подобно и стабилно свързано със здравето качество на живот през целия период на лечение.</w:t>
      </w:r>
    </w:p>
    <w:p w14:paraId="3827888D" w14:textId="77777777" w:rsidR="00355647" w:rsidRPr="005E6D9B" w:rsidRDefault="00355647" w:rsidP="006D116F">
      <w:pPr>
        <w:widowControl w:val="0"/>
        <w:tabs>
          <w:tab w:val="clear" w:pos="567"/>
        </w:tabs>
        <w:spacing w:before="1" w:line="254" w:lineRule="exact"/>
        <w:ind w:right="197"/>
        <w:rPr>
          <w:szCs w:val="22"/>
        </w:rPr>
      </w:pPr>
    </w:p>
    <w:p w14:paraId="41BA569A" w14:textId="77777777" w:rsidR="00355647" w:rsidRPr="00355647" w:rsidRDefault="00355647" w:rsidP="00355647">
      <w:pPr>
        <w:tabs>
          <w:tab w:val="clear" w:pos="567"/>
        </w:tabs>
        <w:autoSpaceDE w:val="0"/>
        <w:autoSpaceDN w:val="0"/>
        <w:adjustRightInd w:val="0"/>
        <w:spacing w:line="240" w:lineRule="auto"/>
        <w:rPr>
          <w:rFonts w:eastAsiaTheme="minorHAnsi"/>
          <w:color w:val="000000"/>
          <w:szCs w:val="22"/>
        </w:rPr>
      </w:pPr>
      <w:r w:rsidRPr="006150EE">
        <w:rPr>
          <w:rFonts w:eastAsiaTheme="minorHAnsi"/>
          <w:color w:val="000000"/>
          <w:szCs w:val="22"/>
          <w:u w:val="single"/>
        </w:rPr>
        <w:t xml:space="preserve">Клинична ефикасност и безопасност (първично генерализирани тонично-клонични пристъпи) </w:t>
      </w:r>
    </w:p>
    <w:p w14:paraId="6CB54A8C" w14:textId="45EC289C" w:rsidR="00355647" w:rsidRPr="00355647" w:rsidRDefault="00355647" w:rsidP="006150EE">
      <w:pPr>
        <w:tabs>
          <w:tab w:val="clear" w:pos="567"/>
        </w:tabs>
        <w:autoSpaceDE w:val="0"/>
        <w:autoSpaceDN w:val="0"/>
        <w:adjustRightInd w:val="0"/>
        <w:spacing w:line="240" w:lineRule="auto"/>
        <w:rPr>
          <w:rFonts w:eastAsiaTheme="minorHAnsi"/>
          <w:szCs w:val="22"/>
        </w:rPr>
      </w:pPr>
      <w:r w:rsidRPr="00355647">
        <w:rPr>
          <w:rFonts w:eastAsiaTheme="minorHAnsi"/>
          <w:color w:val="000000"/>
          <w:szCs w:val="22"/>
        </w:rPr>
        <w:t xml:space="preserve">Ефикасността на лакозамид като допълваща терапия при пациенти на 4-годишна възраст или по-големи, с генерализирана идиопатична епилепсия, с прояви на първично генерализирани тонично-клонични пристъпи (ПГТКП) е установена в 24-седмично двойно-сляпо, рандомизирано, плацебо-контролирано, паралелно-групово, многоцентрово проучване. Проучването се е състояло от 12-седмичен период на историческо изходно ниво, 4-седмичен период на проспективно изходно ниво и 24-седмичен период на лечение (който е включвал титриране в продължение на 6-седмичен пердиод и 18-седмичен поддръжащ период). Отговарящите на условията пациенти, с назначена установена доза от 1 до 3 антиепилептични лекарства, получаващи поне 3 документирани ПГТКП по време на 16-седмичния изходен период на титриране, са рандомизирани в съотношение 1 към 1 да получават лакозамид или </w:t>
      </w:r>
      <w:r w:rsidRPr="00355647">
        <w:rPr>
          <w:rFonts w:eastAsiaTheme="minorHAnsi"/>
          <w:szCs w:val="22"/>
        </w:rPr>
        <w:t xml:space="preserve">плацебо (пациенти в набора за пълен анализ: лакозамид n=118, плацебо n=121: от тях 8 пациенти в групата на ≥ 4 до &lt;12-годишна възраст и 16 пациенти в групата на ≥ 12 до &lt;18-годишна възраст са лекувани с LCM, а 9 и 16 пациенти – съответно с плацебо). </w:t>
      </w:r>
    </w:p>
    <w:p w14:paraId="7EAA9FF8" w14:textId="5D272248" w:rsidR="006D116F" w:rsidRDefault="00355647" w:rsidP="00355647">
      <w:pPr>
        <w:spacing w:line="240" w:lineRule="auto"/>
        <w:rPr>
          <w:rFonts w:eastAsiaTheme="minorHAnsi"/>
          <w:szCs w:val="22"/>
        </w:rPr>
      </w:pPr>
      <w:r w:rsidRPr="00355647">
        <w:rPr>
          <w:rFonts w:eastAsiaTheme="minorHAnsi"/>
          <w:szCs w:val="22"/>
        </w:rPr>
        <w:t>Пациентите са титрирани до целевата доза за поддържащия периода от 12 mg/kg/ден при пациенти с тегло под 30 kg, 8 mg/kg/ден при пациенти с тегло от 30 до по-малко от 50 kg или 400 mg/ден при пациенти с тегло 50 kg или повече.</w:t>
      </w:r>
    </w:p>
    <w:p w14:paraId="415B11ED" w14:textId="77777777" w:rsidR="00355647" w:rsidRDefault="00355647" w:rsidP="00355647">
      <w:pPr>
        <w:spacing w:line="240" w:lineRule="auto"/>
        <w:rPr>
          <w:rFonts w:eastAsiaTheme="minorHAnsi"/>
          <w:szCs w:val="22"/>
        </w:rPr>
      </w:pPr>
    </w:p>
    <w:tbl>
      <w:tblPr>
        <w:tblStyle w:val="TableGrid1"/>
        <w:tblW w:w="0" w:type="auto"/>
        <w:tblLook w:val="04A0" w:firstRow="1" w:lastRow="0" w:firstColumn="1" w:lastColumn="0" w:noHBand="0" w:noVBand="1"/>
      </w:tblPr>
      <w:tblGrid>
        <w:gridCol w:w="3681"/>
        <w:gridCol w:w="2835"/>
        <w:gridCol w:w="2834"/>
      </w:tblGrid>
      <w:tr w:rsidR="00355647" w:rsidRPr="00BD7DEA" w14:paraId="462BEF9B" w14:textId="77777777" w:rsidTr="005F64CB">
        <w:tc>
          <w:tcPr>
            <w:tcW w:w="3681" w:type="dxa"/>
          </w:tcPr>
          <w:p w14:paraId="486B6CD8" w14:textId="77777777" w:rsidR="00355647" w:rsidRDefault="00355647" w:rsidP="00355647">
            <w:pPr>
              <w:pStyle w:val="Default"/>
              <w:rPr>
                <w:sz w:val="22"/>
                <w:szCs w:val="22"/>
              </w:rPr>
            </w:pPr>
            <w:proofErr w:type="spellStart"/>
            <w:r>
              <w:rPr>
                <w:sz w:val="22"/>
                <w:szCs w:val="22"/>
              </w:rPr>
              <w:t>Променлива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ефикасност</w:t>
            </w:r>
            <w:proofErr w:type="spellEnd"/>
            <w:r>
              <w:rPr>
                <w:sz w:val="22"/>
                <w:szCs w:val="22"/>
              </w:rPr>
              <w:t xml:space="preserve"> </w:t>
            </w:r>
          </w:p>
          <w:p w14:paraId="577F6AFD" w14:textId="6EC7796E" w:rsidR="00355647" w:rsidRPr="00BD7DEA" w:rsidRDefault="00355647" w:rsidP="00355647">
            <w:pPr>
              <w:tabs>
                <w:tab w:val="clear" w:pos="567"/>
              </w:tabs>
              <w:spacing w:line="240" w:lineRule="auto"/>
              <w:rPr>
                <w:rFonts w:eastAsiaTheme="minorHAnsi"/>
                <w:szCs w:val="22"/>
              </w:rPr>
            </w:pPr>
            <w:proofErr w:type="spellStart"/>
            <w:r>
              <w:rPr>
                <w:szCs w:val="22"/>
              </w:rPr>
              <w:t>Параметър</w:t>
            </w:r>
            <w:proofErr w:type="spellEnd"/>
            <w:r>
              <w:rPr>
                <w:szCs w:val="22"/>
              </w:rPr>
              <w:t xml:space="preserve"> </w:t>
            </w:r>
          </w:p>
        </w:tc>
        <w:tc>
          <w:tcPr>
            <w:tcW w:w="2835" w:type="dxa"/>
          </w:tcPr>
          <w:p w14:paraId="4E386166" w14:textId="0DA3BF05" w:rsidR="00355647" w:rsidRPr="006150EE" w:rsidRDefault="00355647" w:rsidP="005F64CB">
            <w:pPr>
              <w:tabs>
                <w:tab w:val="clear" w:pos="567"/>
              </w:tabs>
              <w:spacing w:line="240" w:lineRule="auto"/>
              <w:jc w:val="center"/>
              <w:rPr>
                <w:rFonts w:eastAsiaTheme="minorHAnsi"/>
                <w:szCs w:val="22"/>
                <w:lang w:val="bg-BG"/>
              </w:rPr>
            </w:pPr>
            <w:r>
              <w:rPr>
                <w:rFonts w:eastAsiaTheme="minorHAnsi"/>
                <w:szCs w:val="22"/>
                <w:lang w:val="bg-BG"/>
              </w:rPr>
              <w:t>Плацебо</w:t>
            </w:r>
          </w:p>
          <w:p w14:paraId="63FD58B3"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N=121</w:t>
            </w:r>
          </w:p>
        </w:tc>
        <w:tc>
          <w:tcPr>
            <w:tcW w:w="2834" w:type="dxa"/>
          </w:tcPr>
          <w:p w14:paraId="0940B248" w14:textId="0F479A67" w:rsidR="00355647" w:rsidRPr="006150EE" w:rsidRDefault="00355647" w:rsidP="005F64CB">
            <w:pPr>
              <w:tabs>
                <w:tab w:val="clear" w:pos="567"/>
              </w:tabs>
              <w:spacing w:line="240" w:lineRule="auto"/>
              <w:jc w:val="center"/>
              <w:rPr>
                <w:rFonts w:eastAsiaTheme="minorHAnsi"/>
                <w:szCs w:val="22"/>
                <w:lang w:val="bg-BG"/>
              </w:rPr>
            </w:pPr>
            <w:r>
              <w:rPr>
                <w:rFonts w:eastAsiaTheme="minorHAnsi"/>
                <w:szCs w:val="22"/>
                <w:lang w:val="bg-BG"/>
              </w:rPr>
              <w:t>Лакозамид</w:t>
            </w:r>
          </w:p>
          <w:p w14:paraId="1204332D"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N=118</w:t>
            </w:r>
          </w:p>
        </w:tc>
      </w:tr>
      <w:tr w:rsidR="00355647" w:rsidRPr="00BD7DEA" w14:paraId="2DA6D0FE" w14:textId="77777777" w:rsidTr="005F64CB">
        <w:tc>
          <w:tcPr>
            <w:tcW w:w="9350" w:type="dxa"/>
            <w:gridSpan w:val="3"/>
          </w:tcPr>
          <w:p w14:paraId="1E93F83C" w14:textId="085DF4CE" w:rsidR="00355647" w:rsidRPr="006150EE" w:rsidRDefault="00355647" w:rsidP="006150EE">
            <w:pPr>
              <w:pStyle w:val="Default"/>
              <w:rPr>
                <w:szCs w:val="22"/>
              </w:rPr>
            </w:pPr>
            <w:proofErr w:type="spellStart"/>
            <w:r>
              <w:rPr>
                <w:sz w:val="22"/>
                <w:szCs w:val="22"/>
              </w:rPr>
              <w:t>Време</w:t>
            </w:r>
            <w:proofErr w:type="spellEnd"/>
            <w:r>
              <w:rPr>
                <w:sz w:val="22"/>
                <w:szCs w:val="22"/>
              </w:rPr>
              <w:t xml:space="preserve"> </w:t>
            </w:r>
            <w:proofErr w:type="spellStart"/>
            <w:r>
              <w:rPr>
                <w:sz w:val="22"/>
                <w:szCs w:val="22"/>
              </w:rPr>
              <w:t>до</w:t>
            </w:r>
            <w:proofErr w:type="spellEnd"/>
            <w:r>
              <w:rPr>
                <w:sz w:val="22"/>
                <w:szCs w:val="22"/>
              </w:rPr>
              <w:t xml:space="preserve"> </w:t>
            </w:r>
            <w:proofErr w:type="spellStart"/>
            <w:r>
              <w:rPr>
                <w:sz w:val="22"/>
                <w:szCs w:val="22"/>
              </w:rPr>
              <w:t>втори</w:t>
            </w:r>
            <w:proofErr w:type="spellEnd"/>
            <w:r>
              <w:rPr>
                <w:sz w:val="22"/>
                <w:szCs w:val="22"/>
              </w:rPr>
              <w:t xml:space="preserve"> ПГТКП </w:t>
            </w:r>
          </w:p>
        </w:tc>
      </w:tr>
      <w:tr w:rsidR="00355647" w:rsidRPr="00BD7DEA" w14:paraId="06F071DB" w14:textId="77777777" w:rsidTr="005F64CB">
        <w:tc>
          <w:tcPr>
            <w:tcW w:w="3681" w:type="dxa"/>
          </w:tcPr>
          <w:p w14:paraId="73AC66C7" w14:textId="7FB07E58" w:rsidR="00355647" w:rsidRPr="006150EE" w:rsidRDefault="00355647" w:rsidP="006150EE">
            <w:pPr>
              <w:pStyle w:val="Default"/>
              <w:rPr>
                <w:szCs w:val="22"/>
              </w:rPr>
            </w:pPr>
            <w:proofErr w:type="spellStart"/>
            <w:r>
              <w:rPr>
                <w:sz w:val="22"/>
                <w:szCs w:val="22"/>
              </w:rPr>
              <w:t>Медиана</w:t>
            </w:r>
            <w:proofErr w:type="spellEnd"/>
            <w:r>
              <w:rPr>
                <w:sz w:val="22"/>
                <w:szCs w:val="22"/>
              </w:rPr>
              <w:t xml:space="preserve"> (</w:t>
            </w:r>
            <w:proofErr w:type="spellStart"/>
            <w:r>
              <w:rPr>
                <w:sz w:val="22"/>
                <w:szCs w:val="22"/>
              </w:rPr>
              <w:t>дни</w:t>
            </w:r>
            <w:proofErr w:type="spellEnd"/>
            <w:r>
              <w:rPr>
                <w:sz w:val="22"/>
                <w:szCs w:val="22"/>
              </w:rPr>
              <w:t xml:space="preserve">) </w:t>
            </w:r>
          </w:p>
        </w:tc>
        <w:tc>
          <w:tcPr>
            <w:tcW w:w="2835" w:type="dxa"/>
          </w:tcPr>
          <w:p w14:paraId="37EFDD93"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77.0</w:t>
            </w:r>
          </w:p>
        </w:tc>
        <w:tc>
          <w:tcPr>
            <w:tcW w:w="2834" w:type="dxa"/>
          </w:tcPr>
          <w:p w14:paraId="08141EDB"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w:t>
            </w:r>
          </w:p>
        </w:tc>
      </w:tr>
      <w:tr w:rsidR="00355647" w:rsidRPr="00BD7DEA" w14:paraId="1E78DEA0" w14:textId="77777777" w:rsidTr="005F64CB">
        <w:tc>
          <w:tcPr>
            <w:tcW w:w="3681" w:type="dxa"/>
          </w:tcPr>
          <w:p w14:paraId="514C9E2C" w14:textId="77777777" w:rsidR="00355647" w:rsidRPr="00BD7DEA" w:rsidRDefault="00355647" w:rsidP="005F64CB">
            <w:pPr>
              <w:tabs>
                <w:tab w:val="clear" w:pos="567"/>
              </w:tabs>
              <w:spacing w:line="240" w:lineRule="auto"/>
              <w:ind w:left="176"/>
              <w:rPr>
                <w:rFonts w:eastAsiaTheme="minorHAnsi"/>
                <w:szCs w:val="22"/>
              </w:rPr>
            </w:pPr>
            <w:r w:rsidRPr="00BD7DEA">
              <w:rPr>
                <w:rFonts w:eastAsiaTheme="minorHAnsi"/>
                <w:szCs w:val="22"/>
              </w:rPr>
              <w:t>95 % CI</w:t>
            </w:r>
          </w:p>
        </w:tc>
        <w:tc>
          <w:tcPr>
            <w:tcW w:w="2835" w:type="dxa"/>
          </w:tcPr>
          <w:p w14:paraId="035CDFFF"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49.0, 128.0</w:t>
            </w:r>
          </w:p>
        </w:tc>
        <w:tc>
          <w:tcPr>
            <w:tcW w:w="2834" w:type="dxa"/>
          </w:tcPr>
          <w:p w14:paraId="1D09DD3B"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w:t>
            </w:r>
          </w:p>
        </w:tc>
      </w:tr>
      <w:tr w:rsidR="00355647" w:rsidRPr="00BD7DEA" w14:paraId="40C33426" w14:textId="77777777" w:rsidTr="005F64CB">
        <w:tc>
          <w:tcPr>
            <w:tcW w:w="3681" w:type="dxa"/>
          </w:tcPr>
          <w:p w14:paraId="1E0170D3" w14:textId="794731F2" w:rsidR="00355647" w:rsidRPr="006150EE" w:rsidRDefault="00355647" w:rsidP="006150EE">
            <w:pPr>
              <w:pStyle w:val="Default"/>
              <w:rPr>
                <w:szCs w:val="22"/>
              </w:rPr>
            </w:pPr>
            <w:proofErr w:type="spellStart"/>
            <w:r>
              <w:rPr>
                <w:sz w:val="22"/>
                <w:szCs w:val="22"/>
              </w:rPr>
              <w:t>Лакозамид</w:t>
            </w:r>
            <w:proofErr w:type="spellEnd"/>
            <w:r>
              <w:rPr>
                <w:sz w:val="22"/>
                <w:szCs w:val="22"/>
              </w:rPr>
              <w:t xml:space="preserve"> – </w:t>
            </w:r>
            <w:proofErr w:type="spellStart"/>
            <w:r>
              <w:rPr>
                <w:sz w:val="22"/>
                <w:szCs w:val="22"/>
              </w:rPr>
              <w:t>Плацебо</w:t>
            </w:r>
            <w:proofErr w:type="spellEnd"/>
            <w:r>
              <w:rPr>
                <w:sz w:val="22"/>
                <w:szCs w:val="22"/>
              </w:rPr>
              <w:t xml:space="preserve"> </w:t>
            </w:r>
          </w:p>
        </w:tc>
        <w:tc>
          <w:tcPr>
            <w:tcW w:w="5669" w:type="dxa"/>
            <w:gridSpan w:val="2"/>
          </w:tcPr>
          <w:p w14:paraId="38521A2E" w14:textId="77777777" w:rsidR="00355647" w:rsidRPr="00BD7DEA" w:rsidRDefault="00355647" w:rsidP="005F64CB">
            <w:pPr>
              <w:tabs>
                <w:tab w:val="clear" w:pos="567"/>
              </w:tabs>
              <w:spacing w:line="240" w:lineRule="auto"/>
              <w:jc w:val="center"/>
              <w:rPr>
                <w:rFonts w:eastAsiaTheme="minorHAnsi"/>
                <w:szCs w:val="22"/>
              </w:rPr>
            </w:pPr>
          </w:p>
        </w:tc>
      </w:tr>
      <w:tr w:rsidR="00355647" w:rsidRPr="00BD7DEA" w14:paraId="56716016" w14:textId="77777777" w:rsidTr="005F64CB">
        <w:tc>
          <w:tcPr>
            <w:tcW w:w="3681" w:type="dxa"/>
          </w:tcPr>
          <w:p w14:paraId="1BB45CB0" w14:textId="391F7F3E" w:rsidR="00355647" w:rsidRPr="006150EE" w:rsidRDefault="00355647" w:rsidP="006150EE">
            <w:pPr>
              <w:pStyle w:val="Default"/>
              <w:rPr>
                <w:szCs w:val="22"/>
              </w:rPr>
            </w:pPr>
            <w:proofErr w:type="spellStart"/>
            <w:r>
              <w:rPr>
                <w:sz w:val="22"/>
                <w:szCs w:val="22"/>
              </w:rPr>
              <w:t>Съотношение</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риск</w:t>
            </w:r>
            <w:proofErr w:type="spellEnd"/>
            <w:r>
              <w:rPr>
                <w:sz w:val="22"/>
                <w:szCs w:val="22"/>
              </w:rPr>
              <w:t xml:space="preserve"> </w:t>
            </w:r>
          </w:p>
        </w:tc>
        <w:tc>
          <w:tcPr>
            <w:tcW w:w="5669" w:type="dxa"/>
            <w:gridSpan w:val="2"/>
          </w:tcPr>
          <w:p w14:paraId="71549F54"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0.540</w:t>
            </w:r>
          </w:p>
        </w:tc>
      </w:tr>
      <w:tr w:rsidR="00355647" w:rsidRPr="00BD7DEA" w14:paraId="3F7A5D6E" w14:textId="77777777" w:rsidTr="005F64CB">
        <w:tc>
          <w:tcPr>
            <w:tcW w:w="3681" w:type="dxa"/>
          </w:tcPr>
          <w:p w14:paraId="56800E86" w14:textId="77777777" w:rsidR="00355647" w:rsidRPr="00BD7DEA" w:rsidRDefault="00355647" w:rsidP="005F64CB">
            <w:pPr>
              <w:tabs>
                <w:tab w:val="clear" w:pos="567"/>
              </w:tabs>
              <w:spacing w:line="240" w:lineRule="auto"/>
              <w:ind w:left="176"/>
              <w:rPr>
                <w:rFonts w:eastAsiaTheme="minorHAnsi"/>
                <w:szCs w:val="22"/>
              </w:rPr>
            </w:pPr>
            <w:r w:rsidRPr="00BD7DEA">
              <w:rPr>
                <w:rFonts w:eastAsiaTheme="minorHAnsi"/>
                <w:szCs w:val="22"/>
              </w:rPr>
              <w:t>95 % CI</w:t>
            </w:r>
          </w:p>
        </w:tc>
        <w:tc>
          <w:tcPr>
            <w:tcW w:w="5669" w:type="dxa"/>
            <w:gridSpan w:val="2"/>
          </w:tcPr>
          <w:p w14:paraId="09B9FF0D"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0.377, 0.774</w:t>
            </w:r>
          </w:p>
        </w:tc>
      </w:tr>
      <w:tr w:rsidR="00355647" w:rsidRPr="00BD7DEA" w14:paraId="50461858" w14:textId="77777777" w:rsidTr="005F64CB">
        <w:tc>
          <w:tcPr>
            <w:tcW w:w="3681" w:type="dxa"/>
          </w:tcPr>
          <w:p w14:paraId="545F1848" w14:textId="26161126" w:rsidR="00355647" w:rsidRPr="00BD7DEA" w:rsidRDefault="00355647" w:rsidP="00355647">
            <w:pPr>
              <w:tabs>
                <w:tab w:val="clear" w:pos="567"/>
              </w:tabs>
              <w:spacing w:line="240" w:lineRule="auto"/>
              <w:ind w:left="176"/>
              <w:rPr>
                <w:rFonts w:eastAsiaTheme="minorHAnsi"/>
                <w:szCs w:val="22"/>
              </w:rPr>
            </w:pPr>
            <w:r>
              <w:rPr>
                <w:rFonts w:eastAsiaTheme="minorHAnsi"/>
                <w:szCs w:val="22"/>
              </w:rPr>
              <w:t>p-</w:t>
            </w:r>
            <w:proofErr w:type="spellStart"/>
            <w:r>
              <w:rPr>
                <w:szCs w:val="22"/>
              </w:rPr>
              <w:t>стойност</w:t>
            </w:r>
            <w:proofErr w:type="spellEnd"/>
            <w:r>
              <w:rPr>
                <w:szCs w:val="22"/>
              </w:rPr>
              <w:t xml:space="preserve"> </w:t>
            </w:r>
          </w:p>
        </w:tc>
        <w:tc>
          <w:tcPr>
            <w:tcW w:w="5669" w:type="dxa"/>
            <w:gridSpan w:val="2"/>
          </w:tcPr>
          <w:p w14:paraId="5F335B65"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&lt; 0.001</w:t>
            </w:r>
          </w:p>
        </w:tc>
      </w:tr>
      <w:tr w:rsidR="00355647" w:rsidRPr="00BD7DEA" w14:paraId="7ED7BDF4" w14:textId="77777777" w:rsidTr="005F64CB">
        <w:tc>
          <w:tcPr>
            <w:tcW w:w="9350" w:type="dxa"/>
            <w:gridSpan w:val="3"/>
          </w:tcPr>
          <w:p w14:paraId="2C20BBF7" w14:textId="7D8637DF" w:rsidR="00355647" w:rsidRPr="006150EE" w:rsidRDefault="00355647" w:rsidP="006150EE">
            <w:pPr>
              <w:pStyle w:val="Default"/>
              <w:rPr>
                <w:szCs w:val="22"/>
              </w:rPr>
            </w:pPr>
            <w:proofErr w:type="spellStart"/>
            <w:r>
              <w:rPr>
                <w:sz w:val="22"/>
                <w:szCs w:val="22"/>
              </w:rPr>
              <w:t>Отсъствие</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пристъпи</w:t>
            </w:r>
            <w:proofErr w:type="spellEnd"/>
            <w:r>
              <w:rPr>
                <w:sz w:val="22"/>
                <w:szCs w:val="22"/>
              </w:rPr>
              <w:t xml:space="preserve"> </w:t>
            </w:r>
          </w:p>
        </w:tc>
      </w:tr>
      <w:tr w:rsidR="00355647" w:rsidRPr="00BD7DEA" w14:paraId="6ED36CD4" w14:textId="77777777" w:rsidTr="005F64CB">
        <w:tc>
          <w:tcPr>
            <w:tcW w:w="3681" w:type="dxa"/>
          </w:tcPr>
          <w:p w14:paraId="359F47EE" w14:textId="129680B1" w:rsidR="00355647" w:rsidRPr="006150EE" w:rsidRDefault="00355647" w:rsidP="006150EE">
            <w:pPr>
              <w:pStyle w:val="Default"/>
              <w:rPr>
                <w:szCs w:val="22"/>
              </w:rPr>
            </w:pPr>
            <w:proofErr w:type="spellStart"/>
            <w:r>
              <w:rPr>
                <w:sz w:val="22"/>
                <w:szCs w:val="22"/>
              </w:rPr>
              <w:t>Оценка</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метода</w:t>
            </w:r>
            <w:proofErr w:type="spellEnd"/>
            <w:r>
              <w:rPr>
                <w:sz w:val="22"/>
                <w:szCs w:val="22"/>
              </w:rPr>
              <w:t xml:space="preserve"> </w:t>
            </w:r>
            <w:proofErr w:type="spellStart"/>
            <w:r>
              <w:rPr>
                <w:sz w:val="22"/>
                <w:szCs w:val="22"/>
              </w:rPr>
              <w:t>на</w:t>
            </w:r>
            <w:proofErr w:type="spellEnd"/>
            <w:r>
              <w:rPr>
                <w:sz w:val="22"/>
                <w:szCs w:val="22"/>
              </w:rPr>
              <w:t xml:space="preserve"> Kaplan-Meier (%) </w:t>
            </w:r>
          </w:p>
        </w:tc>
        <w:tc>
          <w:tcPr>
            <w:tcW w:w="2835" w:type="dxa"/>
          </w:tcPr>
          <w:p w14:paraId="3A974CE7"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17.2</w:t>
            </w:r>
          </w:p>
        </w:tc>
        <w:tc>
          <w:tcPr>
            <w:tcW w:w="2834" w:type="dxa"/>
          </w:tcPr>
          <w:p w14:paraId="596E12C8"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31.3</w:t>
            </w:r>
          </w:p>
        </w:tc>
      </w:tr>
      <w:tr w:rsidR="00355647" w:rsidRPr="00BD7DEA" w14:paraId="017151D4" w14:textId="77777777" w:rsidTr="005F64CB">
        <w:tc>
          <w:tcPr>
            <w:tcW w:w="3681" w:type="dxa"/>
          </w:tcPr>
          <w:p w14:paraId="4002E99E" w14:textId="77777777" w:rsidR="00355647" w:rsidRPr="00BD7DEA" w:rsidRDefault="00355647" w:rsidP="005F64CB">
            <w:pPr>
              <w:tabs>
                <w:tab w:val="clear" w:pos="567"/>
              </w:tabs>
              <w:spacing w:line="240" w:lineRule="auto"/>
              <w:ind w:left="176"/>
              <w:rPr>
                <w:rFonts w:eastAsiaTheme="minorHAnsi"/>
                <w:szCs w:val="22"/>
              </w:rPr>
            </w:pPr>
            <w:r w:rsidRPr="00BD7DEA">
              <w:rPr>
                <w:rFonts w:eastAsiaTheme="minorHAnsi"/>
                <w:szCs w:val="22"/>
              </w:rPr>
              <w:t>95 % CI</w:t>
            </w:r>
          </w:p>
        </w:tc>
        <w:tc>
          <w:tcPr>
            <w:tcW w:w="2835" w:type="dxa"/>
          </w:tcPr>
          <w:p w14:paraId="4AC91BC1"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10.4, 24.0</w:t>
            </w:r>
          </w:p>
        </w:tc>
        <w:tc>
          <w:tcPr>
            <w:tcW w:w="2834" w:type="dxa"/>
          </w:tcPr>
          <w:p w14:paraId="203A8E49"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22.8, 39.9</w:t>
            </w:r>
          </w:p>
        </w:tc>
      </w:tr>
      <w:tr w:rsidR="00355647" w:rsidRPr="00BD7DEA" w14:paraId="2CAB41AD" w14:textId="77777777" w:rsidTr="005F64CB">
        <w:tc>
          <w:tcPr>
            <w:tcW w:w="3681" w:type="dxa"/>
          </w:tcPr>
          <w:p w14:paraId="735CD42E" w14:textId="4E07E73D" w:rsidR="00355647" w:rsidRPr="006150EE" w:rsidRDefault="00355647" w:rsidP="006150EE">
            <w:pPr>
              <w:pStyle w:val="Default"/>
              <w:rPr>
                <w:szCs w:val="22"/>
              </w:rPr>
            </w:pPr>
            <w:proofErr w:type="spellStart"/>
            <w:r>
              <w:rPr>
                <w:sz w:val="22"/>
                <w:szCs w:val="22"/>
              </w:rPr>
              <w:t>Лакозамид</w:t>
            </w:r>
            <w:proofErr w:type="spellEnd"/>
            <w:r>
              <w:rPr>
                <w:sz w:val="22"/>
                <w:szCs w:val="22"/>
              </w:rPr>
              <w:t xml:space="preserve"> – </w:t>
            </w:r>
            <w:proofErr w:type="spellStart"/>
            <w:r>
              <w:rPr>
                <w:sz w:val="22"/>
                <w:szCs w:val="22"/>
              </w:rPr>
              <w:t>Плацебо</w:t>
            </w:r>
            <w:proofErr w:type="spellEnd"/>
            <w:r>
              <w:rPr>
                <w:sz w:val="22"/>
                <w:szCs w:val="22"/>
              </w:rPr>
              <w:t xml:space="preserve"> </w:t>
            </w:r>
          </w:p>
        </w:tc>
        <w:tc>
          <w:tcPr>
            <w:tcW w:w="5669" w:type="dxa"/>
            <w:gridSpan w:val="2"/>
          </w:tcPr>
          <w:p w14:paraId="4B44E252"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14.1</w:t>
            </w:r>
          </w:p>
        </w:tc>
      </w:tr>
      <w:tr w:rsidR="00355647" w:rsidRPr="00BD7DEA" w14:paraId="077722B3" w14:textId="77777777" w:rsidTr="005F64CB">
        <w:tc>
          <w:tcPr>
            <w:tcW w:w="3681" w:type="dxa"/>
          </w:tcPr>
          <w:p w14:paraId="4103542D" w14:textId="77777777" w:rsidR="00355647" w:rsidRPr="00BD7DEA" w:rsidRDefault="00355647" w:rsidP="005F64CB">
            <w:pPr>
              <w:tabs>
                <w:tab w:val="clear" w:pos="567"/>
              </w:tabs>
              <w:spacing w:line="240" w:lineRule="auto"/>
              <w:ind w:left="176"/>
              <w:rPr>
                <w:rFonts w:eastAsiaTheme="minorHAnsi"/>
                <w:szCs w:val="22"/>
              </w:rPr>
            </w:pPr>
            <w:r w:rsidRPr="00BD7DEA">
              <w:rPr>
                <w:rFonts w:eastAsiaTheme="minorHAnsi"/>
                <w:szCs w:val="22"/>
              </w:rPr>
              <w:t>95 % CI</w:t>
            </w:r>
          </w:p>
        </w:tc>
        <w:tc>
          <w:tcPr>
            <w:tcW w:w="5669" w:type="dxa"/>
            <w:gridSpan w:val="2"/>
          </w:tcPr>
          <w:p w14:paraId="37C12361"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3.2, 25.1</w:t>
            </w:r>
          </w:p>
        </w:tc>
      </w:tr>
      <w:tr w:rsidR="00355647" w:rsidRPr="00BD7DEA" w14:paraId="71A4654F" w14:textId="77777777" w:rsidTr="005F64CB">
        <w:tc>
          <w:tcPr>
            <w:tcW w:w="3681" w:type="dxa"/>
          </w:tcPr>
          <w:p w14:paraId="007AD412" w14:textId="741572CE" w:rsidR="00355647" w:rsidRPr="00BD7DEA" w:rsidRDefault="00355647" w:rsidP="00355647">
            <w:pPr>
              <w:tabs>
                <w:tab w:val="clear" w:pos="567"/>
              </w:tabs>
              <w:spacing w:line="240" w:lineRule="auto"/>
              <w:ind w:left="176"/>
              <w:rPr>
                <w:rFonts w:eastAsiaTheme="minorHAnsi"/>
                <w:szCs w:val="22"/>
              </w:rPr>
            </w:pPr>
            <w:r>
              <w:rPr>
                <w:rFonts w:eastAsiaTheme="minorHAnsi"/>
                <w:szCs w:val="22"/>
              </w:rPr>
              <w:t>p-</w:t>
            </w:r>
            <w:proofErr w:type="spellStart"/>
            <w:r>
              <w:rPr>
                <w:rFonts w:eastAsiaTheme="minorHAnsi"/>
                <w:szCs w:val="22"/>
              </w:rPr>
              <w:t>ст</w:t>
            </w:r>
            <w:proofErr w:type="spellEnd"/>
            <w:r>
              <w:rPr>
                <w:rFonts w:eastAsiaTheme="minorHAnsi"/>
                <w:szCs w:val="22"/>
                <w:lang w:val="bg-BG"/>
              </w:rPr>
              <w:t>о</w:t>
            </w:r>
            <w:proofErr w:type="spellStart"/>
            <w:r>
              <w:rPr>
                <w:rFonts w:eastAsiaTheme="minorHAnsi"/>
                <w:szCs w:val="22"/>
              </w:rPr>
              <w:t>йност</w:t>
            </w:r>
            <w:proofErr w:type="spellEnd"/>
          </w:p>
        </w:tc>
        <w:tc>
          <w:tcPr>
            <w:tcW w:w="5669" w:type="dxa"/>
            <w:gridSpan w:val="2"/>
          </w:tcPr>
          <w:p w14:paraId="03265C02" w14:textId="77777777" w:rsidR="00355647" w:rsidRPr="00BD7DEA" w:rsidRDefault="00355647" w:rsidP="005F64CB">
            <w:pPr>
              <w:tabs>
                <w:tab w:val="clear" w:pos="567"/>
              </w:tabs>
              <w:spacing w:line="240" w:lineRule="auto"/>
              <w:jc w:val="center"/>
              <w:rPr>
                <w:rFonts w:eastAsiaTheme="minorHAnsi"/>
                <w:szCs w:val="22"/>
              </w:rPr>
            </w:pPr>
            <w:r w:rsidRPr="00BD7DEA">
              <w:rPr>
                <w:rFonts w:eastAsiaTheme="minorHAnsi"/>
                <w:szCs w:val="22"/>
              </w:rPr>
              <w:t>0.011</w:t>
            </w:r>
          </w:p>
        </w:tc>
      </w:tr>
    </w:tbl>
    <w:p w14:paraId="03C2C5B3" w14:textId="0F70108A" w:rsidR="00355647" w:rsidRDefault="00355647" w:rsidP="00355647">
      <w:pPr>
        <w:tabs>
          <w:tab w:val="clear" w:pos="567"/>
        </w:tabs>
        <w:autoSpaceDE w:val="0"/>
        <w:autoSpaceDN w:val="0"/>
        <w:adjustRightInd w:val="0"/>
        <w:spacing w:line="240" w:lineRule="auto"/>
        <w:rPr>
          <w:rFonts w:eastAsiaTheme="minorHAnsi"/>
          <w:color w:val="000000"/>
          <w:szCs w:val="22"/>
        </w:rPr>
      </w:pPr>
      <w:r w:rsidRPr="00355647">
        <w:rPr>
          <w:rFonts w:eastAsiaTheme="minorHAnsi"/>
          <w:color w:val="000000"/>
          <w:szCs w:val="22"/>
        </w:rPr>
        <w:t xml:space="preserve">Забележка: За групата, лекувана с лакозамид, средното време до появата на втори ПГТКП не може да бъде изчислено по методите на Kaplan-Meier, тъй като &gt;50% от пациентите не са получили втори ПГТКП до ден 166. </w:t>
      </w:r>
    </w:p>
    <w:p w14:paraId="593742D7" w14:textId="77777777" w:rsidR="00355647" w:rsidRPr="00355647" w:rsidRDefault="00355647" w:rsidP="00355647">
      <w:pPr>
        <w:tabs>
          <w:tab w:val="clear" w:pos="567"/>
        </w:tabs>
        <w:autoSpaceDE w:val="0"/>
        <w:autoSpaceDN w:val="0"/>
        <w:adjustRightInd w:val="0"/>
        <w:spacing w:line="240" w:lineRule="auto"/>
        <w:rPr>
          <w:rFonts w:eastAsiaTheme="minorHAnsi"/>
          <w:color w:val="000000"/>
          <w:szCs w:val="22"/>
        </w:rPr>
      </w:pPr>
    </w:p>
    <w:p w14:paraId="7040689A" w14:textId="380C2199" w:rsidR="00355647" w:rsidRDefault="00355647" w:rsidP="00355647">
      <w:pPr>
        <w:spacing w:line="240" w:lineRule="auto"/>
        <w:rPr>
          <w:rFonts w:eastAsiaTheme="minorHAnsi"/>
          <w:color w:val="000000"/>
          <w:szCs w:val="22"/>
        </w:rPr>
      </w:pPr>
      <w:r w:rsidRPr="00355647">
        <w:rPr>
          <w:rFonts w:eastAsiaTheme="minorHAnsi"/>
          <w:color w:val="000000"/>
          <w:szCs w:val="22"/>
        </w:rPr>
        <w:t>Находките в педиатричната подгрупа съответстват на резултатите от цялостната популация за първичните, вторичните и други крайни точки за ефикасността.</w:t>
      </w:r>
    </w:p>
    <w:p w14:paraId="4471CF36" w14:textId="77777777" w:rsidR="00355647" w:rsidRDefault="00355647" w:rsidP="00355647">
      <w:pPr>
        <w:spacing w:line="240" w:lineRule="auto"/>
      </w:pPr>
    </w:p>
    <w:p w14:paraId="72C7E354" w14:textId="77777777" w:rsidR="006D116F" w:rsidRDefault="006D116F" w:rsidP="006D116F">
      <w:pPr>
        <w:spacing w:line="240" w:lineRule="auto"/>
        <w:ind w:left="567" w:hanging="567"/>
        <w:rPr>
          <w:b/>
        </w:rPr>
      </w:pPr>
      <w:r>
        <w:rPr>
          <w:b/>
        </w:rPr>
        <w:t>5.2</w:t>
      </w:r>
      <w:r>
        <w:rPr>
          <w:b/>
        </w:rPr>
        <w:tab/>
        <w:t>Фармакокинетични свойства</w:t>
      </w:r>
    </w:p>
    <w:p w14:paraId="7968FFA1" w14:textId="77777777" w:rsidR="006D116F" w:rsidRDefault="006D116F" w:rsidP="006D116F">
      <w:pPr>
        <w:spacing w:line="240" w:lineRule="auto"/>
        <w:ind w:left="567" w:hanging="567"/>
      </w:pPr>
    </w:p>
    <w:p w14:paraId="4C23B5E7" w14:textId="77777777" w:rsidR="006D116F" w:rsidRPr="00BD355E" w:rsidRDefault="006D116F" w:rsidP="006D116F">
      <w:pPr>
        <w:widowControl w:val="0"/>
        <w:tabs>
          <w:tab w:val="clear" w:pos="567"/>
        </w:tabs>
        <w:spacing w:line="249" w:lineRule="exact"/>
        <w:ind w:right="-20"/>
        <w:rPr>
          <w:szCs w:val="22"/>
        </w:rPr>
      </w:pPr>
      <w:r>
        <w:rPr>
          <w:szCs w:val="22"/>
          <w:u w:val="single" w:color="000000"/>
        </w:rPr>
        <w:t>Абсорбция</w:t>
      </w:r>
    </w:p>
    <w:p w14:paraId="110646D9" w14:textId="77777777" w:rsidR="006D116F" w:rsidRPr="00BD355E" w:rsidRDefault="006D116F" w:rsidP="006D116F">
      <w:pPr>
        <w:widowControl w:val="0"/>
        <w:tabs>
          <w:tab w:val="clear" w:pos="567"/>
        </w:tabs>
        <w:spacing w:before="3" w:line="220" w:lineRule="exact"/>
        <w:rPr>
          <w:rFonts w:ascii="Calibri" w:eastAsia="Calibri" w:hAnsi="Calibri"/>
          <w:szCs w:val="22"/>
          <w:lang w:val="en-US"/>
        </w:rPr>
      </w:pPr>
    </w:p>
    <w:p w14:paraId="38D8A3D6" w14:textId="77777777" w:rsidR="006D116F" w:rsidRPr="00BD355E" w:rsidRDefault="006D116F" w:rsidP="006D116F">
      <w:pPr>
        <w:widowControl w:val="0"/>
        <w:tabs>
          <w:tab w:val="clear" w:pos="567"/>
        </w:tabs>
        <w:spacing w:before="35" w:line="236" w:lineRule="auto"/>
        <w:ind w:right="54"/>
        <w:rPr>
          <w:szCs w:val="22"/>
        </w:rPr>
      </w:pPr>
      <w:r>
        <w:t>Лакозамид се абсорбира бързо и напълно след перорално приложение. Пероралната бионаличност на таблетките лакозамид е почти 100%. При перорално приложение плазмената концентрация на непроменен лакозамид се повишава бързо, като C</w:t>
      </w:r>
      <w:r>
        <w:rPr>
          <w:sz w:val="14"/>
          <w:szCs w:val="14"/>
        </w:rPr>
        <w:t>max</w:t>
      </w:r>
      <w:r>
        <w:t xml:space="preserve"> се достига около 0,5 до 4 часа след приема на дозата. Храната не повлиява скоростта и степента на абсорбция.</w:t>
      </w:r>
    </w:p>
    <w:p w14:paraId="6A121AA3" w14:textId="77777777" w:rsidR="006D116F" w:rsidRDefault="006D116F" w:rsidP="006D116F">
      <w:pPr>
        <w:widowControl w:val="0"/>
        <w:tabs>
          <w:tab w:val="clear" w:pos="567"/>
        </w:tabs>
        <w:spacing w:before="12" w:line="240" w:lineRule="exact"/>
        <w:rPr>
          <w:rFonts w:ascii="Calibri" w:eastAsia="Calibri" w:hAnsi="Calibri"/>
          <w:sz w:val="24"/>
          <w:szCs w:val="24"/>
          <w:lang w:val="en-US"/>
        </w:rPr>
      </w:pPr>
    </w:p>
    <w:p w14:paraId="0E9CDC75" w14:textId="77777777" w:rsidR="006D116F" w:rsidRPr="00BD355E" w:rsidRDefault="006D116F" w:rsidP="006D116F">
      <w:pPr>
        <w:widowControl w:val="0"/>
        <w:tabs>
          <w:tab w:val="clear" w:pos="567"/>
        </w:tabs>
        <w:spacing w:line="249" w:lineRule="exact"/>
        <w:ind w:right="-20"/>
        <w:rPr>
          <w:szCs w:val="22"/>
        </w:rPr>
      </w:pPr>
      <w:r>
        <w:rPr>
          <w:szCs w:val="22"/>
          <w:u w:val="single" w:color="000000"/>
        </w:rPr>
        <w:t>Разпределение</w:t>
      </w:r>
    </w:p>
    <w:p w14:paraId="32C21B05" w14:textId="77777777" w:rsidR="006D116F" w:rsidRPr="00BD355E" w:rsidRDefault="006D116F" w:rsidP="006D116F">
      <w:pPr>
        <w:widowControl w:val="0"/>
        <w:tabs>
          <w:tab w:val="clear" w:pos="567"/>
        </w:tabs>
        <w:spacing w:before="6" w:line="220" w:lineRule="exact"/>
        <w:rPr>
          <w:rFonts w:ascii="Calibri" w:eastAsia="Calibri" w:hAnsi="Calibri"/>
          <w:szCs w:val="22"/>
          <w:lang w:val="en-US"/>
        </w:rPr>
      </w:pPr>
    </w:p>
    <w:p w14:paraId="5B93503A" w14:textId="77777777" w:rsidR="006D116F" w:rsidRPr="00BD355E" w:rsidRDefault="006D116F" w:rsidP="006D116F">
      <w:pPr>
        <w:widowControl w:val="0"/>
        <w:tabs>
          <w:tab w:val="clear" w:pos="567"/>
        </w:tabs>
        <w:spacing w:before="32" w:line="241" w:lineRule="auto"/>
        <w:ind w:right="203"/>
        <w:rPr>
          <w:szCs w:val="22"/>
        </w:rPr>
      </w:pPr>
      <w:r>
        <w:t>Обемът на разпределение е приблизително 0,6 L/kg. Лакозамид се свързва с плазмените протеини в по-малко от 15%.</w:t>
      </w:r>
    </w:p>
    <w:p w14:paraId="3D79B0DD" w14:textId="77777777" w:rsidR="006D116F" w:rsidRPr="00BD355E" w:rsidRDefault="006D116F" w:rsidP="006D116F">
      <w:pPr>
        <w:widowControl w:val="0"/>
        <w:tabs>
          <w:tab w:val="clear" w:pos="567"/>
        </w:tabs>
        <w:spacing w:before="12" w:line="240" w:lineRule="exact"/>
        <w:rPr>
          <w:rFonts w:ascii="Calibri" w:eastAsia="Calibri" w:hAnsi="Calibri"/>
          <w:sz w:val="24"/>
          <w:szCs w:val="24"/>
          <w:lang w:val="en-US"/>
        </w:rPr>
      </w:pPr>
    </w:p>
    <w:p w14:paraId="0082E86E" w14:textId="77777777" w:rsidR="006D116F" w:rsidRPr="00BD355E" w:rsidRDefault="006D116F" w:rsidP="006D116F">
      <w:pPr>
        <w:widowControl w:val="0"/>
        <w:tabs>
          <w:tab w:val="clear" w:pos="567"/>
        </w:tabs>
        <w:spacing w:line="249" w:lineRule="exact"/>
        <w:ind w:right="-20"/>
        <w:rPr>
          <w:szCs w:val="22"/>
        </w:rPr>
      </w:pPr>
      <w:r>
        <w:rPr>
          <w:szCs w:val="22"/>
          <w:u w:val="single" w:color="000000"/>
        </w:rPr>
        <w:t>Биотрансформация</w:t>
      </w:r>
    </w:p>
    <w:p w14:paraId="391B64C8" w14:textId="77777777" w:rsidR="006D116F" w:rsidRPr="00BD355E" w:rsidRDefault="006D116F" w:rsidP="006D116F">
      <w:pPr>
        <w:widowControl w:val="0"/>
        <w:tabs>
          <w:tab w:val="clear" w:pos="567"/>
        </w:tabs>
        <w:spacing w:before="3" w:line="220" w:lineRule="exact"/>
        <w:rPr>
          <w:rFonts w:ascii="Calibri" w:eastAsia="Calibri" w:hAnsi="Calibri"/>
          <w:szCs w:val="22"/>
          <w:lang w:val="en-US"/>
        </w:rPr>
      </w:pPr>
    </w:p>
    <w:p w14:paraId="6AF6158F" w14:textId="77777777" w:rsidR="006D116F" w:rsidRPr="00BD355E" w:rsidRDefault="006D116F" w:rsidP="006D116F">
      <w:pPr>
        <w:widowControl w:val="0"/>
        <w:tabs>
          <w:tab w:val="clear" w:pos="567"/>
        </w:tabs>
        <w:spacing w:before="32" w:line="240" w:lineRule="auto"/>
        <w:ind w:right="-20"/>
        <w:rPr>
          <w:szCs w:val="22"/>
        </w:rPr>
      </w:pPr>
      <w:r>
        <w:t>95% от дозата се екскретира с урината като лакозамид и метаболити. Метаболизмът на лакозамид не е напълно изяснен.</w:t>
      </w:r>
    </w:p>
    <w:p w14:paraId="7DA6107F" w14:textId="77777777" w:rsidR="006D116F" w:rsidRPr="00BD355E" w:rsidRDefault="006D116F" w:rsidP="006D116F">
      <w:pPr>
        <w:widowControl w:val="0"/>
        <w:tabs>
          <w:tab w:val="clear" w:pos="567"/>
        </w:tabs>
        <w:spacing w:before="1" w:line="240" w:lineRule="auto"/>
        <w:ind w:right="-20"/>
        <w:rPr>
          <w:szCs w:val="22"/>
        </w:rPr>
      </w:pPr>
      <w:r>
        <w:t>Основните вещества, отделени с урината, са непроменен лакозамид (около 40% от дозата) и неговият O-дезметил метаболит ‒ по-малко от 30%.</w:t>
      </w:r>
    </w:p>
    <w:p w14:paraId="66D3DA96" w14:textId="77777777" w:rsidR="006D116F" w:rsidRPr="00BD355E" w:rsidRDefault="006D116F" w:rsidP="006D116F">
      <w:pPr>
        <w:widowControl w:val="0"/>
        <w:tabs>
          <w:tab w:val="clear" w:pos="567"/>
        </w:tabs>
        <w:spacing w:before="1" w:line="240" w:lineRule="auto"/>
        <w:ind w:right="156"/>
        <w:rPr>
          <w:szCs w:val="22"/>
        </w:rPr>
      </w:pPr>
      <w:r>
        <w:t>Полярната фракция, за която се предполага, че е съставена от серинови производни, възлиза на около 20% в урината, но е установена само в малки количества (0–2%) в човешката плазма на някои пациенти. В урината са открити и малки количества (0,5–2%) от други метаболити.</w:t>
      </w:r>
    </w:p>
    <w:p w14:paraId="68758F78" w14:textId="748AEAF2" w:rsidR="006D116F" w:rsidRPr="00A27B1A" w:rsidRDefault="006D116F" w:rsidP="006D116F">
      <w:pPr>
        <w:widowControl w:val="0"/>
        <w:tabs>
          <w:tab w:val="clear" w:pos="567"/>
        </w:tabs>
        <w:spacing w:before="2" w:line="252" w:lineRule="exact"/>
        <w:ind w:right="263"/>
        <w:rPr>
          <w:szCs w:val="22"/>
        </w:rPr>
      </w:pPr>
      <w:r>
        <w:rPr>
          <w:i/>
          <w:szCs w:val="22"/>
        </w:rPr>
        <w:t xml:space="preserve">In vitro </w:t>
      </w:r>
      <w:r>
        <w:t xml:space="preserve">данните показват, че CYP2C9, CYP2C19 и CYP3A4 могат да катализират образуването на метаболита О-дезметил, но основният участващ изоензим не е потвърден </w:t>
      </w:r>
      <w:r>
        <w:rPr>
          <w:i/>
          <w:szCs w:val="22"/>
        </w:rPr>
        <w:t>in vivo</w:t>
      </w:r>
      <w:r>
        <w:t>. Не са наблюдавани клинично значими различия в експозицията на лакозамид при сравняване на фармакокинетиката му при екстензивни метаболиза</w:t>
      </w:r>
      <w:r w:rsidR="003E22DC">
        <w:t xml:space="preserve">тори (ЕМ, с функционален </w:t>
      </w:r>
      <w:r>
        <w:t>CYP2C19) и тази при слаби метаболизатори (PM, липса на функционален CYP2C19). Освен това проучване за взаимодействие с омепразол (CYP2C19–инхибитор) не разкрива клинично значими промени в плазмените концентрации на лакозамид, което показва, че значението на този път е незначително. Плазмената концентрация на O-дезметил-лакозамид е около 15% от концентрацията на лакозамид в плазмата. Този основен метаболит няма позната фармакологична активност.</w:t>
      </w:r>
    </w:p>
    <w:p w14:paraId="010DECC7" w14:textId="77777777" w:rsidR="006D116F" w:rsidRPr="00A27B1A" w:rsidRDefault="006D116F" w:rsidP="006D116F">
      <w:pPr>
        <w:widowControl w:val="0"/>
        <w:tabs>
          <w:tab w:val="clear" w:pos="567"/>
        </w:tabs>
        <w:spacing w:before="11" w:line="240" w:lineRule="exact"/>
        <w:rPr>
          <w:rFonts w:ascii="Calibri" w:eastAsia="Calibri" w:hAnsi="Calibri"/>
          <w:sz w:val="24"/>
          <w:szCs w:val="24"/>
          <w:lang w:val="en-US"/>
        </w:rPr>
      </w:pPr>
    </w:p>
    <w:p w14:paraId="0E413D47" w14:textId="77777777" w:rsidR="006D116F" w:rsidRPr="00A27B1A" w:rsidRDefault="006D116F" w:rsidP="006D116F">
      <w:pPr>
        <w:widowControl w:val="0"/>
        <w:tabs>
          <w:tab w:val="clear" w:pos="567"/>
        </w:tabs>
        <w:spacing w:line="249" w:lineRule="exact"/>
        <w:ind w:right="-20"/>
        <w:rPr>
          <w:szCs w:val="22"/>
        </w:rPr>
      </w:pPr>
      <w:r>
        <w:rPr>
          <w:szCs w:val="22"/>
          <w:u w:val="single" w:color="000000"/>
        </w:rPr>
        <w:t>Елиминиране</w:t>
      </w:r>
    </w:p>
    <w:p w14:paraId="77D87BFF" w14:textId="77777777" w:rsidR="006D116F" w:rsidRPr="00A27B1A" w:rsidRDefault="006D116F" w:rsidP="006D116F">
      <w:pPr>
        <w:widowControl w:val="0"/>
        <w:tabs>
          <w:tab w:val="clear" w:pos="567"/>
        </w:tabs>
        <w:spacing w:before="6" w:line="220" w:lineRule="exact"/>
        <w:rPr>
          <w:rFonts w:ascii="Calibri" w:eastAsia="Calibri" w:hAnsi="Calibri"/>
          <w:szCs w:val="22"/>
          <w:lang w:val="en-US"/>
        </w:rPr>
      </w:pPr>
    </w:p>
    <w:p w14:paraId="4719DB9C" w14:textId="77777777" w:rsidR="006D116F" w:rsidRPr="00A27B1A" w:rsidRDefault="006D116F" w:rsidP="006D116F">
      <w:pPr>
        <w:widowControl w:val="0"/>
        <w:tabs>
          <w:tab w:val="clear" w:pos="567"/>
        </w:tabs>
        <w:spacing w:before="36" w:line="252" w:lineRule="exact"/>
        <w:rPr>
          <w:szCs w:val="22"/>
        </w:rPr>
      </w:pPr>
      <w:r>
        <w:t>Лакозамид се елиминира от системното кръвообращение предимно чрез бъбречна екскреция и биотрансформация. След перорално и интравенозно приложение на радиоактивно белязан лакозамид около 95% от радиоактивността се установява в урината, а по-малко от 0,5% – в изпражненията. Елиминационният полуживот на лакозамид е около 13 часа. Фармакокинетиката е пропорционална на дозата и постоянна във времето, с малка интра-индивидуална и интер-индивидуална променливост. След приемане на дозата два пъти дневно стационарни плазмени концентрации се достигат след 3-дневен период. Плазмената концентрация нараства при акумулационен фактор от около 2.</w:t>
      </w:r>
    </w:p>
    <w:p w14:paraId="460ADC8B" w14:textId="77777777" w:rsidR="006D116F" w:rsidRPr="00A27B1A" w:rsidRDefault="006D116F" w:rsidP="006D116F">
      <w:pPr>
        <w:widowControl w:val="0"/>
        <w:tabs>
          <w:tab w:val="clear" w:pos="567"/>
        </w:tabs>
        <w:spacing w:before="2"/>
        <w:rPr>
          <w:rFonts w:ascii="Calibri" w:eastAsia="Calibri" w:hAnsi="Calibri"/>
          <w:sz w:val="26"/>
          <w:szCs w:val="26"/>
          <w:lang w:val="en-US"/>
        </w:rPr>
      </w:pPr>
    </w:p>
    <w:p w14:paraId="29BB976A" w14:textId="77777777" w:rsidR="006D116F" w:rsidRPr="00A27B1A" w:rsidRDefault="006D116F" w:rsidP="006150EE">
      <w:pPr>
        <w:widowControl w:val="0"/>
        <w:tabs>
          <w:tab w:val="clear" w:pos="567"/>
        </w:tabs>
        <w:spacing w:line="252" w:lineRule="exact"/>
        <w:ind w:right="49"/>
        <w:rPr>
          <w:szCs w:val="22"/>
        </w:rPr>
      </w:pPr>
      <w:r>
        <w:t>Приблизителните стационарни концентрации на единична натоварваща доза 200 mg е приблизително еднаква с тази при перорално приложение на 100 mg два пъти дневно.</w:t>
      </w:r>
    </w:p>
    <w:p w14:paraId="1CAC8BF6" w14:textId="77777777" w:rsidR="006D116F" w:rsidRPr="00A27B1A" w:rsidRDefault="006D116F" w:rsidP="006D116F">
      <w:pPr>
        <w:widowControl w:val="0"/>
        <w:tabs>
          <w:tab w:val="clear" w:pos="567"/>
        </w:tabs>
        <w:spacing w:before="3"/>
        <w:rPr>
          <w:rFonts w:ascii="Calibri" w:eastAsia="Calibri" w:hAnsi="Calibri"/>
          <w:sz w:val="26"/>
          <w:szCs w:val="26"/>
          <w:lang w:val="en-US"/>
        </w:rPr>
      </w:pPr>
    </w:p>
    <w:p w14:paraId="228216AA" w14:textId="77777777" w:rsidR="006D116F" w:rsidRPr="00A27B1A" w:rsidRDefault="006D116F" w:rsidP="006D116F">
      <w:pPr>
        <w:widowControl w:val="0"/>
        <w:tabs>
          <w:tab w:val="clear" w:pos="567"/>
        </w:tabs>
        <w:spacing w:line="249" w:lineRule="exact"/>
        <w:ind w:right="-20"/>
        <w:rPr>
          <w:szCs w:val="22"/>
        </w:rPr>
      </w:pPr>
      <w:r>
        <w:rPr>
          <w:szCs w:val="22"/>
          <w:u w:val="single" w:color="000000"/>
        </w:rPr>
        <w:t>Фармакокинетика при специални групи пациенти</w:t>
      </w:r>
    </w:p>
    <w:p w14:paraId="73AC375E" w14:textId="77777777" w:rsidR="006D116F" w:rsidRPr="00A27B1A" w:rsidRDefault="006D116F" w:rsidP="006D116F">
      <w:pPr>
        <w:widowControl w:val="0"/>
        <w:tabs>
          <w:tab w:val="clear" w:pos="567"/>
        </w:tabs>
        <w:spacing w:line="240" w:lineRule="exact"/>
        <w:rPr>
          <w:rFonts w:ascii="Calibri" w:eastAsia="Calibri" w:hAnsi="Calibri"/>
          <w:sz w:val="24"/>
          <w:szCs w:val="24"/>
          <w:lang w:val="en-US"/>
        </w:rPr>
      </w:pPr>
    </w:p>
    <w:p w14:paraId="30D51985" w14:textId="77777777" w:rsidR="006D116F" w:rsidRPr="00A27B1A" w:rsidRDefault="006D116F" w:rsidP="006D116F">
      <w:pPr>
        <w:widowControl w:val="0"/>
        <w:tabs>
          <w:tab w:val="clear" w:pos="567"/>
        </w:tabs>
        <w:spacing w:before="32" w:line="240" w:lineRule="auto"/>
        <w:ind w:right="-20"/>
        <w:rPr>
          <w:szCs w:val="22"/>
        </w:rPr>
      </w:pPr>
      <w:r>
        <w:rPr>
          <w:i/>
          <w:szCs w:val="22"/>
        </w:rPr>
        <w:t>Пол</w:t>
      </w:r>
    </w:p>
    <w:p w14:paraId="7A40CD44" w14:textId="155AC23D" w:rsidR="006D116F" w:rsidRPr="00A27B1A" w:rsidRDefault="006D116F" w:rsidP="006150EE">
      <w:pPr>
        <w:widowControl w:val="0"/>
        <w:tabs>
          <w:tab w:val="clear" w:pos="567"/>
        </w:tabs>
        <w:spacing w:before="6" w:line="248" w:lineRule="auto"/>
        <w:ind w:right="49"/>
        <w:rPr>
          <w:szCs w:val="22"/>
        </w:rPr>
      </w:pPr>
      <w:r>
        <w:t>Клиничните проучвания показват, че полът няма клинично значимо влияние върху</w:t>
      </w:r>
      <w:r w:rsidR="007F5DF7">
        <w:t xml:space="preserve"> </w:t>
      </w:r>
      <w:r>
        <w:t>плазмените концентрации на лакозамид.</w:t>
      </w:r>
    </w:p>
    <w:p w14:paraId="230FB49F" w14:textId="77777777" w:rsidR="006D116F" w:rsidRPr="00A27B1A" w:rsidRDefault="006D116F" w:rsidP="006D116F">
      <w:pPr>
        <w:widowControl w:val="0"/>
        <w:tabs>
          <w:tab w:val="clear" w:pos="567"/>
        </w:tabs>
        <w:spacing w:before="17" w:line="240" w:lineRule="exact"/>
        <w:rPr>
          <w:rFonts w:ascii="Calibri" w:eastAsia="Calibri" w:hAnsi="Calibri"/>
          <w:sz w:val="24"/>
          <w:szCs w:val="24"/>
          <w:lang w:val="en-US"/>
        </w:rPr>
      </w:pPr>
    </w:p>
    <w:p w14:paraId="2C91089C" w14:textId="77777777" w:rsidR="006D116F" w:rsidRPr="00A27B1A" w:rsidRDefault="006D116F" w:rsidP="006150EE">
      <w:pPr>
        <w:widowControl w:val="0"/>
        <w:tabs>
          <w:tab w:val="clear" w:pos="567"/>
        </w:tabs>
        <w:spacing w:line="240" w:lineRule="auto"/>
        <w:ind w:right="-93"/>
        <w:rPr>
          <w:szCs w:val="22"/>
        </w:rPr>
      </w:pPr>
      <w:r>
        <w:rPr>
          <w:i/>
          <w:szCs w:val="22"/>
        </w:rPr>
        <w:t>Бъбречно увреждане</w:t>
      </w:r>
    </w:p>
    <w:p w14:paraId="53042223" w14:textId="77777777" w:rsidR="006D116F" w:rsidRPr="00A27B1A" w:rsidRDefault="006D116F" w:rsidP="006D116F">
      <w:pPr>
        <w:widowControl w:val="0"/>
        <w:tabs>
          <w:tab w:val="clear" w:pos="567"/>
        </w:tabs>
        <w:spacing w:before="8" w:line="245" w:lineRule="auto"/>
        <w:ind w:right="201"/>
        <w:rPr>
          <w:szCs w:val="22"/>
        </w:rPr>
      </w:pPr>
      <w:r>
        <w:t>AUC на лакозамид е повишена с около 30% при пациенти с леко и умерено бъбречно увреждане и с около 60% при тези с тежко бъбречно увреждане и при пациенти в краен стадий на бъбречно заболяване, изискващи хемодиализа, в сравнение със здрави индивиди, като C</w:t>
      </w:r>
      <w:r>
        <w:rPr>
          <w:sz w:val="14"/>
          <w:szCs w:val="14"/>
        </w:rPr>
        <w:t>max</w:t>
      </w:r>
      <w:r>
        <w:t xml:space="preserve"> остава непроменена.</w:t>
      </w:r>
    </w:p>
    <w:p w14:paraId="609E6DE8" w14:textId="77777777" w:rsidR="006D116F" w:rsidRPr="00A27B1A" w:rsidRDefault="006D116F" w:rsidP="006D116F">
      <w:pPr>
        <w:widowControl w:val="0"/>
        <w:tabs>
          <w:tab w:val="clear" w:pos="567"/>
        </w:tabs>
        <w:spacing w:line="242" w:lineRule="exact"/>
        <w:ind w:right="-20"/>
        <w:rPr>
          <w:szCs w:val="22"/>
        </w:rPr>
      </w:pPr>
      <w:r>
        <w:t>Лакозамид се отделя ефективно от плазмата чрез хемодиализа. След 4-часова хемодиализа AUC на лакозамид намалява с около 50%. Ето защо се препоръчва допълнително прилагане на доза след хемодиализа (вж. точка 4.2). Експозицията на O-дезметил метаболита е повишена няколко пъти при пациенти с умерено до тежко бъбречно увреждане. При отсъствието на хемодиализа при пациенти в краен стадий на бъбречно заболяване нивата се повишават и продължително нарастват по време на 24-часовия модел. Не е известно дали повишената метаболитна експозиция при пациенти в краен стадий на бъбречно заболяване може да породи нежелани реакции, но не е установена фармакологична активност на метаболита.</w:t>
      </w:r>
    </w:p>
    <w:p w14:paraId="38EB4B47" w14:textId="77777777" w:rsidR="006D116F" w:rsidRPr="00A27B1A" w:rsidRDefault="006D116F" w:rsidP="006D116F">
      <w:pPr>
        <w:widowControl w:val="0"/>
        <w:tabs>
          <w:tab w:val="clear" w:pos="567"/>
        </w:tabs>
        <w:spacing w:before="1"/>
        <w:rPr>
          <w:rFonts w:ascii="Calibri" w:eastAsia="Calibri" w:hAnsi="Calibri"/>
          <w:sz w:val="26"/>
          <w:szCs w:val="26"/>
          <w:lang w:val="en-US"/>
        </w:rPr>
      </w:pPr>
    </w:p>
    <w:p w14:paraId="35B3AF25" w14:textId="77777777" w:rsidR="006D116F" w:rsidRPr="00A27B1A" w:rsidRDefault="006D116F" w:rsidP="006D116F">
      <w:pPr>
        <w:widowControl w:val="0"/>
        <w:tabs>
          <w:tab w:val="clear" w:pos="567"/>
        </w:tabs>
        <w:spacing w:line="240" w:lineRule="auto"/>
        <w:ind w:right="-20"/>
        <w:rPr>
          <w:szCs w:val="22"/>
        </w:rPr>
      </w:pPr>
      <w:r>
        <w:rPr>
          <w:i/>
          <w:szCs w:val="22"/>
        </w:rPr>
        <w:t>Чернодробно увреждане</w:t>
      </w:r>
    </w:p>
    <w:p w14:paraId="4952FBCD" w14:textId="77777777" w:rsidR="006D116F" w:rsidRPr="00A27B1A" w:rsidRDefault="006D116F" w:rsidP="006D116F">
      <w:pPr>
        <w:widowControl w:val="0"/>
        <w:tabs>
          <w:tab w:val="clear" w:pos="567"/>
        </w:tabs>
        <w:spacing w:before="6" w:line="243" w:lineRule="auto"/>
        <w:ind w:right="96"/>
        <w:rPr>
          <w:szCs w:val="22"/>
        </w:rPr>
      </w:pPr>
      <w:r>
        <w:t>При пациенти с умерено чернодробно увреждане (Child-Pugh B) са наблюдавани по-високи плазмени концентрации на лакозамид (приблизително 50% по-висока AUC</w:t>
      </w:r>
      <w:r>
        <w:rPr>
          <w:sz w:val="14"/>
          <w:szCs w:val="14"/>
        </w:rPr>
        <w:t>norm</w:t>
      </w:r>
      <w:r>
        <w:t>). По-високата експозиция се дължи в известна степен на понижената бъбречна функция на проучваните пациенти. Понижението на небъбречния клирънс при участващите в проучването пациенти води до 20% повишение на AUC на лакозамид. Фармакокинетиката на лакозамид не е проучвана при пациенти с тежко чернодробно увреждане (вж. точка 4.2).</w:t>
      </w:r>
    </w:p>
    <w:p w14:paraId="0F92CDC1" w14:textId="77777777" w:rsidR="006D116F" w:rsidRPr="00A27B1A" w:rsidRDefault="006D116F" w:rsidP="006D116F">
      <w:pPr>
        <w:widowControl w:val="0"/>
        <w:tabs>
          <w:tab w:val="clear" w:pos="567"/>
        </w:tabs>
        <w:spacing w:before="4"/>
        <w:rPr>
          <w:rFonts w:ascii="Calibri" w:eastAsia="Calibri" w:hAnsi="Calibri"/>
          <w:sz w:val="26"/>
          <w:szCs w:val="26"/>
          <w:lang w:val="en-US"/>
        </w:rPr>
      </w:pPr>
    </w:p>
    <w:p w14:paraId="0DEC1645" w14:textId="298B45A6" w:rsidR="006D116F" w:rsidRPr="00A27B1A" w:rsidRDefault="007F5DF7" w:rsidP="006D116F">
      <w:pPr>
        <w:widowControl w:val="0"/>
        <w:tabs>
          <w:tab w:val="clear" w:pos="567"/>
        </w:tabs>
        <w:spacing w:line="240" w:lineRule="auto"/>
        <w:ind w:right="-20"/>
        <w:rPr>
          <w:szCs w:val="22"/>
        </w:rPr>
      </w:pPr>
      <w:r>
        <w:rPr>
          <w:i/>
          <w:szCs w:val="22"/>
        </w:rPr>
        <w:t>Пациенти в с</w:t>
      </w:r>
      <w:r w:rsidR="006D116F">
        <w:rPr>
          <w:i/>
          <w:szCs w:val="22"/>
        </w:rPr>
        <w:t>тарческа възраст (възраст над 65 години)</w:t>
      </w:r>
    </w:p>
    <w:p w14:paraId="351F0E8A" w14:textId="77777777" w:rsidR="006D116F" w:rsidRPr="00A27B1A" w:rsidRDefault="006D116F" w:rsidP="0055136D">
      <w:pPr>
        <w:widowControl w:val="0"/>
        <w:tabs>
          <w:tab w:val="clear" w:pos="567"/>
        </w:tabs>
        <w:spacing w:before="6" w:line="243" w:lineRule="auto"/>
        <w:ind w:right="96"/>
        <w:rPr>
          <w:szCs w:val="22"/>
        </w:rPr>
      </w:pPr>
      <w:r>
        <w:t>В проучване при мъже и жени в старческа възраст, включващо 4 пациенти на възраст &gt;75 години, AUC е повишена съответно с около 30% и 50% в сравнение с млади хора. Това е свързано основно с по-ниското телесно тегло. Обичайната разлика в теглото е съответно 26% и 23%. Наблюдава се също и увеличена променливост в експозицията. В това проучване бъбречният клирънс на лакозамид е само леко понижен при пациенти в старческа възраст.</w:t>
      </w:r>
    </w:p>
    <w:p w14:paraId="037D83D3" w14:textId="77777777" w:rsidR="006D116F" w:rsidRPr="00A27B1A" w:rsidRDefault="006D116F" w:rsidP="006D116F">
      <w:pPr>
        <w:widowControl w:val="0"/>
        <w:tabs>
          <w:tab w:val="clear" w:pos="567"/>
        </w:tabs>
        <w:spacing w:line="252" w:lineRule="exact"/>
        <w:ind w:right="-20"/>
        <w:rPr>
          <w:szCs w:val="22"/>
        </w:rPr>
      </w:pPr>
      <w:r>
        <w:t>Обикновено не се налага общо намаляване на дозата, освен ако това не е показано поради понижена бъбречна функция (вж. точка 4.2).</w:t>
      </w:r>
    </w:p>
    <w:p w14:paraId="0136F845" w14:textId="77777777" w:rsidR="006D116F" w:rsidRPr="00A27B1A" w:rsidRDefault="006D116F" w:rsidP="006D116F">
      <w:pPr>
        <w:widowControl w:val="0"/>
        <w:tabs>
          <w:tab w:val="clear" w:pos="567"/>
        </w:tabs>
        <w:spacing w:before="16" w:line="240" w:lineRule="exact"/>
        <w:rPr>
          <w:rFonts w:ascii="Calibri" w:eastAsia="Calibri" w:hAnsi="Calibri"/>
          <w:sz w:val="24"/>
          <w:szCs w:val="24"/>
          <w:lang w:val="en-US"/>
        </w:rPr>
      </w:pPr>
    </w:p>
    <w:p w14:paraId="34DF0E8A" w14:textId="77777777" w:rsidR="006D116F" w:rsidRPr="00A27B1A" w:rsidRDefault="006D116F" w:rsidP="006D116F">
      <w:pPr>
        <w:widowControl w:val="0"/>
        <w:tabs>
          <w:tab w:val="clear" w:pos="567"/>
        </w:tabs>
        <w:spacing w:line="240" w:lineRule="auto"/>
        <w:ind w:right="-20"/>
        <w:rPr>
          <w:szCs w:val="22"/>
        </w:rPr>
      </w:pPr>
      <w:r>
        <w:rPr>
          <w:i/>
          <w:szCs w:val="22"/>
        </w:rPr>
        <w:t>Педиатрична популация</w:t>
      </w:r>
    </w:p>
    <w:p w14:paraId="6C3D82B2" w14:textId="77777777" w:rsidR="006D116F" w:rsidRPr="00A27B1A" w:rsidRDefault="006D116F" w:rsidP="006D116F">
      <w:pPr>
        <w:widowControl w:val="0"/>
        <w:tabs>
          <w:tab w:val="clear" w:pos="567"/>
        </w:tabs>
        <w:spacing w:before="5" w:line="252" w:lineRule="exact"/>
        <w:ind w:right="68"/>
        <w:rPr>
          <w:szCs w:val="22"/>
        </w:rPr>
      </w:pPr>
      <w:r>
        <w:t>Педиатричният фармакокинетичен профил на лакозамид е определен в популационен фармакокинетичен анализ с използване на редки данни за плазмена концентрация, получени в едно плацебо контролирано рандомизирано проучване и три отворени проучвания при 414 деца с епилепсия на възраст от 6 месеца до 17 години. Прилаганите дози лакозамид варират от 2 до 17,8 mg/kg/ден при прием два пъти дневно, с максимум 600 mg/ден за деца с тегло 50 kg или повече.</w:t>
      </w:r>
    </w:p>
    <w:p w14:paraId="0ECBE5B5" w14:textId="5DCB8EE8" w:rsidR="006D116F" w:rsidRDefault="006D116F" w:rsidP="006D116F">
      <w:pPr>
        <w:widowControl w:val="0"/>
        <w:tabs>
          <w:tab w:val="clear" w:pos="567"/>
        </w:tabs>
        <w:spacing w:line="235" w:lineRule="exact"/>
        <w:ind w:right="-20"/>
      </w:pPr>
      <w:r>
        <w:t>Типичният плазмен клирънс е оценен на 1,04 L/h, 1,32 L/h и 1,86 L/h за деца съответно с тегло 20 kg, 30 kg и 50 kg. За сравнение, плазменият клирънс е оценен на 1,92 L/h при възрастни (70 kg телесно тегло).</w:t>
      </w:r>
    </w:p>
    <w:p w14:paraId="65364401" w14:textId="224F0D09" w:rsidR="00355647" w:rsidRPr="00A27B1A" w:rsidRDefault="00355647" w:rsidP="006D116F">
      <w:pPr>
        <w:widowControl w:val="0"/>
        <w:tabs>
          <w:tab w:val="clear" w:pos="567"/>
        </w:tabs>
        <w:spacing w:line="235" w:lineRule="exact"/>
        <w:ind w:right="-20"/>
        <w:rPr>
          <w:szCs w:val="22"/>
        </w:rPr>
      </w:pPr>
      <w:r>
        <w:rPr>
          <w:szCs w:val="22"/>
        </w:rPr>
        <w:t>Популационен фармакокинетичен анализ, използващ редки фармакокинетични проби от проучване на ПГТКП, показва подобна експозиция при пациенти с ПГТКП и при пациенти с парциални пристъпи.</w:t>
      </w:r>
    </w:p>
    <w:p w14:paraId="65BEBDCE" w14:textId="77777777" w:rsidR="006D116F" w:rsidRDefault="006D116F" w:rsidP="006D116F">
      <w:pPr>
        <w:spacing w:line="240" w:lineRule="auto"/>
        <w:rPr>
          <w:b/>
        </w:rPr>
      </w:pPr>
    </w:p>
    <w:p w14:paraId="618487BD" w14:textId="77777777" w:rsidR="006D116F" w:rsidRDefault="006D116F" w:rsidP="006D116F">
      <w:pPr>
        <w:spacing w:line="240" w:lineRule="auto"/>
        <w:ind w:left="567" w:hanging="567"/>
      </w:pPr>
      <w:r>
        <w:rPr>
          <w:b/>
        </w:rPr>
        <w:t>5.3</w:t>
      </w:r>
      <w:r>
        <w:rPr>
          <w:b/>
        </w:rPr>
        <w:tab/>
        <w:t>Предклинични данни за безопасност</w:t>
      </w:r>
    </w:p>
    <w:p w14:paraId="345839D3" w14:textId="77777777" w:rsidR="006D116F" w:rsidRDefault="006D116F" w:rsidP="006D116F">
      <w:pPr>
        <w:spacing w:line="240" w:lineRule="auto"/>
      </w:pPr>
    </w:p>
    <w:p w14:paraId="37AF172A" w14:textId="577597E7" w:rsidR="006D116F" w:rsidRPr="00091742" w:rsidRDefault="006D116F" w:rsidP="006D116F">
      <w:pPr>
        <w:widowControl w:val="0"/>
        <w:tabs>
          <w:tab w:val="clear" w:pos="567"/>
        </w:tabs>
        <w:spacing w:line="240" w:lineRule="auto"/>
        <w:ind w:right="94"/>
        <w:rPr>
          <w:szCs w:val="22"/>
        </w:rPr>
      </w:pPr>
      <w:r>
        <w:t xml:space="preserve">При проучванията </w:t>
      </w:r>
      <w:r w:rsidR="007F5DF7">
        <w:t>з</w:t>
      </w:r>
      <w:r>
        <w:t>а токсичност</w:t>
      </w:r>
      <w:r w:rsidR="007F5DF7">
        <w:t>,</w:t>
      </w:r>
      <w:r>
        <w:t xml:space="preserve"> получените плазмени концентрации на лакозамид са подобни или само несъществено по</w:t>
      </w:r>
      <w:r w:rsidR="007F5DF7">
        <w:t>вишени в сравнение с тези</w:t>
      </w:r>
      <w:r>
        <w:t xml:space="preserve"> наблюдавани при пациенти, </w:t>
      </w:r>
      <w:r w:rsidR="007F5DF7">
        <w:t xml:space="preserve">поради </w:t>
      </w:r>
      <w:r>
        <w:t>което</w:t>
      </w:r>
      <w:r w:rsidR="007F5DF7">
        <w:t xml:space="preserve"> </w:t>
      </w:r>
      <w:r>
        <w:t>граници</w:t>
      </w:r>
      <w:r w:rsidR="007F5DF7">
        <w:t xml:space="preserve">те </w:t>
      </w:r>
      <w:r>
        <w:t>за експозицията при хора</w:t>
      </w:r>
      <w:r w:rsidR="007F5DF7">
        <w:t xml:space="preserve"> са ниски или несъществуващи</w:t>
      </w:r>
      <w:r>
        <w:t>.</w:t>
      </w:r>
    </w:p>
    <w:p w14:paraId="531872FC" w14:textId="6FB427A1" w:rsidR="006D116F" w:rsidRPr="00091742" w:rsidRDefault="006D116F" w:rsidP="006D116F">
      <w:pPr>
        <w:widowControl w:val="0"/>
        <w:tabs>
          <w:tab w:val="clear" w:pos="567"/>
        </w:tabs>
        <w:spacing w:before="1" w:line="254" w:lineRule="exact"/>
        <w:ind w:right="193"/>
        <w:rPr>
          <w:szCs w:val="22"/>
        </w:rPr>
      </w:pPr>
      <w:r>
        <w:t xml:space="preserve">Фармакологично проучване за безопасност с интравенозно приложение на лакозамид при анестезирани кучета показва преходно увеличение на PR–интервала и продължителността на QRS комплекса и намаляване на кръвното налягане най-вероятно поради кардиодепресантно действие. Тези преходни промени започват в същия диапазон на концентрация, както </w:t>
      </w:r>
      <w:r w:rsidR="007F5DF7">
        <w:t xml:space="preserve">и </w:t>
      </w:r>
      <w:r>
        <w:t>след максимално препоръчителното клинично дозиране. При анестезирани кучета и маймуни от рода Cynomolgus при интравенозни дози от 15–60 mg/kg се наблюдава забавяне на предсърдната и камерната проводимост, атриовентрикуларен блок и атриовентрикуларна дисоциация.</w:t>
      </w:r>
    </w:p>
    <w:p w14:paraId="6C000762" w14:textId="77777777" w:rsidR="006D116F" w:rsidRPr="00091742" w:rsidRDefault="006D116F" w:rsidP="006D116F">
      <w:pPr>
        <w:widowControl w:val="0"/>
        <w:tabs>
          <w:tab w:val="clear" w:pos="567"/>
        </w:tabs>
        <w:spacing w:before="2" w:line="252" w:lineRule="exact"/>
        <w:ind w:right="58"/>
        <w:rPr>
          <w:szCs w:val="22"/>
        </w:rPr>
      </w:pPr>
      <w:r>
        <w:t>В проучванията за токсичност при многократни дози са наблюдавани леки обратими чернодробни промени при плъхове, започващи при нива 3 пъти над клиничната експозиция. Тези промени включват повишено тегло на органа, хипертрофия на хепатоцитите, повишение на серумните концентрации на чернодробните ензими и повишение на общия холестерол и триглицеридите. Освен хипертрофията на хепатоцитите, не са наблюдавани други хистопатологични промени.</w:t>
      </w:r>
    </w:p>
    <w:p w14:paraId="582832A3" w14:textId="77777777" w:rsidR="006D116F" w:rsidRPr="00091742" w:rsidRDefault="006D116F" w:rsidP="006D116F">
      <w:pPr>
        <w:widowControl w:val="0"/>
        <w:tabs>
          <w:tab w:val="clear" w:pos="567"/>
        </w:tabs>
        <w:spacing w:before="3" w:line="252" w:lineRule="exact"/>
        <w:ind w:right="90"/>
        <w:rPr>
          <w:szCs w:val="22"/>
        </w:rPr>
      </w:pPr>
      <w:r>
        <w:t>При проучвания за репродуктивна токсичност и токсичност при развитието при гризачи и зайци не са наблюдавани тератогенни ефекти, но е установен повишен брой на мъртвородени потомци и починали скоро след раждането, както и слабо понижение в броя на потомството и теглото на новородените при прилагане на токсични за майката дози при плъхове, отговарящи на нива на системна експозиция, сходни с очакваната експозиция при клинично приложение. Тъй като по-високи нива на експозиция при животни не могат да бъдат изследвани поради токсичност за майката, наличните данни са недостатъчни за пълна оценка на ембриофетотоксичния и тератогенен потенциал на лакозамид.</w:t>
      </w:r>
    </w:p>
    <w:p w14:paraId="192B70C2" w14:textId="77777777" w:rsidR="006D116F" w:rsidRPr="00091742" w:rsidRDefault="006D116F" w:rsidP="006D116F">
      <w:pPr>
        <w:widowControl w:val="0"/>
        <w:tabs>
          <w:tab w:val="clear" w:pos="567"/>
        </w:tabs>
        <w:spacing w:line="250" w:lineRule="exact"/>
        <w:ind w:right="-20"/>
        <w:rPr>
          <w:szCs w:val="22"/>
        </w:rPr>
      </w:pPr>
      <w:r>
        <w:t>Проучванията при плъхове показват, че лакозамид и/или неговите метаболити лесно преминават плацентарната бариера.</w:t>
      </w:r>
    </w:p>
    <w:p w14:paraId="32917847" w14:textId="77777777" w:rsidR="006D116F" w:rsidRPr="00091742" w:rsidRDefault="006D116F" w:rsidP="006D116F">
      <w:pPr>
        <w:widowControl w:val="0"/>
        <w:tabs>
          <w:tab w:val="clear" w:pos="567"/>
        </w:tabs>
        <w:spacing w:before="1" w:line="239" w:lineRule="auto"/>
        <w:ind w:right="209"/>
        <w:rPr>
          <w:szCs w:val="22"/>
        </w:rPr>
      </w:pPr>
      <w:r>
        <w:t>При млади плъхове и кучета видовете токсичност не се различават качествено от тези, наблюдавани при възрастни животни. При млади плъхове се наблюдава намалено телесно тегло при нива на системна експозиция, които са подобни на очакваната клинична експозиция. При млади кучета преходни и свързани с дозата клинични признаци на ЦНС започват да се наблюдават при нива на системна експозиция под очакваната клинична експозиция.</w:t>
      </w:r>
    </w:p>
    <w:p w14:paraId="11BFFF4E" w14:textId="77777777" w:rsidR="006D116F" w:rsidRDefault="006D116F" w:rsidP="006D116F">
      <w:pPr>
        <w:spacing w:line="240" w:lineRule="auto"/>
        <w:rPr>
          <w:b/>
        </w:rPr>
      </w:pPr>
    </w:p>
    <w:p w14:paraId="0DB22011" w14:textId="77777777" w:rsidR="006D116F" w:rsidRDefault="006D116F" w:rsidP="006D116F">
      <w:pPr>
        <w:spacing w:line="240" w:lineRule="auto"/>
        <w:rPr>
          <w:b/>
        </w:rPr>
      </w:pPr>
    </w:p>
    <w:p w14:paraId="0584DFA8" w14:textId="77777777" w:rsidR="006D116F" w:rsidRDefault="006D116F" w:rsidP="006D116F">
      <w:pPr>
        <w:spacing w:line="240" w:lineRule="auto"/>
        <w:ind w:left="567" w:hanging="567"/>
        <w:rPr>
          <w:b/>
        </w:rPr>
      </w:pPr>
      <w:r>
        <w:rPr>
          <w:b/>
        </w:rPr>
        <w:t>6.</w:t>
      </w:r>
      <w:r>
        <w:rPr>
          <w:b/>
        </w:rPr>
        <w:tab/>
        <w:t>ФАРМАЦЕВТИЧНИ ДАННИ</w:t>
      </w:r>
    </w:p>
    <w:p w14:paraId="5584DB57" w14:textId="77777777" w:rsidR="006D116F" w:rsidRDefault="006D116F" w:rsidP="006D116F">
      <w:pPr>
        <w:spacing w:line="240" w:lineRule="auto"/>
        <w:rPr>
          <w:b/>
        </w:rPr>
      </w:pPr>
    </w:p>
    <w:p w14:paraId="64DF71FE" w14:textId="77777777" w:rsidR="006D116F" w:rsidRPr="002E3519" w:rsidRDefault="006D116F" w:rsidP="006D116F">
      <w:pPr>
        <w:spacing w:line="240" w:lineRule="auto"/>
        <w:ind w:left="567" w:hanging="567"/>
        <w:rPr>
          <w:b/>
          <w:szCs w:val="22"/>
        </w:rPr>
      </w:pPr>
      <w:r>
        <w:rPr>
          <w:b/>
          <w:szCs w:val="22"/>
        </w:rPr>
        <w:t>6.1</w:t>
      </w:r>
      <w:r>
        <w:rPr>
          <w:b/>
          <w:szCs w:val="22"/>
        </w:rPr>
        <w:tab/>
        <w:t>Списък на помощните вещества</w:t>
      </w:r>
    </w:p>
    <w:p w14:paraId="6B2511DC" w14:textId="77777777" w:rsidR="006D116F" w:rsidRPr="002E3519" w:rsidRDefault="006D116F" w:rsidP="006D116F">
      <w:pPr>
        <w:spacing w:line="240" w:lineRule="auto"/>
        <w:rPr>
          <w:szCs w:val="22"/>
        </w:rPr>
      </w:pPr>
    </w:p>
    <w:p w14:paraId="082B170B" w14:textId="77777777" w:rsidR="002E3519" w:rsidRPr="002E3519" w:rsidRDefault="002E3519" w:rsidP="002E3519">
      <w:pPr>
        <w:tabs>
          <w:tab w:val="clear" w:pos="567"/>
        </w:tabs>
        <w:autoSpaceDE w:val="0"/>
        <w:autoSpaceDN w:val="0"/>
        <w:adjustRightInd w:val="0"/>
        <w:spacing w:line="240" w:lineRule="auto"/>
        <w:rPr>
          <w:rFonts w:eastAsiaTheme="minorHAnsi"/>
          <w:color w:val="000000"/>
          <w:szCs w:val="22"/>
          <w:u w:val="single"/>
        </w:rPr>
      </w:pPr>
      <w:r>
        <w:rPr>
          <w:color w:val="000000"/>
          <w:szCs w:val="22"/>
          <w:u w:val="single"/>
        </w:rPr>
        <w:t xml:space="preserve">Ядро на таблетката </w:t>
      </w:r>
    </w:p>
    <w:p w14:paraId="781FA6AF" w14:textId="77777777" w:rsidR="002E3519" w:rsidRPr="002E3519" w:rsidRDefault="002E3519" w:rsidP="002E3519">
      <w:pPr>
        <w:tabs>
          <w:tab w:val="clear" w:pos="567"/>
        </w:tabs>
        <w:autoSpaceDE w:val="0"/>
        <w:autoSpaceDN w:val="0"/>
        <w:adjustRightInd w:val="0"/>
        <w:spacing w:line="240" w:lineRule="auto"/>
        <w:rPr>
          <w:rFonts w:eastAsiaTheme="minorHAnsi"/>
          <w:color w:val="000000"/>
          <w:szCs w:val="22"/>
        </w:rPr>
      </w:pPr>
      <w:r>
        <w:rPr>
          <w:color w:val="000000"/>
          <w:szCs w:val="22"/>
        </w:rPr>
        <w:t>Микрокристална целулоза</w:t>
      </w:r>
    </w:p>
    <w:p w14:paraId="714A6F6C" w14:textId="77777777" w:rsidR="002E3519" w:rsidRPr="002E3519" w:rsidRDefault="002E3519" w:rsidP="002E3519">
      <w:pPr>
        <w:tabs>
          <w:tab w:val="clear" w:pos="567"/>
        </w:tabs>
        <w:autoSpaceDE w:val="0"/>
        <w:autoSpaceDN w:val="0"/>
        <w:adjustRightInd w:val="0"/>
        <w:spacing w:line="240" w:lineRule="auto"/>
        <w:rPr>
          <w:rFonts w:eastAsiaTheme="minorHAnsi"/>
          <w:color w:val="000000"/>
          <w:szCs w:val="22"/>
        </w:rPr>
      </w:pPr>
      <w:r>
        <w:rPr>
          <w:color w:val="000000"/>
          <w:szCs w:val="22"/>
        </w:rPr>
        <w:t xml:space="preserve">Хидроксипропилцелулоза с ниска степен на заместване </w:t>
      </w:r>
    </w:p>
    <w:p w14:paraId="4FA17925" w14:textId="77777777" w:rsidR="002E3519" w:rsidRPr="002E3519" w:rsidRDefault="002E3519" w:rsidP="002E3519">
      <w:pPr>
        <w:tabs>
          <w:tab w:val="clear" w:pos="567"/>
        </w:tabs>
        <w:autoSpaceDE w:val="0"/>
        <w:autoSpaceDN w:val="0"/>
        <w:adjustRightInd w:val="0"/>
        <w:spacing w:line="240" w:lineRule="auto"/>
        <w:rPr>
          <w:rFonts w:eastAsiaTheme="minorHAnsi"/>
          <w:color w:val="000000"/>
          <w:szCs w:val="22"/>
        </w:rPr>
      </w:pPr>
      <w:r>
        <w:rPr>
          <w:color w:val="000000"/>
          <w:szCs w:val="22"/>
        </w:rPr>
        <w:t xml:space="preserve">Кросповидон </w:t>
      </w:r>
    </w:p>
    <w:p w14:paraId="00B1647A" w14:textId="77777777" w:rsidR="002E3519" w:rsidRPr="002E3519" w:rsidRDefault="002E3519" w:rsidP="002E3519">
      <w:pPr>
        <w:tabs>
          <w:tab w:val="clear" w:pos="567"/>
        </w:tabs>
        <w:autoSpaceDE w:val="0"/>
        <w:autoSpaceDN w:val="0"/>
        <w:adjustRightInd w:val="0"/>
        <w:spacing w:line="240" w:lineRule="auto"/>
        <w:rPr>
          <w:rFonts w:eastAsiaTheme="minorHAnsi"/>
          <w:color w:val="000000"/>
          <w:szCs w:val="22"/>
        </w:rPr>
      </w:pPr>
      <w:r>
        <w:rPr>
          <w:color w:val="000000"/>
          <w:szCs w:val="22"/>
        </w:rPr>
        <w:t xml:space="preserve">Хидроксипропилцелулоза </w:t>
      </w:r>
    </w:p>
    <w:p w14:paraId="30683C3E" w14:textId="77777777" w:rsidR="002E3519" w:rsidRPr="002E3519" w:rsidRDefault="002E3519" w:rsidP="002E3519">
      <w:pPr>
        <w:tabs>
          <w:tab w:val="clear" w:pos="567"/>
        </w:tabs>
        <w:autoSpaceDE w:val="0"/>
        <w:autoSpaceDN w:val="0"/>
        <w:adjustRightInd w:val="0"/>
        <w:spacing w:line="240" w:lineRule="auto"/>
        <w:rPr>
          <w:rFonts w:eastAsiaTheme="minorHAnsi"/>
          <w:color w:val="000000"/>
          <w:szCs w:val="22"/>
        </w:rPr>
      </w:pPr>
      <w:r>
        <w:rPr>
          <w:color w:val="000000"/>
          <w:szCs w:val="22"/>
        </w:rPr>
        <w:t xml:space="preserve">Колоиден безводен силициев диоксид </w:t>
      </w:r>
    </w:p>
    <w:p w14:paraId="29DBD88A" w14:textId="77777777" w:rsidR="002E3519" w:rsidRPr="002E3519" w:rsidRDefault="002E3519" w:rsidP="002E3519">
      <w:pPr>
        <w:tabs>
          <w:tab w:val="clear" w:pos="567"/>
        </w:tabs>
        <w:autoSpaceDE w:val="0"/>
        <w:autoSpaceDN w:val="0"/>
        <w:adjustRightInd w:val="0"/>
        <w:spacing w:line="240" w:lineRule="auto"/>
        <w:rPr>
          <w:rFonts w:eastAsiaTheme="minorHAnsi"/>
          <w:color w:val="000000"/>
          <w:szCs w:val="22"/>
        </w:rPr>
      </w:pPr>
      <w:r>
        <w:rPr>
          <w:color w:val="000000"/>
          <w:szCs w:val="22"/>
        </w:rPr>
        <w:t xml:space="preserve">Магнезиев стеарат </w:t>
      </w:r>
    </w:p>
    <w:p w14:paraId="720EE615" w14:textId="77777777" w:rsidR="002E3519" w:rsidRDefault="002E3519" w:rsidP="002E3519">
      <w:pPr>
        <w:tabs>
          <w:tab w:val="clear" w:pos="567"/>
        </w:tabs>
        <w:autoSpaceDE w:val="0"/>
        <w:autoSpaceDN w:val="0"/>
        <w:adjustRightInd w:val="0"/>
        <w:spacing w:line="240" w:lineRule="auto"/>
        <w:rPr>
          <w:rFonts w:eastAsiaTheme="minorHAnsi"/>
          <w:color w:val="000000"/>
          <w:sz w:val="23"/>
          <w:szCs w:val="23"/>
          <w:lang w:val="en-US"/>
        </w:rPr>
      </w:pPr>
    </w:p>
    <w:p w14:paraId="3B33D537" w14:textId="5551675C" w:rsidR="002E3519" w:rsidRPr="002E3519" w:rsidRDefault="005B184C" w:rsidP="002E3519">
      <w:pPr>
        <w:tabs>
          <w:tab w:val="clear" w:pos="567"/>
        </w:tabs>
        <w:autoSpaceDE w:val="0"/>
        <w:autoSpaceDN w:val="0"/>
        <w:adjustRightInd w:val="0"/>
        <w:spacing w:line="240" w:lineRule="auto"/>
        <w:rPr>
          <w:rFonts w:eastAsiaTheme="minorHAnsi"/>
          <w:color w:val="000000"/>
          <w:szCs w:val="22"/>
          <w:u w:val="single"/>
        </w:rPr>
      </w:pPr>
      <w:r>
        <w:rPr>
          <w:color w:val="000000"/>
          <w:szCs w:val="22"/>
          <w:u w:val="single"/>
        </w:rPr>
        <w:t>Филмово п</w:t>
      </w:r>
      <w:r w:rsidR="002E3519">
        <w:rPr>
          <w:color w:val="000000"/>
          <w:szCs w:val="22"/>
          <w:u w:val="single"/>
        </w:rPr>
        <w:t xml:space="preserve">окритие </w:t>
      </w:r>
    </w:p>
    <w:p w14:paraId="4E876CD5" w14:textId="5B298120" w:rsidR="002E3519" w:rsidRPr="002E3519" w:rsidRDefault="002E3519" w:rsidP="002E3519">
      <w:pPr>
        <w:tabs>
          <w:tab w:val="clear" w:pos="567"/>
        </w:tabs>
        <w:autoSpaceDE w:val="0"/>
        <w:autoSpaceDN w:val="0"/>
        <w:adjustRightInd w:val="0"/>
        <w:spacing w:line="240" w:lineRule="auto"/>
        <w:rPr>
          <w:rFonts w:eastAsiaTheme="minorHAnsi"/>
          <w:color w:val="000000"/>
          <w:szCs w:val="22"/>
        </w:rPr>
      </w:pPr>
      <w:r>
        <w:rPr>
          <w:color w:val="000000"/>
          <w:szCs w:val="22"/>
        </w:rPr>
        <w:t>Поливинил</w:t>
      </w:r>
      <w:r w:rsidR="005B184C">
        <w:rPr>
          <w:color w:val="000000"/>
          <w:szCs w:val="22"/>
        </w:rPr>
        <w:t>ов</w:t>
      </w:r>
      <w:r>
        <w:rPr>
          <w:color w:val="000000"/>
          <w:szCs w:val="22"/>
        </w:rPr>
        <w:t xml:space="preserve"> алкохол </w:t>
      </w:r>
    </w:p>
    <w:p w14:paraId="3C66F6A7" w14:textId="6ADB9CE9" w:rsidR="002E3519" w:rsidRPr="002E3519" w:rsidRDefault="002E3519" w:rsidP="002E3519">
      <w:pPr>
        <w:tabs>
          <w:tab w:val="clear" w:pos="567"/>
        </w:tabs>
        <w:autoSpaceDE w:val="0"/>
        <w:autoSpaceDN w:val="0"/>
        <w:adjustRightInd w:val="0"/>
        <w:spacing w:line="240" w:lineRule="auto"/>
        <w:rPr>
          <w:rFonts w:eastAsiaTheme="minorHAnsi"/>
          <w:color w:val="000000"/>
          <w:szCs w:val="22"/>
        </w:rPr>
      </w:pPr>
      <w:r>
        <w:rPr>
          <w:color w:val="000000"/>
          <w:szCs w:val="22"/>
        </w:rPr>
        <w:t xml:space="preserve">Макрогол </w:t>
      </w:r>
    </w:p>
    <w:p w14:paraId="55114540" w14:textId="77777777" w:rsidR="002E3519" w:rsidRPr="002E3519" w:rsidRDefault="002E3519" w:rsidP="002E3519">
      <w:pPr>
        <w:tabs>
          <w:tab w:val="clear" w:pos="567"/>
        </w:tabs>
        <w:autoSpaceDE w:val="0"/>
        <w:autoSpaceDN w:val="0"/>
        <w:adjustRightInd w:val="0"/>
        <w:spacing w:line="240" w:lineRule="auto"/>
        <w:rPr>
          <w:rFonts w:eastAsiaTheme="minorHAnsi"/>
          <w:color w:val="000000"/>
          <w:szCs w:val="22"/>
        </w:rPr>
      </w:pPr>
      <w:r>
        <w:rPr>
          <w:color w:val="000000"/>
          <w:szCs w:val="22"/>
        </w:rPr>
        <w:t xml:space="preserve">Титанов диоксид (E171) </w:t>
      </w:r>
    </w:p>
    <w:p w14:paraId="47306337" w14:textId="206654C6" w:rsidR="001622F3" w:rsidRDefault="002E3519" w:rsidP="002E3519">
      <w:pPr>
        <w:tabs>
          <w:tab w:val="clear" w:pos="567"/>
        </w:tabs>
        <w:autoSpaceDE w:val="0"/>
        <w:autoSpaceDN w:val="0"/>
        <w:adjustRightInd w:val="0"/>
        <w:spacing w:line="240" w:lineRule="auto"/>
        <w:rPr>
          <w:rFonts w:eastAsiaTheme="minorHAnsi"/>
          <w:color w:val="000000"/>
          <w:szCs w:val="22"/>
        </w:rPr>
      </w:pPr>
      <w:r>
        <w:rPr>
          <w:color w:val="000000"/>
          <w:szCs w:val="22"/>
        </w:rPr>
        <w:t>Талк</w:t>
      </w:r>
    </w:p>
    <w:p w14:paraId="10CEF7F0" w14:textId="77777777" w:rsidR="0055136D" w:rsidRDefault="0055136D" w:rsidP="002E3519">
      <w:pPr>
        <w:tabs>
          <w:tab w:val="clear" w:pos="567"/>
        </w:tabs>
        <w:autoSpaceDE w:val="0"/>
        <w:autoSpaceDN w:val="0"/>
        <w:adjustRightInd w:val="0"/>
        <w:spacing w:line="240" w:lineRule="auto"/>
        <w:rPr>
          <w:rFonts w:eastAsiaTheme="minorHAnsi"/>
          <w:color w:val="000000"/>
          <w:szCs w:val="22"/>
          <w:lang w:val="en-US"/>
        </w:rPr>
      </w:pPr>
    </w:p>
    <w:p w14:paraId="72B8F5CB" w14:textId="2CDE4747" w:rsidR="001622F3" w:rsidRPr="001622F3" w:rsidRDefault="001622F3" w:rsidP="001622F3">
      <w:pPr>
        <w:tabs>
          <w:tab w:val="clear" w:pos="567"/>
        </w:tabs>
        <w:autoSpaceDE w:val="0"/>
        <w:autoSpaceDN w:val="0"/>
        <w:adjustRightInd w:val="0"/>
        <w:spacing w:line="240" w:lineRule="auto"/>
        <w:rPr>
          <w:rFonts w:eastAsiaTheme="minorHAnsi"/>
          <w:color w:val="000000"/>
          <w:szCs w:val="22"/>
        </w:rPr>
      </w:pPr>
      <w:r>
        <w:rPr>
          <w:color w:val="000000"/>
          <w:szCs w:val="22"/>
        </w:rPr>
        <w:t>Ло</w:t>
      </w:r>
      <w:r w:rsidR="004F3EEB">
        <w:rPr>
          <w:color w:val="000000"/>
          <w:szCs w:val="22"/>
        </w:rPr>
        <w:t>с</w:t>
      </w:r>
      <w:r>
        <w:rPr>
          <w:color w:val="000000"/>
          <w:szCs w:val="22"/>
        </w:rPr>
        <w:t>морид 50 mg и 150 mg филмирани таблетки:</w:t>
      </w:r>
    </w:p>
    <w:p w14:paraId="3CBA5319" w14:textId="77777777" w:rsidR="001622F3" w:rsidRPr="001622F3" w:rsidRDefault="001622F3" w:rsidP="001622F3">
      <w:pPr>
        <w:tabs>
          <w:tab w:val="clear" w:pos="567"/>
        </w:tabs>
        <w:autoSpaceDE w:val="0"/>
        <w:autoSpaceDN w:val="0"/>
        <w:adjustRightInd w:val="0"/>
        <w:spacing w:line="240" w:lineRule="auto"/>
        <w:rPr>
          <w:rFonts w:eastAsiaTheme="minorHAnsi"/>
          <w:color w:val="000000"/>
          <w:szCs w:val="22"/>
        </w:rPr>
      </w:pPr>
      <w:r>
        <w:rPr>
          <w:color w:val="000000"/>
          <w:szCs w:val="22"/>
        </w:rPr>
        <w:t xml:space="preserve">Червен железен оксид (E172) </w:t>
      </w:r>
    </w:p>
    <w:p w14:paraId="5312C4B7" w14:textId="77777777" w:rsidR="001622F3" w:rsidRPr="001622F3" w:rsidRDefault="001622F3" w:rsidP="001622F3">
      <w:pPr>
        <w:tabs>
          <w:tab w:val="clear" w:pos="567"/>
        </w:tabs>
        <w:autoSpaceDE w:val="0"/>
        <w:autoSpaceDN w:val="0"/>
        <w:adjustRightInd w:val="0"/>
        <w:spacing w:line="240" w:lineRule="auto"/>
        <w:rPr>
          <w:rFonts w:eastAsiaTheme="minorHAnsi"/>
          <w:color w:val="000000"/>
          <w:szCs w:val="22"/>
          <w:lang w:val="en-US"/>
        </w:rPr>
      </w:pPr>
    </w:p>
    <w:p w14:paraId="12118A22" w14:textId="666130A7" w:rsidR="001622F3" w:rsidRPr="001622F3" w:rsidRDefault="001622F3" w:rsidP="001622F3">
      <w:pPr>
        <w:tabs>
          <w:tab w:val="clear" w:pos="567"/>
        </w:tabs>
        <w:autoSpaceDE w:val="0"/>
        <w:autoSpaceDN w:val="0"/>
        <w:adjustRightInd w:val="0"/>
        <w:spacing w:line="240" w:lineRule="auto"/>
        <w:rPr>
          <w:rFonts w:eastAsiaTheme="minorHAnsi"/>
          <w:color w:val="000000"/>
          <w:szCs w:val="22"/>
        </w:rPr>
      </w:pPr>
      <w:r>
        <w:rPr>
          <w:color w:val="000000"/>
          <w:szCs w:val="22"/>
        </w:rPr>
        <w:t>Ло</w:t>
      </w:r>
      <w:r w:rsidR="004F3EEB">
        <w:rPr>
          <w:color w:val="000000"/>
          <w:szCs w:val="22"/>
        </w:rPr>
        <w:t>с</w:t>
      </w:r>
      <w:r>
        <w:rPr>
          <w:color w:val="000000"/>
          <w:szCs w:val="22"/>
        </w:rPr>
        <w:t>морид 100 mg и 150 mg филмирани таблетки:</w:t>
      </w:r>
    </w:p>
    <w:p w14:paraId="45ECF22C" w14:textId="77777777" w:rsidR="001622F3" w:rsidRPr="001622F3" w:rsidRDefault="001622F3" w:rsidP="001622F3">
      <w:pPr>
        <w:tabs>
          <w:tab w:val="clear" w:pos="567"/>
        </w:tabs>
        <w:autoSpaceDE w:val="0"/>
        <w:autoSpaceDN w:val="0"/>
        <w:adjustRightInd w:val="0"/>
        <w:spacing w:line="240" w:lineRule="auto"/>
        <w:rPr>
          <w:rFonts w:eastAsiaTheme="minorHAnsi"/>
          <w:color w:val="000000"/>
          <w:szCs w:val="22"/>
        </w:rPr>
      </w:pPr>
      <w:r>
        <w:rPr>
          <w:color w:val="000000"/>
          <w:szCs w:val="22"/>
        </w:rPr>
        <w:t xml:space="preserve">Жълт железен оксид (E172) </w:t>
      </w:r>
    </w:p>
    <w:p w14:paraId="2E136830" w14:textId="77777777" w:rsidR="001622F3" w:rsidRPr="001622F3" w:rsidRDefault="001622F3" w:rsidP="001622F3">
      <w:pPr>
        <w:tabs>
          <w:tab w:val="clear" w:pos="567"/>
        </w:tabs>
        <w:autoSpaceDE w:val="0"/>
        <w:autoSpaceDN w:val="0"/>
        <w:adjustRightInd w:val="0"/>
        <w:spacing w:line="240" w:lineRule="auto"/>
        <w:rPr>
          <w:rFonts w:eastAsiaTheme="minorHAnsi"/>
          <w:color w:val="000000"/>
          <w:szCs w:val="22"/>
          <w:lang w:val="en-US"/>
        </w:rPr>
      </w:pPr>
    </w:p>
    <w:p w14:paraId="3990C9FC" w14:textId="399469E9" w:rsidR="001622F3" w:rsidRPr="001622F3" w:rsidRDefault="001622F3" w:rsidP="001622F3">
      <w:pPr>
        <w:tabs>
          <w:tab w:val="clear" w:pos="567"/>
        </w:tabs>
        <w:autoSpaceDE w:val="0"/>
        <w:autoSpaceDN w:val="0"/>
        <w:adjustRightInd w:val="0"/>
        <w:spacing w:line="240" w:lineRule="auto"/>
        <w:rPr>
          <w:rFonts w:eastAsiaTheme="minorHAnsi"/>
          <w:color w:val="000000"/>
          <w:szCs w:val="22"/>
        </w:rPr>
      </w:pPr>
      <w:r>
        <w:rPr>
          <w:color w:val="000000"/>
          <w:szCs w:val="22"/>
        </w:rPr>
        <w:t>Ло</w:t>
      </w:r>
      <w:r w:rsidR="004F3EEB">
        <w:rPr>
          <w:color w:val="000000"/>
          <w:szCs w:val="22"/>
        </w:rPr>
        <w:t>с</w:t>
      </w:r>
      <w:r>
        <w:rPr>
          <w:color w:val="000000"/>
          <w:szCs w:val="22"/>
        </w:rPr>
        <w:t>морид 50 mg, 100 mg и 150 mg филмирани таблетки:</w:t>
      </w:r>
    </w:p>
    <w:p w14:paraId="02A1AC81" w14:textId="77777777" w:rsidR="001622F3" w:rsidRPr="001622F3" w:rsidRDefault="001622F3" w:rsidP="001622F3">
      <w:pPr>
        <w:tabs>
          <w:tab w:val="clear" w:pos="567"/>
        </w:tabs>
        <w:autoSpaceDE w:val="0"/>
        <w:autoSpaceDN w:val="0"/>
        <w:adjustRightInd w:val="0"/>
        <w:spacing w:line="240" w:lineRule="auto"/>
        <w:rPr>
          <w:rFonts w:eastAsiaTheme="minorHAnsi"/>
          <w:color w:val="000000"/>
          <w:szCs w:val="22"/>
        </w:rPr>
      </w:pPr>
      <w:r>
        <w:rPr>
          <w:color w:val="000000"/>
          <w:szCs w:val="22"/>
        </w:rPr>
        <w:t xml:space="preserve">Черен железен оксид (E172) </w:t>
      </w:r>
    </w:p>
    <w:p w14:paraId="0F63902E" w14:textId="77777777" w:rsidR="001622F3" w:rsidRPr="001622F3" w:rsidRDefault="001622F3" w:rsidP="001622F3">
      <w:pPr>
        <w:tabs>
          <w:tab w:val="clear" w:pos="567"/>
        </w:tabs>
        <w:autoSpaceDE w:val="0"/>
        <w:autoSpaceDN w:val="0"/>
        <w:adjustRightInd w:val="0"/>
        <w:spacing w:line="240" w:lineRule="auto"/>
        <w:rPr>
          <w:rFonts w:eastAsiaTheme="minorHAnsi"/>
          <w:color w:val="000000"/>
          <w:szCs w:val="22"/>
          <w:lang w:val="en-US"/>
        </w:rPr>
      </w:pPr>
    </w:p>
    <w:p w14:paraId="799EFAD8" w14:textId="0DAFD10F" w:rsidR="001622F3" w:rsidRPr="001622F3" w:rsidRDefault="001622F3" w:rsidP="001622F3">
      <w:pPr>
        <w:tabs>
          <w:tab w:val="clear" w:pos="567"/>
        </w:tabs>
        <w:autoSpaceDE w:val="0"/>
        <w:autoSpaceDN w:val="0"/>
        <w:adjustRightInd w:val="0"/>
        <w:spacing w:line="240" w:lineRule="auto"/>
        <w:rPr>
          <w:rFonts w:eastAsiaTheme="minorHAnsi"/>
          <w:color w:val="000000"/>
          <w:szCs w:val="22"/>
        </w:rPr>
      </w:pPr>
      <w:r>
        <w:rPr>
          <w:color w:val="000000"/>
          <w:szCs w:val="22"/>
        </w:rPr>
        <w:t>Ло</w:t>
      </w:r>
      <w:r w:rsidR="004F3EEB">
        <w:rPr>
          <w:color w:val="000000"/>
          <w:szCs w:val="22"/>
        </w:rPr>
        <w:t>с</w:t>
      </w:r>
      <w:r>
        <w:rPr>
          <w:color w:val="000000"/>
          <w:szCs w:val="22"/>
        </w:rPr>
        <w:t>морид 50 mg, 150 mg и 200 mg филмирани таблетки:</w:t>
      </w:r>
    </w:p>
    <w:p w14:paraId="630A21E9" w14:textId="0FE43196" w:rsidR="001622F3" w:rsidRPr="001622F3" w:rsidRDefault="001622F3" w:rsidP="001622F3">
      <w:pPr>
        <w:tabs>
          <w:tab w:val="clear" w:pos="567"/>
        </w:tabs>
        <w:autoSpaceDE w:val="0"/>
        <w:autoSpaceDN w:val="0"/>
        <w:adjustRightInd w:val="0"/>
        <w:spacing w:line="240" w:lineRule="auto"/>
        <w:rPr>
          <w:rFonts w:eastAsiaTheme="minorHAnsi"/>
          <w:color w:val="000000"/>
          <w:szCs w:val="22"/>
        </w:rPr>
      </w:pPr>
      <w:r>
        <w:rPr>
          <w:color w:val="000000"/>
          <w:szCs w:val="22"/>
        </w:rPr>
        <w:t xml:space="preserve">Индиго кармин алуминиев лак (E132) </w:t>
      </w:r>
    </w:p>
    <w:p w14:paraId="0DE44502" w14:textId="77777777" w:rsidR="001622F3" w:rsidRDefault="001622F3" w:rsidP="002E3519">
      <w:pPr>
        <w:tabs>
          <w:tab w:val="clear" w:pos="567"/>
        </w:tabs>
        <w:autoSpaceDE w:val="0"/>
        <w:autoSpaceDN w:val="0"/>
        <w:adjustRightInd w:val="0"/>
        <w:spacing w:line="240" w:lineRule="auto"/>
        <w:rPr>
          <w:rFonts w:eastAsiaTheme="minorHAnsi"/>
          <w:color w:val="000000"/>
          <w:szCs w:val="22"/>
          <w:lang w:val="en-US"/>
        </w:rPr>
      </w:pPr>
    </w:p>
    <w:p w14:paraId="3A89D0F0" w14:textId="1E983AE0" w:rsidR="002E3519" w:rsidRPr="002E3519" w:rsidRDefault="002E3519" w:rsidP="002E3519">
      <w:pPr>
        <w:tabs>
          <w:tab w:val="clear" w:pos="567"/>
        </w:tabs>
        <w:autoSpaceDE w:val="0"/>
        <w:autoSpaceDN w:val="0"/>
        <w:adjustRightInd w:val="0"/>
        <w:spacing w:line="240" w:lineRule="auto"/>
        <w:rPr>
          <w:rFonts w:eastAsiaTheme="minorHAnsi"/>
          <w:color w:val="000000"/>
          <w:szCs w:val="22"/>
          <w:lang w:val="en-US"/>
        </w:rPr>
      </w:pPr>
    </w:p>
    <w:p w14:paraId="22335010" w14:textId="77777777" w:rsidR="006D116F" w:rsidRDefault="006D116F" w:rsidP="006D116F">
      <w:pPr>
        <w:spacing w:line="240" w:lineRule="auto"/>
        <w:ind w:left="567" w:hanging="567"/>
      </w:pPr>
      <w:r>
        <w:rPr>
          <w:b/>
        </w:rPr>
        <w:t>6.2</w:t>
      </w:r>
      <w:r>
        <w:rPr>
          <w:b/>
        </w:rPr>
        <w:tab/>
        <w:t>Несъвместимости</w:t>
      </w:r>
    </w:p>
    <w:p w14:paraId="25933C79" w14:textId="77777777" w:rsidR="006D116F" w:rsidRDefault="006D116F" w:rsidP="006D116F">
      <w:pPr>
        <w:spacing w:line="240" w:lineRule="auto"/>
      </w:pPr>
    </w:p>
    <w:p w14:paraId="1C83AC73" w14:textId="77777777" w:rsidR="006D116F" w:rsidRDefault="002E3519" w:rsidP="006D116F">
      <w:pPr>
        <w:spacing w:line="240" w:lineRule="auto"/>
      </w:pPr>
      <w:r>
        <w:t>Неприложимо.</w:t>
      </w:r>
    </w:p>
    <w:p w14:paraId="027B7DFD" w14:textId="77777777" w:rsidR="006D116F" w:rsidRDefault="006D116F" w:rsidP="006D116F">
      <w:pPr>
        <w:spacing w:line="240" w:lineRule="auto"/>
      </w:pPr>
    </w:p>
    <w:p w14:paraId="569D0DF4" w14:textId="77777777" w:rsidR="006D116F" w:rsidRDefault="006D116F" w:rsidP="006D116F">
      <w:pPr>
        <w:spacing w:line="240" w:lineRule="auto"/>
        <w:ind w:left="567" w:hanging="567"/>
      </w:pPr>
      <w:r>
        <w:rPr>
          <w:b/>
        </w:rPr>
        <w:t>6.3</w:t>
      </w:r>
      <w:r>
        <w:rPr>
          <w:b/>
        </w:rPr>
        <w:tab/>
        <w:t>Срок на годност</w:t>
      </w:r>
    </w:p>
    <w:p w14:paraId="622D2893" w14:textId="77777777" w:rsidR="006D116F" w:rsidRDefault="006D116F" w:rsidP="006D116F">
      <w:pPr>
        <w:spacing w:line="240" w:lineRule="auto"/>
      </w:pPr>
    </w:p>
    <w:p w14:paraId="797A8590" w14:textId="64214A28" w:rsidR="006D116F" w:rsidRDefault="008201AE" w:rsidP="006D116F">
      <w:pPr>
        <w:spacing w:line="240" w:lineRule="auto"/>
      </w:pPr>
      <w:r>
        <w:t>4 години</w:t>
      </w:r>
    </w:p>
    <w:p w14:paraId="6C62D04F" w14:textId="77777777" w:rsidR="002E3519" w:rsidRDefault="002E3519" w:rsidP="006D116F">
      <w:pPr>
        <w:spacing w:line="240" w:lineRule="auto"/>
        <w:ind w:left="567" w:hanging="567"/>
        <w:rPr>
          <w:b/>
        </w:rPr>
      </w:pPr>
    </w:p>
    <w:p w14:paraId="25DE4F3A" w14:textId="77777777" w:rsidR="006D116F" w:rsidRDefault="006D116F" w:rsidP="006D116F">
      <w:pPr>
        <w:spacing w:line="240" w:lineRule="auto"/>
        <w:ind w:left="567" w:hanging="567"/>
        <w:rPr>
          <w:b/>
        </w:rPr>
      </w:pPr>
      <w:r>
        <w:rPr>
          <w:b/>
        </w:rPr>
        <w:t>6.4</w:t>
      </w:r>
      <w:r>
        <w:rPr>
          <w:b/>
        </w:rPr>
        <w:tab/>
        <w:t>Специални условия на съхранение</w:t>
      </w:r>
    </w:p>
    <w:p w14:paraId="5C922688" w14:textId="77777777" w:rsidR="006D116F" w:rsidRDefault="006D116F" w:rsidP="006D116F">
      <w:pPr>
        <w:spacing w:line="240" w:lineRule="auto"/>
        <w:rPr>
          <w:i/>
          <w:iCs/>
        </w:rPr>
      </w:pPr>
    </w:p>
    <w:p w14:paraId="6DDD0DAA" w14:textId="77777777" w:rsidR="006D116F" w:rsidRPr="002E3519" w:rsidRDefault="002E3519" w:rsidP="006D116F">
      <w:pPr>
        <w:spacing w:line="240" w:lineRule="auto"/>
        <w:rPr>
          <w:noProof/>
          <w:szCs w:val="22"/>
        </w:rPr>
      </w:pPr>
      <w:r>
        <w:t>Този лекарствен продукт не изисква специални условия на съхранение.</w:t>
      </w:r>
    </w:p>
    <w:p w14:paraId="54621FED" w14:textId="77777777" w:rsidR="006D116F" w:rsidRDefault="006D116F" w:rsidP="006D116F">
      <w:pPr>
        <w:spacing w:line="240" w:lineRule="auto"/>
      </w:pPr>
    </w:p>
    <w:p w14:paraId="536FB9F6" w14:textId="77777777" w:rsidR="006D116F" w:rsidRDefault="006D116F" w:rsidP="006D116F">
      <w:pPr>
        <w:numPr>
          <w:ilvl w:val="1"/>
          <w:numId w:val="4"/>
        </w:numPr>
        <w:spacing w:line="240" w:lineRule="auto"/>
        <w:rPr>
          <w:b/>
        </w:rPr>
      </w:pPr>
      <w:r>
        <w:rPr>
          <w:b/>
        </w:rPr>
        <w:t>Вид и съдържание на опаковката</w:t>
      </w:r>
    </w:p>
    <w:p w14:paraId="003DFDAB" w14:textId="77777777" w:rsidR="006D116F" w:rsidRDefault="006D116F" w:rsidP="006D116F">
      <w:pPr>
        <w:spacing w:line="240" w:lineRule="auto"/>
      </w:pPr>
    </w:p>
    <w:p w14:paraId="653940CA" w14:textId="2CF3F5E1" w:rsidR="002E3519" w:rsidRPr="00696B64" w:rsidRDefault="002E3519" w:rsidP="002E3519">
      <w:pPr>
        <w:pStyle w:val="Default"/>
        <w:spacing w:after="42"/>
        <w:jc w:val="both"/>
        <w:rPr>
          <w:sz w:val="22"/>
          <w:szCs w:val="22"/>
          <w:lang w:val="en-US"/>
        </w:rPr>
      </w:pPr>
      <w:r>
        <w:rPr>
          <w:sz w:val="22"/>
          <w:szCs w:val="22"/>
        </w:rPr>
        <w:t>Ло</w:t>
      </w:r>
      <w:r w:rsidR="004F3EEB">
        <w:rPr>
          <w:sz w:val="22"/>
          <w:szCs w:val="22"/>
        </w:rPr>
        <w:t>с</w:t>
      </w:r>
      <w:r>
        <w:rPr>
          <w:sz w:val="22"/>
          <w:szCs w:val="22"/>
        </w:rPr>
        <w:t>морид е наличен в опаковки от 56 филмирани таблетки в прозрачни PVC/PVDC//Алуминиеви блистери</w:t>
      </w:r>
      <w:r w:rsidR="00EC3D0A">
        <w:rPr>
          <w:sz w:val="22"/>
          <w:szCs w:val="22"/>
        </w:rPr>
        <w:t>.</w:t>
      </w:r>
    </w:p>
    <w:p w14:paraId="60778403" w14:textId="77777777" w:rsidR="006D116F" w:rsidRDefault="006D116F" w:rsidP="006D116F">
      <w:pPr>
        <w:spacing w:line="240" w:lineRule="auto"/>
      </w:pPr>
    </w:p>
    <w:p w14:paraId="64104E44" w14:textId="77777777" w:rsidR="002E3519" w:rsidRPr="006D13BB" w:rsidRDefault="002E3519" w:rsidP="002E3519">
      <w:pPr>
        <w:widowControl w:val="0"/>
        <w:tabs>
          <w:tab w:val="left" w:pos="680"/>
        </w:tabs>
        <w:spacing w:line="240" w:lineRule="auto"/>
        <w:ind w:right="-20"/>
      </w:pPr>
      <w:r>
        <w:rPr>
          <w:b/>
          <w:bCs/>
        </w:rPr>
        <w:t>6.6</w:t>
      </w:r>
      <w:r>
        <w:rPr>
          <w:b/>
          <w:bCs/>
        </w:rPr>
        <w:tab/>
        <w:t>Специални предпазни мерки при изхвърляне</w:t>
      </w:r>
    </w:p>
    <w:p w14:paraId="6097651C" w14:textId="77777777" w:rsidR="002E3519" w:rsidRPr="006D13BB" w:rsidRDefault="002E3519" w:rsidP="002E3519">
      <w:pPr>
        <w:spacing w:line="240" w:lineRule="auto"/>
      </w:pPr>
    </w:p>
    <w:p w14:paraId="2B0EDE48" w14:textId="77777777" w:rsidR="002E3519" w:rsidRPr="006D13BB" w:rsidRDefault="002E3519" w:rsidP="002E3519">
      <w:pPr>
        <w:spacing w:line="240" w:lineRule="auto"/>
      </w:pPr>
      <w:r>
        <w:t>Няма специални изисквания.</w:t>
      </w:r>
    </w:p>
    <w:p w14:paraId="74723457" w14:textId="77777777" w:rsidR="002E3519" w:rsidRPr="006D13BB" w:rsidRDefault="002E3519" w:rsidP="002E3519">
      <w:pPr>
        <w:spacing w:line="240" w:lineRule="auto"/>
      </w:pPr>
    </w:p>
    <w:p w14:paraId="5C4ED2AF" w14:textId="77777777" w:rsidR="002E3519" w:rsidRPr="006D13BB" w:rsidRDefault="002E3519" w:rsidP="002E3519">
      <w:pPr>
        <w:spacing w:line="240" w:lineRule="auto"/>
      </w:pPr>
    </w:p>
    <w:p w14:paraId="56F55EC3" w14:textId="77777777" w:rsidR="002E3519" w:rsidRPr="006D13BB" w:rsidRDefault="002E3519" w:rsidP="002E3519">
      <w:pPr>
        <w:autoSpaceDE w:val="0"/>
        <w:autoSpaceDN w:val="0"/>
        <w:adjustRightInd w:val="0"/>
        <w:spacing w:line="240" w:lineRule="auto"/>
        <w:rPr>
          <w:b/>
          <w:bCs/>
        </w:rPr>
      </w:pPr>
      <w:r>
        <w:rPr>
          <w:b/>
          <w:bCs/>
        </w:rPr>
        <w:t>7.</w:t>
      </w:r>
      <w:r>
        <w:rPr>
          <w:b/>
          <w:bCs/>
        </w:rPr>
        <w:tab/>
        <w:t>ПРИТЕЖАТЕЛ НА РАЗРЕШЕНИЕТО ЗА УПОТРЕБА</w:t>
      </w:r>
    </w:p>
    <w:p w14:paraId="1E413ADB" w14:textId="77777777" w:rsidR="002E3519" w:rsidRPr="006D13BB" w:rsidRDefault="002E3519" w:rsidP="002E3519">
      <w:pPr>
        <w:widowControl w:val="0"/>
        <w:spacing w:before="16" w:line="240" w:lineRule="exact"/>
        <w:rPr>
          <w:rFonts w:eastAsia="Calibri"/>
        </w:rPr>
      </w:pPr>
    </w:p>
    <w:p w14:paraId="3C0E97C1" w14:textId="77777777" w:rsidR="00EC3D0A" w:rsidRPr="004B02C0" w:rsidRDefault="00EC3D0A" w:rsidP="00EC3D0A">
      <w:pPr>
        <w:spacing w:line="240" w:lineRule="auto"/>
        <w:rPr>
          <w:snapToGrid w:val="0"/>
          <w:lang w:val="sl-SI" w:eastAsia="bg-BG"/>
        </w:rPr>
      </w:pPr>
      <w:r w:rsidRPr="004B02C0">
        <w:rPr>
          <w:snapToGrid w:val="0"/>
          <w:lang w:eastAsia="bg-BG"/>
        </w:rPr>
        <w:t>ALKALOID-INT d.o.o.</w:t>
      </w:r>
    </w:p>
    <w:p w14:paraId="16E0A7C6" w14:textId="77777777" w:rsidR="00EC3D0A" w:rsidRPr="00161019" w:rsidRDefault="00EC3D0A" w:rsidP="00EC3D0A">
      <w:pPr>
        <w:spacing w:line="240" w:lineRule="auto"/>
        <w:rPr>
          <w:snapToGrid w:val="0"/>
          <w:lang w:val="sl-SI" w:eastAsia="bg-BG"/>
        </w:rPr>
      </w:pPr>
      <w:r w:rsidRPr="00161019">
        <w:rPr>
          <w:snapToGrid w:val="0"/>
          <w:lang w:eastAsia="bg-BG"/>
        </w:rPr>
        <w:t>Šlandrova 4</w:t>
      </w:r>
    </w:p>
    <w:p w14:paraId="4391168B" w14:textId="77777777" w:rsidR="00EC3D0A" w:rsidRPr="004B02C0" w:rsidRDefault="00EC3D0A" w:rsidP="00EC3D0A">
      <w:pPr>
        <w:spacing w:line="240" w:lineRule="auto"/>
        <w:rPr>
          <w:snapToGrid w:val="0"/>
          <w:lang w:val="sl-SI" w:eastAsia="bg-BG"/>
        </w:rPr>
      </w:pPr>
      <w:r w:rsidRPr="004B02C0">
        <w:rPr>
          <w:snapToGrid w:val="0"/>
          <w:lang w:eastAsia="bg-BG"/>
        </w:rPr>
        <w:t>1231 Ljubljana-Črnuče</w:t>
      </w:r>
    </w:p>
    <w:p w14:paraId="301AB481" w14:textId="77777777" w:rsidR="00EC3D0A" w:rsidRPr="004B02C0" w:rsidRDefault="00EC3D0A" w:rsidP="00EC3D0A">
      <w:pPr>
        <w:spacing w:line="240" w:lineRule="auto"/>
        <w:rPr>
          <w:snapToGrid w:val="0"/>
          <w:lang w:val="sl-SI" w:eastAsia="bg-BG"/>
        </w:rPr>
      </w:pPr>
      <w:r w:rsidRPr="004B02C0">
        <w:rPr>
          <w:snapToGrid w:val="0"/>
          <w:lang w:eastAsia="bg-BG"/>
        </w:rPr>
        <w:t>Словения</w:t>
      </w:r>
    </w:p>
    <w:p w14:paraId="0B8B82D2" w14:textId="1C621A7B" w:rsidR="00EC3D0A" w:rsidRPr="004B02C0" w:rsidRDefault="00EC3D0A" w:rsidP="00EC3D0A">
      <w:pPr>
        <w:spacing w:line="240" w:lineRule="auto"/>
        <w:rPr>
          <w:snapToGrid w:val="0"/>
          <w:lang w:val="sl-SI" w:eastAsia="bg-BG"/>
        </w:rPr>
      </w:pPr>
      <w:r>
        <w:rPr>
          <w:snapToGrid w:val="0"/>
          <w:lang w:eastAsia="bg-BG"/>
        </w:rPr>
        <w:t>т</w:t>
      </w:r>
      <w:r w:rsidRPr="004B02C0">
        <w:rPr>
          <w:snapToGrid w:val="0"/>
          <w:lang w:eastAsia="bg-BG"/>
        </w:rPr>
        <w:t>ел.:</w:t>
      </w:r>
      <w:r w:rsidRPr="004B02C0">
        <w:rPr>
          <w:snapToGrid w:val="0"/>
          <w:lang w:val="sl-SI" w:eastAsia="bg-BG"/>
        </w:rPr>
        <w:t xml:space="preserve"> </w:t>
      </w:r>
      <w:r w:rsidRPr="00465D6B">
        <w:rPr>
          <w:lang w:val="sl-SI"/>
        </w:rPr>
        <w:t>+386 1 300 42 90</w:t>
      </w:r>
    </w:p>
    <w:p w14:paraId="0226707C" w14:textId="4B5D6E41" w:rsidR="00EC3D0A" w:rsidRPr="00465D6B" w:rsidRDefault="00EC3D0A" w:rsidP="00EC3D0A">
      <w:pPr>
        <w:spacing w:line="240" w:lineRule="auto"/>
        <w:rPr>
          <w:b/>
          <w:noProof/>
          <w:lang w:val="de-DE"/>
        </w:rPr>
      </w:pPr>
      <w:r>
        <w:rPr>
          <w:snapToGrid w:val="0"/>
          <w:lang w:eastAsia="bg-BG"/>
        </w:rPr>
        <w:t>ф</w:t>
      </w:r>
      <w:r w:rsidRPr="004B02C0">
        <w:rPr>
          <w:snapToGrid w:val="0"/>
          <w:lang w:eastAsia="bg-BG"/>
        </w:rPr>
        <w:t>акс:</w:t>
      </w:r>
      <w:r w:rsidRPr="004B02C0">
        <w:rPr>
          <w:snapToGrid w:val="0"/>
          <w:lang w:val="sl-SI" w:eastAsia="bg-BG"/>
        </w:rPr>
        <w:t xml:space="preserve"> </w:t>
      </w:r>
      <w:r w:rsidRPr="00465D6B">
        <w:rPr>
          <w:lang w:val="de-DE"/>
        </w:rPr>
        <w:t>+386 1 300 42 91</w:t>
      </w:r>
    </w:p>
    <w:p w14:paraId="17B5EF62" w14:textId="775E3A41" w:rsidR="00EC3D0A" w:rsidRPr="004B02C0" w:rsidRDefault="00EC3D0A" w:rsidP="00EC3D0A">
      <w:pPr>
        <w:spacing w:line="240" w:lineRule="auto"/>
        <w:rPr>
          <w:snapToGrid w:val="0"/>
          <w:lang w:val="de-DE" w:eastAsia="bg-BG"/>
        </w:rPr>
      </w:pPr>
      <w:r>
        <w:rPr>
          <w:snapToGrid w:val="0"/>
          <w:lang w:eastAsia="bg-BG"/>
        </w:rPr>
        <w:t>имейл</w:t>
      </w:r>
      <w:r w:rsidRPr="004B02C0">
        <w:rPr>
          <w:snapToGrid w:val="0"/>
          <w:lang w:eastAsia="bg-BG"/>
        </w:rPr>
        <w:t>:</w:t>
      </w:r>
      <w:r w:rsidRPr="004B02C0">
        <w:rPr>
          <w:snapToGrid w:val="0"/>
          <w:lang w:val="de-DE" w:eastAsia="bg-BG"/>
        </w:rPr>
        <w:t xml:space="preserve"> </w:t>
      </w:r>
      <w:r w:rsidRPr="004B02C0">
        <w:rPr>
          <w:snapToGrid w:val="0"/>
          <w:lang w:eastAsia="bg-BG"/>
        </w:rPr>
        <w:t>info@alkaloid.si</w:t>
      </w:r>
    </w:p>
    <w:p w14:paraId="477B9922" w14:textId="77777777" w:rsidR="002E3519" w:rsidRPr="006D13BB" w:rsidRDefault="002E3519" w:rsidP="002E3519">
      <w:pPr>
        <w:spacing w:line="240" w:lineRule="auto"/>
      </w:pPr>
    </w:p>
    <w:p w14:paraId="6BAE8251" w14:textId="77777777" w:rsidR="002E3519" w:rsidRPr="006D13BB" w:rsidRDefault="002E3519" w:rsidP="002E3519">
      <w:pPr>
        <w:autoSpaceDE w:val="0"/>
        <w:autoSpaceDN w:val="0"/>
        <w:adjustRightInd w:val="0"/>
        <w:spacing w:line="240" w:lineRule="auto"/>
        <w:rPr>
          <w:b/>
          <w:bCs/>
        </w:rPr>
      </w:pPr>
      <w:r>
        <w:rPr>
          <w:b/>
          <w:bCs/>
        </w:rPr>
        <w:t xml:space="preserve">8 </w:t>
      </w:r>
      <w:r>
        <w:rPr>
          <w:b/>
          <w:bCs/>
        </w:rPr>
        <w:tab/>
        <w:t>НОМЕР(А) НА РАЗРЕШЕНИЕТО ЗА УПОТРЕБА</w:t>
      </w:r>
    </w:p>
    <w:p w14:paraId="20CA5CE2" w14:textId="77777777" w:rsidR="002E3519" w:rsidRPr="006D13BB" w:rsidRDefault="002E3519" w:rsidP="002E3519">
      <w:pPr>
        <w:spacing w:line="240" w:lineRule="auto"/>
      </w:pPr>
    </w:p>
    <w:p w14:paraId="1611BDB4" w14:textId="522BCB70" w:rsidR="00D8510D" w:rsidRPr="006150EE" w:rsidRDefault="00D8510D" w:rsidP="00D8510D">
      <w:pPr>
        <w:spacing w:line="240" w:lineRule="auto"/>
        <w:rPr>
          <w:lang w:val="en-US"/>
        </w:rPr>
      </w:pPr>
      <w:r>
        <w:t>Лосморид 50 mg филмирани таблетки</w:t>
      </w:r>
      <w:r>
        <w:rPr>
          <w:lang w:val="en-US"/>
        </w:rPr>
        <w:t xml:space="preserve">       </w:t>
      </w:r>
      <w:r>
        <w:rPr>
          <w:caps/>
          <w:szCs w:val="22"/>
        </w:rPr>
        <w:t>Р</w:t>
      </w:r>
      <w:r>
        <w:rPr>
          <w:szCs w:val="22"/>
        </w:rPr>
        <w:t>ег</w:t>
      </w:r>
      <w:r w:rsidRPr="00827ED3">
        <w:rPr>
          <w:caps/>
          <w:szCs w:val="22"/>
        </w:rPr>
        <w:t>. №</w:t>
      </w:r>
      <w:r>
        <w:rPr>
          <w:caps/>
          <w:szCs w:val="22"/>
          <w:lang w:val="en-US"/>
        </w:rPr>
        <w:t xml:space="preserve"> </w:t>
      </w:r>
      <w:r w:rsidR="0066506C">
        <w:rPr>
          <w:caps/>
          <w:szCs w:val="22"/>
          <w:lang w:val="en-US"/>
        </w:rPr>
        <w:t>20210056</w:t>
      </w:r>
    </w:p>
    <w:p w14:paraId="10A4D559" w14:textId="752871B5" w:rsidR="00D8510D" w:rsidRPr="006150EE" w:rsidRDefault="00D8510D" w:rsidP="00D8510D">
      <w:pPr>
        <w:widowControl w:val="0"/>
        <w:spacing w:line="240" w:lineRule="auto"/>
        <w:rPr>
          <w:lang w:val="en-US"/>
        </w:rPr>
      </w:pPr>
      <w:r>
        <w:t>Лосморид 100 mg филмирани таблетки</w:t>
      </w:r>
      <w:r>
        <w:rPr>
          <w:lang w:val="en-US"/>
        </w:rPr>
        <w:t xml:space="preserve">     </w:t>
      </w:r>
      <w:r>
        <w:rPr>
          <w:caps/>
          <w:szCs w:val="22"/>
        </w:rPr>
        <w:t>Р</w:t>
      </w:r>
      <w:r>
        <w:rPr>
          <w:szCs w:val="22"/>
        </w:rPr>
        <w:t>ег</w:t>
      </w:r>
      <w:r w:rsidRPr="00827ED3">
        <w:rPr>
          <w:caps/>
          <w:szCs w:val="22"/>
        </w:rPr>
        <w:t>. №</w:t>
      </w:r>
      <w:r>
        <w:rPr>
          <w:caps/>
          <w:szCs w:val="22"/>
          <w:lang w:val="en-US"/>
        </w:rPr>
        <w:t xml:space="preserve"> </w:t>
      </w:r>
      <w:r w:rsidR="0066506C">
        <w:rPr>
          <w:caps/>
          <w:szCs w:val="22"/>
          <w:lang w:val="en-US"/>
        </w:rPr>
        <w:t>20210057</w:t>
      </w:r>
    </w:p>
    <w:p w14:paraId="0952C6B5" w14:textId="2B9F2DC8" w:rsidR="00D8510D" w:rsidRPr="006150EE" w:rsidRDefault="00D8510D" w:rsidP="00D8510D">
      <w:pPr>
        <w:widowControl w:val="0"/>
        <w:spacing w:line="240" w:lineRule="auto"/>
        <w:rPr>
          <w:caps/>
          <w:szCs w:val="22"/>
          <w:lang w:val="en-US"/>
        </w:rPr>
      </w:pPr>
      <w:r>
        <w:t>Лосморид 150 mg филмирани таблетки</w:t>
      </w:r>
      <w:r>
        <w:rPr>
          <w:lang w:val="en-US"/>
        </w:rPr>
        <w:t xml:space="preserve">     </w:t>
      </w:r>
      <w:r>
        <w:rPr>
          <w:caps/>
          <w:szCs w:val="22"/>
        </w:rPr>
        <w:t>Р</w:t>
      </w:r>
      <w:r>
        <w:rPr>
          <w:szCs w:val="22"/>
        </w:rPr>
        <w:t>ег</w:t>
      </w:r>
      <w:r w:rsidRPr="00827ED3">
        <w:rPr>
          <w:caps/>
          <w:szCs w:val="22"/>
        </w:rPr>
        <w:t>. №</w:t>
      </w:r>
      <w:r>
        <w:rPr>
          <w:caps/>
          <w:szCs w:val="22"/>
          <w:lang w:val="en-US"/>
        </w:rPr>
        <w:t xml:space="preserve"> </w:t>
      </w:r>
      <w:r w:rsidR="0066506C">
        <w:rPr>
          <w:caps/>
          <w:szCs w:val="22"/>
          <w:lang w:val="en-US"/>
        </w:rPr>
        <w:t>20210058</w:t>
      </w:r>
    </w:p>
    <w:p w14:paraId="280AF303" w14:textId="14AC2368" w:rsidR="00D8510D" w:rsidRPr="006150EE" w:rsidRDefault="00D8510D" w:rsidP="00D8510D">
      <w:pPr>
        <w:widowControl w:val="0"/>
        <w:spacing w:line="240" w:lineRule="auto"/>
        <w:rPr>
          <w:lang w:val="en-US"/>
        </w:rPr>
      </w:pPr>
      <w:r>
        <w:t>Лосморид 200 mg филмирани таблетки</w:t>
      </w:r>
      <w:r>
        <w:rPr>
          <w:lang w:val="en-US"/>
        </w:rPr>
        <w:t xml:space="preserve">     </w:t>
      </w:r>
      <w:r>
        <w:rPr>
          <w:caps/>
          <w:szCs w:val="22"/>
        </w:rPr>
        <w:t>Р</w:t>
      </w:r>
      <w:r>
        <w:rPr>
          <w:szCs w:val="22"/>
        </w:rPr>
        <w:t>ег</w:t>
      </w:r>
      <w:r w:rsidRPr="00827ED3">
        <w:rPr>
          <w:caps/>
          <w:szCs w:val="22"/>
        </w:rPr>
        <w:t>. №</w:t>
      </w:r>
      <w:r>
        <w:rPr>
          <w:caps/>
          <w:szCs w:val="22"/>
          <w:lang w:val="en-US"/>
        </w:rPr>
        <w:t xml:space="preserve"> </w:t>
      </w:r>
      <w:r w:rsidR="0066506C">
        <w:rPr>
          <w:caps/>
          <w:szCs w:val="22"/>
          <w:lang w:val="en-US"/>
        </w:rPr>
        <w:t>20210059</w:t>
      </w:r>
    </w:p>
    <w:p w14:paraId="1F3BAB43" w14:textId="77777777" w:rsidR="00083D1B" w:rsidRPr="006D13BB" w:rsidRDefault="00083D1B" w:rsidP="002E3519">
      <w:pPr>
        <w:spacing w:line="240" w:lineRule="auto"/>
      </w:pPr>
    </w:p>
    <w:p w14:paraId="18451F9C" w14:textId="77777777" w:rsidR="002E3519" w:rsidRPr="006D13BB" w:rsidRDefault="002E3519" w:rsidP="002E3519">
      <w:pPr>
        <w:spacing w:line="240" w:lineRule="auto"/>
        <w:ind w:left="567" w:hanging="567"/>
      </w:pPr>
      <w:r>
        <w:rPr>
          <w:b/>
        </w:rPr>
        <w:t>9.</w:t>
      </w:r>
      <w:r>
        <w:rPr>
          <w:b/>
        </w:rPr>
        <w:tab/>
        <w:t>ДАТА НА ПЪРВО РАЗРЕШАВАНЕ/ПОДНОВЯВАНЕ НА РАЗРЕШЕНИЕТО ЗА УПОТРЕБА</w:t>
      </w:r>
    </w:p>
    <w:p w14:paraId="2EDA6CA7" w14:textId="77777777" w:rsidR="002E3519" w:rsidRPr="006D13BB" w:rsidRDefault="002E3519" w:rsidP="002E3519">
      <w:pPr>
        <w:spacing w:line="240" w:lineRule="auto"/>
        <w:rPr>
          <w:i/>
        </w:rPr>
      </w:pPr>
    </w:p>
    <w:p w14:paraId="0C87195D" w14:textId="69C9C462" w:rsidR="00423A8C" w:rsidRPr="00D8510D" w:rsidRDefault="00423A8C" w:rsidP="00423A8C">
      <w:pPr>
        <w:spacing w:line="240" w:lineRule="auto"/>
      </w:pPr>
      <w:r>
        <w:t xml:space="preserve">Дата на първо разрешаване: </w:t>
      </w:r>
      <w:r w:rsidR="00D8510D">
        <w:rPr>
          <w:lang w:val="en-US"/>
        </w:rPr>
        <w:t>26.02.2021</w:t>
      </w:r>
      <w:r w:rsidR="00D8510D">
        <w:t xml:space="preserve"> г.</w:t>
      </w:r>
    </w:p>
    <w:p w14:paraId="35E4BE55" w14:textId="15F2333D" w:rsidR="002E3519" w:rsidRDefault="00D8510D" w:rsidP="002E3519">
      <w:pPr>
        <w:spacing w:line="240" w:lineRule="auto"/>
      </w:pPr>
      <w:r>
        <w:t>Дата на последно подновяване:</w:t>
      </w:r>
    </w:p>
    <w:p w14:paraId="5CA4E113" w14:textId="77777777" w:rsidR="00083D1B" w:rsidRPr="006D13BB" w:rsidRDefault="00083D1B" w:rsidP="002E3519">
      <w:pPr>
        <w:spacing w:line="240" w:lineRule="auto"/>
      </w:pPr>
    </w:p>
    <w:p w14:paraId="2366898A" w14:textId="77777777" w:rsidR="002E3519" w:rsidRPr="006D13BB" w:rsidRDefault="002E3519" w:rsidP="002E3519">
      <w:pPr>
        <w:spacing w:line="240" w:lineRule="auto"/>
        <w:ind w:left="567" w:hanging="567"/>
        <w:rPr>
          <w:b/>
        </w:rPr>
      </w:pPr>
      <w:r>
        <w:rPr>
          <w:b/>
        </w:rPr>
        <w:t>10.</w:t>
      </w:r>
      <w:r>
        <w:rPr>
          <w:b/>
        </w:rPr>
        <w:tab/>
        <w:t>ДАТА НА АКТУАЛИЗИРАНЕ НА ТЕКСТА</w:t>
      </w:r>
    </w:p>
    <w:p w14:paraId="2FB731A0" w14:textId="77777777" w:rsidR="00423A8C" w:rsidRDefault="00423A8C" w:rsidP="00423A8C">
      <w:pPr>
        <w:spacing w:line="240" w:lineRule="auto"/>
        <w:ind w:left="567" w:hanging="567"/>
        <w:outlineLvl w:val="0"/>
      </w:pPr>
    </w:p>
    <w:p w14:paraId="30F5D749" w14:textId="30623826" w:rsidR="006D116F" w:rsidRDefault="006D116F" w:rsidP="002E3519">
      <w:pPr>
        <w:spacing w:line="240" w:lineRule="auto"/>
        <w:ind w:left="567" w:hanging="567"/>
        <w:outlineLvl w:val="0"/>
      </w:pPr>
    </w:p>
    <w:p w14:paraId="6250EA74" w14:textId="46AD77AA" w:rsidR="00423A8C" w:rsidRPr="001814C2" w:rsidRDefault="001A67A5" w:rsidP="002E3519">
      <w:pPr>
        <w:spacing w:line="240" w:lineRule="auto"/>
        <w:ind w:left="567" w:hanging="567"/>
        <w:outlineLvl w:val="0"/>
        <w:rPr>
          <w:b/>
        </w:rPr>
      </w:pPr>
      <w:r>
        <w:rPr>
          <w:b/>
        </w:rPr>
        <w:t>08</w:t>
      </w:r>
      <w:r w:rsidR="007304A9" w:rsidRPr="007304A9">
        <w:rPr>
          <w:b/>
          <w:lang w:val="en-US"/>
        </w:rPr>
        <w:t>/202</w:t>
      </w:r>
      <w:r>
        <w:rPr>
          <w:b/>
        </w:rPr>
        <w:t>2</w:t>
      </w:r>
      <w:bookmarkStart w:id="0" w:name="_GoBack"/>
      <w:bookmarkEnd w:id="0"/>
    </w:p>
    <w:sectPr w:rsidR="00423A8C" w:rsidRPr="001814C2" w:rsidSect="00B36189">
      <w:footerReference w:type="default" r:id="rId9"/>
      <w:pgSz w:w="12240" w:h="15840"/>
      <w:pgMar w:top="2552"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9C8C7" w14:textId="77777777" w:rsidR="00874E27" w:rsidRDefault="00874E27" w:rsidP="00874E27">
      <w:pPr>
        <w:spacing w:line="240" w:lineRule="auto"/>
      </w:pPr>
      <w:r>
        <w:separator/>
      </w:r>
    </w:p>
  </w:endnote>
  <w:endnote w:type="continuationSeparator" w:id="0">
    <w:p w14:paraId="405EF122" w14:textId="77777777" w:rsidR="00874E27" w:rsidRDefault="00874E27" w:rsidP="00874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937794"/>
      <w:docPartObj>
        <w:docPartGallery w:val="Page Numbers (Bottom of Page)"/>
        <w:docPartUnique/>
      </w:docPartObj>
    </w:sdtPr>
    <w:sdtEndPr>
      <w:rPr>
        <w:noProof/>
      </w:rPr>
    </w:sdtEndPr>
    <w:sdtContent>
      <w:p w14:paraId="5B02310C" w14:textId="47B1E277" w:rsidR="00874E27" w:rsidRDefault="00874E2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6E7E9D2" w14:textId="77777777" w:rsidR="00874E27" w:rsidRDefault="00874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CA3AD" w14:textId="77777777" w:rsidR="00874E27" w:rsidRDefault="00874E27" w:rsidP="00874E27">
      <w:pPr>
        <w:spacing w:line="240" w:lineRule="auto"/>
      </w:pPr>
      <w:r>
        <w:separator/>
      </w:r>
    </w:p>
  </w:footnote>
  <w:footnote w:type="continuationSeparator" w:id="0">
    <w:p w14:paraId="71D68372" w14:textId="77777777" w:rsidR="00874E27" w:rsidRDefault="00874E27" w:rsidP="00874E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15E0F"/>
    <w:multiLevelType w:val="hybridMultilevel"/>
    <w:tmpl w:val="A53679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 w15:restartNumberingAfterBreak="0">
    <w:nsid w:val="2A3B4687"/>
    <w:multiLevelType w:val="hybridMultilevel"/>
    <w:tmpl w:val="CAB05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C247B48"/>
    <w:multiLevelType w:val="hybridMultilevel"/>
    <w:tmpl w:val="C4E04F9C"/>
    <w:lvl w:ilvl="0" w:tplc="C1BCF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CF9590D"/>
    <w:multiLevelType w:val="hybridMultilevel"/>
    <w:tmpl w:val="F4F876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8C258DE"/>
    <w:multiLevelType w:val="hybridMultilevel"/>
    <w:tmpl w:val="96FE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7EA1072"/>
    <w:multiLevelType w:val="hybridMultilevel"/>
    <w:tmpl w:val="21EA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741522"/>
    <w:multiLevelType w:val="hybridMultilevel"/>
    <w:tmpl w:val="5E3E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0"/>
  </w:num>
  <w:num w:numId="3">
    <w:abstractNumId w:val="11"/>
  </w:num>
  <w:num w:numId="4">
    <w:abstractNumId w:val="5"/>
  </w:num>
  <w:num w:numId="5">
    <w:abstractNumId w:val="8"/>
  </w:num>
  <w:num w:numId="6">
    <w:abstractNumId w:val="4"/>
  </w:num>
  <w:num w:numId="7">
    <w:abstractNumId w:val="2"/>
  </w:num>
  <w:num w:numId="8">
    <w:abstractNumId w:val="1"/>
  </w:num>
  <w:num w:numId="9">
    <w:abstractNumId w:val="3"/>
  </w:num>
  <w:num w:numId="10">
    <w:abstractNumId w:val="7"/>
  </w:num>
  <w:num w:numId="11">
    <w:abstractNumId w:val="13"/>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6F"/>
    <w:rsid w:val="00050D35"/>
    <w:rsid w:val="000821A4"/>
    <w:rsid w:val="00083D1B"/>
    <w:rsid w:val="0008762E"/>
    <w:rsid w:val="000C1D42"/>
    <w:rsid w:val="000D321E"/>
    <w:rsid w:val="000E2DA8"/>
    <w:rsid w:val="00104FEC"/>
    <w:rsid w:val="001460BA"/>
    <w:rsid w:val="00161E08"/>
    <w:rsid w:val="001622F3"/>
    <w:rsid w:val="001814C2"/>
    <w:rsid w:val="001A3271"/>
    <w:rsid w:val="001A67A5"/>
    <w:rsid w:val="00213002"/>
    <w:rsid w:val="002E3519"/>
    <w:rsid w:val="00330D6F"/>
    <w:rsid w:val="00355647"/>
    <w:rsid w:val="003D31C3"/>
    <w:rsid w:val="003D38DA"/>
    <w:rsid w:val="003E22DC"/>
    <w:rsid w:val="00406A8B"/>
    <w:rsid w:val="00423A8C"/>
    <w:rsid w:val="00440D4F"/>
    <w:rsid w:val="004C5E34"/>
    <w:rsid w:val="004F3EEB"/>
    <w:rsid w:val="0050116D"/>
    <w:rsid w:val="00541610"/>
    <w:rsid w:val="0055136D"/>
    <w:rsid w:val="0058028A"/>
    <w:rsid w:val="005B184C"/>
    <w:rsid w:val="005F64CB"/>
    <w:rsid w:val="006038C0"/>
    <w:rsid w:val="006150EE"/>
    <w:rsid w:val="0066506C"/>
    <w:rsid w:val="00675C46"/>
    <w:rsid w:val="00696B64"/>
    <w:rsid w:val="006D116F"/>
    <w:rsid w:val="00726E5F"/>
    <w:rsid w:val="007304A9"/>
    <w:rsid w:val="00735EDA"/>
    <w:rsid w:val="00785677"/>
    <w:rsid w:val="007F5DF7"/>
    <w:rsid w:val="008201AE"/>
    <w:rsid w:val="00874014"/>
    <w:rsid w:val="00874E27"/>
    <w:rsid w:val="00882681"/>
    <w:rsid w:val="00962E47"/>
    <w:rsid w:val="00976AF4"/>
    <w:rsid w:val="009E2837"/>
    <w:rsid w:val="009F2307"/>
    <w:rsid w:val="00A035A2"/>
    <w:rsid w:val="00AC614B"/>
    <w:rsid w:val="00AD6E62"/>
    <w:rsid w:val="00AF18CE"/>
    <w:rsid w:val="00B0440C"/>
    <w:rsid w:val="00B36189"/>
    <w:rsid w:val="00B43D35"/>
    <w:rsid w:val="00BF2B2A"/>
    <w:rsid w:val="00BF413B"/>
    <w:rsid w:val="00C70CA7"/>
    <w:rsid w:val="00C720C2"/>
    <w:rsid w:val="00C86B85"/>
    <w:rsid w:val="00CA36E7"/>
    <w:rsid w:val="00D76724"/>
    <w:rsid w:val="00D8510D"/>
    <w:rsid w:val="00E15BE1"/>
    <w:rsid w:val="00EC03E4"/>
    <w:rsid w:val="00EC3D0A"/>
    <w:rsid w:val="00F93F00"/>
    <w:rsid w:val="00FD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D4C3"/>
  <w15:chartTrackingRefBased/>
  <w15:docId w15:val="{49FD0205-0040-472C-A4DE-E4D10410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13B"/>
    <w:pPr>
      <w:tabs>
        <w:tab w:val="left" w:pos="567"/>
      </w:tabs>
      <w:spacing w:after="0" w:line="260" w:lineRule="exact"/>
    </w:pPr>
    <w:rPr>
      <w:rFonts w:ascii="Times New Roman" w:eastAsia="Times New Roman" w:hAnsi="Times New Roman" w:cs="Times New Roman"/>
      <w:szCs w:val="20"/>
    </w:rPr>
  </w:style>
  <w:style w:type="paragraph" w:styleId="Heading1">
    <w:name w:val="heading 1"/>
    <w:basedOn w:val="Normal"/>
    <w:next w:val="Normal"/>
    <w:link w:val="Heading1Char"/>
    <w:qFormat/>
    <w:rsid w:val="006D116F"/>
    <w:pPr>
      <w:spacing w:before="240" w:after="120"/>
      <w:ind w:left="357" w:hanging="357"/>
      <w:outlineLvl w:val="0"/>
    </w:pPr>
    <w:rPr>
      <w:b/>
      <w:caps/>
      <w:sz w:val="26"/>
    </w:rPr>
  </w:style>
  <w:style w:type="paragraph" w:styleId="Heading2">
    <w:name w:val="heading 2"/>
    <w:basedOn w:val="Normal"/>
    <w:next w:val="Normal"/>
    <w:link w:val="Heading2Char"/>
    <w:qFormat/>
    <w:rsid w:val="006D116F"/>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6D116F"/>
    <w:pPr>
      <w:keepNext/>
      <w:keepLines/>
      <w:spacing w:before="120" w:after="80"/>
      <w:outlineLvl w:val="2"/>
    </w:pPr>
    <w:rPr>
      <w:b/>
      <w:kern w:val="28"/>
      <w:sz w:val="24"/>
    </w:rPr>
  </w:style>
  <w:style w:type="paragraph" w:styleId="Heading4">
    <w:name w:val="heading 4"/>
    <w:basedOn w:val="Normal"/>
    <w:next w:val="Normal"/>
    <w:link w:val="Heading4Char"/>
    <w:qFormat/>
    <w:rsid w:val="006D116F"/>
    <w:pPr>
      <w:keepNext/>
      <w:jc w:val="both"/>
      <w:outlineLvl w:val="3"/>
    </w:pPr>
    <w:rPr>
      <w:b/>
      <w:noProof/>
    </w:rPr>
  </w:style>
  <w:style w:type="paragraph" w:styleId="Heading5">
    <w:name w:val="heading 5"/>
    <w:basedOn w:val="Normal"/>
    <w:next w:val="Normal"/>
    <w:link w:val="Heading5Char"/>
    <w:qFormat/>
    <w:rsid w:val="006D116F"/>
    <w:pPr>
      <w:keepNext/>
      <w:jc w:val="both"/>
      <w:outlineLvl w:val="4"/>
    </w:pPr>
    <w:rPr>
      <w:noProof/>
    </w:rPr>
  </w:style>
  <w:style w:type="paragraph" w:styleId="Heading6">
    <w:name w:val="heading 6"/>
    <w:basedOn w:val="Normal"/>
    <w:next w:val="Normal"/>
    <w:link w:val="Heading6Char"/>
    <w:qFormat/>
    <w:rsid w:val="006D116F"/>
    <w:pPr>
      <w:keepNext/>
      <w:tabs>
        <w:tab w:val="left" w:pos="-720"/>
        <w:tab w:val="left" w:pos="4536"/>
      </w:tabs>
      <w:suppressAutoHyphens/>
      <w:outlineLvl w:val="5"/>
    </w:pPr>
    <w:rPr>
      <w:i/>
    </w:rPr>
  </w:style>
  <w:style w:type="paragraph" w:styleId="Heading7">
    <w:name w:val="heading 7"/>
    <w:basedOn w:val="Normal"/>
    <w:next w:val="Normal"/>
    <w:link w:val="Heading7Char"/>
    <w:qFormat/>
    <w:rsid w:val="006D116F"/>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6D116F"/>
    <w:pPr>
      <w:keepNext/>
      <w:ind w:left="567" w:hanging="567"/>
      <w:jc w:val="both"/>
      <w:outlineLvl w:val="7"/>
    </w:pPr>
    <w:rPr>
      <w:b/>
      <w:i/>
    </w:rPr>
  </w:style>
  <w:style w:type="paragraph" w:styleId="Heading9">
    <w:name w:val="heading 9"/>
    <w:basedOn w:val="Normal"/>
    <w:next w:val="Normal"/>
    <w:link w:val="Heading9Char"/>
    <w:qFormat/>
    <w:rsid w:val="006D116F"/>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16F"/>
    <w:rPr>
      <w:rFonts w:ascii="Times New Roman" w:eastAsia="Times New Roman" w:hAnsi="Times New Roman" w:cs="Times New Roman"/>
      <w:b/>
      <w:caps/>
      <w:sz w:val="26"/>
      <w:szCs w:val="20"/>
    </w:rPr>
  </w:style>
  <w:style w:type="character" w:customStyle="1" w:styleId="Heading2Char">
    <w:name w:val="Heading 2 Char"/>
    <w:basedOn w:val="DefaultParagraphFont"/>
    <w:link w:val="Heading2"/>
    <w:rsid w:val="006D116F"/>
    <w:rPr>
      <w:rFonts w:ascii="Helvetica" w:eastAsia="Times New Roman" w:hAnsi="Helvetica" w:cs="Times New Roman"/>
      <w:b/>
      <w:i/>
      <w:sz w:val="24"/>
      <w:szCs w:val="20"/>
      <w:lang w:val="bg-BG"/>
    </w:rPr>
  </w:style>
  <w:style w:type="character" w:customStyle="1" w:styleId="Heading3Char">
    <w:name w:val="Heading 3 Char"/>
    <w:basedOn w:val="DefaultParagraphFont"/>
    <w:link w:val="Heading3"/>
    <w:rsid w:val="006D116F"/>
    <w:rPr>
      <w:rFonts w:ascii="Times New Roman" w:eastAsia="Times New Roman" w:hAnsi="Times New Roman" w:cs="Times New Roman"/>
      <w:b/>
      <w:kern w:val="28"/>
      <w:sz w:val="24"/>
      <w:szCs w:val="20"/>
    </w:rPr>
  </w:style>
  <w:style w:type="character" w:customStyle="1" w:styleId="Heading4Char">
    <w:name w:val="Heading 4 Char"/>
    <w:basedOn w:val="DefaultParagraphFont"/>
    <w:link w:val="Heading4"/>
    <w:rsid w:val="006D116F"/>
    <w:rPr>
      <w:rFonts w:ascii="Times New Roman" w:eastAsia="Times New Roman" w:hAnsi="Times New Roman" w:cs="Times New Roman"/>
      <w:b/>
      <w:noProof/>
      <w:szCs w:val="20"/>
      <w:lang w:val="bg-BG"/>
    </w:rPr>
  </w:style>
  <w:style w:type="character" w:customStyle="1" w:styleId="Heading5Char">
    <w:name w:val="Heading 5 Char"/>
    <w:basedOn w:val="DefaultParagraphFont"/>
    <w:link w:val="Heading5"/>
    <w:rsid w:val="006D116F"/>
    <w:rPr>
      <w:rFonts w:ascii="Times New Roman" w:eastAsia="Times New Roman" w:hAnsi="Times New Roman" w:cs="Times New Roman"/>
      <w:noProof/>
      <w:szCs w:val="20"/>
      <w:lang w:val="bg-BG"/>
    </w:rPr>
  </w:style>
  <w:style w:type="character" w:customStyle="1" w:styleId="Heading6Char">
    <w:name w:val="Heading 6 Char"/>
    <w:basedOn w:val="DefaultParagraphFont"/>
    <w:link w:val="Heading6"/>
    <w:rsid w:val="006D116F"/>
    <w:rPr>
      <w:rFonts w:ascii="Times New Roman" w:eastAsia="Times New Roman" w:hAnsi="Times New Roman" w:cs="Times New Roman"/>
      <w:i/>
      <w:szCs w:val="20"/>
      <w:lang w:val="bg-BG"/>
    </w:rPr>
  </w:style>
  <w:style w:type="character" w:customStyle="1" w:styleId="Heading7Char">
    <w:name w:val="Heading 7 Char"/>
    <w:basedOn w:val="DefaultParagraphFont"/>
    <w:link w:val="Heading7"/>
    <w:rsid w:val="006D116F"/>
    <w:rPr>
      <w:rFonts w:ascii="Times New Roman" w:eastAsia="Times New Roman" w:hAnsi="Times New Roman" w:cs="Times New Roman"/>
      <w:i/>
      <w:szCs w:val="20"/>
      <w:lang w:val="bg-BG"/>
    </w:rPr>
  </w:style>
  <w:style w:type="character" w:customStyle="1" w:styleId="Heading8Char">
    <w:name w:val="Heading 8 Char"/>
    <w:basedOn w:val="DefaultParagraphFont"/>
    <w:link w:val="Heading8"/>
    <w:rsid w:val="006D116F"/>
    <w:rPr>
      <w:rFonts w:ascii="Times New Roman" w:eastAsia="Times New Roman" w:hAnsi="Times New Roman" w:cs="Times New Roman"/>
      <w:b/>
      <w:i/>
      <w:szCs w:val="20"/>
      <w:lang w:val="bg-BG"/>
    </w:rPr>
  </w:style>
  <w:style w:type="character" w:customStyle="1" w:styleId="Heading9Char">
    <w:name w:val="Heading 9 Char"/>
    <w:basedOn w:val="DefaultParagraphFont"/>
    <w:link w:val="Heading9"/>
    <w:rsid w:val="006D116F"/>
    <w:rPr>
      <w:rFonts w:ascii="Times New Roman" w:eastAsia="Times New Roman" w:hAnsi="Times New Roman" w:cs="Times New Roman"/>
      <w:b/>
      <w:i/>
      <w:szCs w:val="20"/>
      <w:lang w:val="bg-BG"/>
    </w:rPr>
  </w:style>
  <w:style w:type="paragraph" w:styleId="Header">
    <w:name w:val="header"/>
    <w:basedOn w:val="Normal"/>
    <w:link w:val="HeaderChar"/>
    <w:uiPriority w:val="99"/>
    <w:rsid w:val="006D116F"/>
    <w:pPr>
      <w:tabs>
        <w:tab w:val="center" w:pos="4153"/>
        <w:tab w:val="right" w:pos="8306"/>
      </w:tabs>
      <w:spacing w:line="240" w:lineRule="auto"/>
    </w:pPr>
    <w:rPr>
      <w:rFonts w:ascii="Helvetica" w:hAnsi="Helvetica"/>
      <w:sz w:val="20"/>
    </w:rPr>
  </w:style>
  <w:style w:type="character" w:customStyle="1" w:styleId="HeaderChar">
    <w:name w:val="Header Char"/>
    <w:basedOn w:val="DefaultParagraphFont"/>
    <w:link w:val="Header"/>
    <w:uiPriority w:val="99"/>
    <w:rsid w:val="006D116F"/>
    <w:rPr>
      <w:rFonts w:ascii="Helvetica" w:eastAsia="Times New Roman" w:hAnsi="Helvetica" w:cs="Times New Roman"/>
      <w:sz w:val="20"/>
      <w:szCs w:val="20"/>
      <w:lang w:val="bg-BG"/>
    </w:rPr>
  </w:style>
  <w:style w:type="paragraph" w:styleId="Footer">
    <w:name w:val="footer"/>
    <w:basedOn w:val="Normal"/>
    <w:link w:val="FooterChar"/>
    <w:uiPriority w:val="99"/>
    <w:rsid w:val="006D116F"/>
    <w:pPr>
      <w:tabs>
        <w:tab w:val="center" w:pos="4536"/>
        <w:tab w:val="center" w:pos="8930"/>
      </w:tabs>
      <w:spacing w:line="240" w:lineRule="auto"/>
    </w:pPr>
    <w:rPr>
      <w:rFonts w:ascii="Helvetica" w:hAnsi="Helvetica"/>
      <w:sz w:val="16"/>
    </w:rPr>
  </w:style>
  <w:style w:type="character" w:customStyle="1" w:styleId="FooterChar">
    <w:name w:val="Footer Char"/>
    <w:basedOn w:val="DefaultParagraphFont"/>
    <w:link w:val="Footer"/>
    <w:uiPriority w:val="99"/>
    <w:rsid w:val="006D116F"/>
    <w:rPr>
      <w:rFonts w:ascii="Helvetica" w:eastAsia="Times New Roman" w:hAnsi="Helvetica" w:cs="Times New Roman"/>
      <w:sz w:val="16"/>
      <w:szCs w:val="20"/>
      <w:lang w:val="bg-BG"/>
    </w:rPr>
  </w:style>
  <w:style w:type="character" w:styleId="PageNumber">
    <w:name w:val="page number"/>
    <w:basedOn w:val="DefaultParagraphFont"/>
    <w:rsid w:val="006D116F"/>
  </w:style>
  <w:style w:type="paragraph" w:styleId="BodyTextIndent">
    <w:name w:val="Body Text Indent"/>
    <w:basedOn w:val="Normal"/>
    <w:link w:val="BodyTextIndentChar"/>
    <w:rsid w:val="006D116F"/>
    <w:pPr>
      <w:tabs>
        <w:tab w:val="clear" w:pos="567"/>
      </w:tabs>
      <w:autoSpaceDE w:val="0"/>
      <w:autoSpaceDN w:val="0"/>
      <w:adjustRightInd w:val="0"/>
      <w:spacing w:line="240" w:lineRule="auto"/>
      <w:ind w:left="720"/>
      <w:jc w:val="both"/>
    </w:pPr>
    <w:rPr>
      <w:szCs w:val="22"/>
      <w:lang w:eastAsia="en-GB"/>
    </w:rPr>
  </w:style>
  <w:style w:type="character" w:customStyle="1" w:styleId="BodyTextIndentChar">
    <w:name w:val="Body Text Indent Char"/>
    <w:basedOn w:val="DefaultParagraphFont"/>
    <w:link w:val="BodyTextIndent"/>
    <w:rsid w:val="006D116F"/>
    <w:rPr>
      <w:rFonts w:ascii="Times New Roman" w:eastAsia="Times New Roman" w:hAnsi="Times New Roman" w:cs="Times New Roman"/>
      <w:lang w:val="bg-BG" w:eastAsia="en-GB"/>
    </w:rPr>
  </w:style>
  <w:style w:type="paragraph" w:styleId="BodyText3">
    <w:name w:val="Body Text 3"/>
    <w:basedOn w:val="Normal"/>
    <w:link w:val="BodyText3Char"/>
    <w:rsid w:val="006D116F"/>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basedOn w:val="DefaultParagraphFont"/>
    <w:link w:val="BodyText3"/>
    <w:rsid w:val="006D116F"/>
    <w:rPr>
      <w:rFonts w:ascii="Times New Roman" w:eastAsia="Times New Roman" w:hAnsi="Times New Roman" w:cs="Times New Roman"/>
      <w:color w:val="0000FF"/>
      <w:lang w:val="bg-BG" w:eastAsia="en-GB"/>
    </w:rPr>
  </w:style>
  <w:style w:type="paragraph" w:styleId="BodyTextIndent2">
    <w:name w:val="Body Text Indent 2"/>
    <w:basedOn w:val="Normal"/>
    <w:link w:val="BodyTextIndent2Char"/>
    <w:rsid w:val="006D116F"/>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basedOn w:val="DefaultParagraphFont"/>
    <w:link w:val="BodyTextIndent2"/>
    <w:rsid w:val="006D116F"/>
    <w:rPr>
      <w:rFonts w:ascii="Times New Roman" w:eastAsia="Times New Roman" w:hAnsi="Times New Roman" w:cs="Times New Roman"/>
      <w:b/>
      <w:bCs/>
      <w:color w:val="0000FF"/>
      <w:lang w:val="bg-BG"/>
    </w:rPr>
  </w:style>
  <w:style w:type="paragraph" w:styleId="BodyText">
    <w:name w:val="Body Text"/>
    <w:basedOn w:val="Normal"/>
    <w:link w:val="BodyTextChar"/>
    <w:rsid w:val="006D116F"/>
    <w:pPr>
      <w:tabs>
        <w:tab w:val="clear" w:pos="567"/>
      </w:tabs>
      <w:spacing w:line="240" w:lineRule="auto"/>
    </w:pPr>
    <w:rPr>
      <w:i/>
      <w:color w:val="008000"/>
    </w:rPr>
  </w:style>
  <w:style w:type="character" w:customStyle="1" w:styleId="BodyTextChar">
    <w:name w:val="Body Text Char"/>
    <w:basedOn w:val="DefaultParagraphFont"/>
    <w:link w:val="BodyText"/>
    <w:rsid w:val="006D116F"/>
    <w:rPr>
      <w:rFonts w:ascii="Times New Roman" w:eastAsia="Times New Roman" w:hAnsi="Times New Roman" w:cs="Times New Roman"/>
      <w:i/>
      <w:color w:val="008000"/>
      <w:szCs w:val="20"/>
      <w:lang w:val="bg-BG"/>
    </w:rPr>
  </w:style>
  <w:style w:type="paragraph" w:styleId="BodyText2">
    <w:name w:val="Body Text 2"/>
    <w:basedOn w:val="Normal"/>
    <w:link w:val="BodyText2Char"/>
    <w:rsid w:val="006D116F"/>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basedOn w:val="DefaultParagraphFont"/>
    <w:link w:val="BodyText2"/>
    <w:rsid w:val="006D116F"/>
    <w:rPr>
      <w:rFonts w:ascii="Times New Roman" w:eastAsia="Times New Roman" w:hAnsi="Times New Roman" w:cs="Times New Roman"/>
      <w:b/>
      <w:bCs/>
      <w:color w:val="0000FF"/>
      <w:u w:val="single"/>
      <w:lang w:val="bg-BG"/>
    </w:rPr>
  </w:style>
  <w:style w:type="character" w:styleId="CommentReference">
    <w:name w:val="annotation reference"/>
    <w:semiHidden/>
    <w:rsid w:val="006D116F"/>
    <w:rPr>
      <w:sz w:val="16"/>
      <w:szCs w:val="16"/>
    </w:rPr>
  </w:style>
  <w:style w:type="paragraph" w:styleId="CommentText">
    <w:name w:val="annotation text"/>
    <w:basedOn w:val="Normal"/>
    <w:link w:val="CommentTextChar"/>
    <w:semiHidden/>
    <w:rsid w:val="006D116F"/>
    <w:rPr>
      <w:sz w:val="20"/>
    </w:rPr>
  </w:style>
  <w:style w:type="character" w:customStyle="1" w:styleId="CommentTextChar">
    <w:name w:val="Comment Text Char"/>
    <w:basedOn w:val="DefaultParagraphFont"/>
    <w:link w:val="CommentText"/>
    <w:semiHidden/>
    <w:rsid w:val="006D116F"/>
    <w:rPr>
      <w:rFonts w:ascii="Times New Roman" w:eastAsia="Times New Roman" w:hAnsi="Times New Roman" w:cs="Times New Roman"/>
      <w:sz w:val="20"/>
      <w:szCs w:val="20"/>
      <w:lang w:val="bg-BG"/>
    </w:rPr>
  </w:style>
  <w:style w:type="paragraph" w:customStyle="1" w:styleId="EMEAEnBodyText">
    <w:name w:val="EMEA En Body Text"/>
    <w:basedOn w:val="Normal"/>
    <w:rsid w:val="006D116F"/>
    <w:pPr>
      <w:tabs>
        <w:tab w:val="clear" w:pos="567"/>
      </w:tabs>
      <w:spacing w:before="120" w:after="120" w:line="240" w:lineRule="auto"/>
      <w:jc w:val="both"/>
    </w:pPr>
  </w:style>
  <w:style w:type="paragraph" w:styleId="DocumentMap">
    <w:name w:val="Document Map"/>
    <w:basedOn w:val="Normal"/>
    <w:link w:val="DocumentMapChar"/>
    <w:semiHidden/>
    <w:rsid w:val="006D116F"/>
    <w:pPr>
      <w:shd w:val="clear" w:color="auto" w:fill="000080"/>
    </w:pPr>
    <w:rPr>
      <w:rFonts w:ascii="Tahoma" w:hAnsi="Tahoma" w:cs="Tahoma"/>
    </w:rPr>
  </w:style>
  <w:style w:type="character" w:customStyle="1" w:styleId="DocumentMapChar">
    <w:name w:val="Document Map Char"/>
    <w:basedOn w:val="DefaultParagraphFont"/>
    <w:link w:val="DocumentMap"/>
    <w:semiHidden/>
    <w:rsid w:val="006D116F"/>
    <w:rPr>
      <w:rFonts w:ascii="Tahoma" w:eastAsia="Times New Roman" w:hAnsi="Tahoma" w:cs="Tahoma"/>
      <w:szCs w:val="20"/>
      <w:shd w:val="clear" w:color="auto" w:fill="000080"/>
      <w:lang w:val="bg-BG"/>
    </w:rPr>
  </w:style>
  <w:style w:type="character" w:styleId="Hyperlink">
    <w:name w:val="Hyperlink"/>
    <w:rsid w:val="006D116F"/>
    <w:rPr>
      <w:color w:val="0000FF"/>
      <w:u w:val="single"/>
    </w:rPr>
  </w:style>
  <w:style w:type="paragraph" w:customStyle="1" w:styleId="AHeader1">
    <w:name w:val="AHeader 1"/>
    <w:basedOn w:val="Normal"/>
    <w:rsid w:val="006D116F"/>
    <w:pPr>
      <w:numPr>
        <w:numId w:val="7"/>
      </w:numPr>
      <w:tabs>
        <w:tab w:val="clear" w:pos="567"/>
      </w:tabs>
      <w:spacing w:after="120" w:line="240" w:lineRule="auto"/>
    </w:pPr>
    <w:rPr>
      <w:rFonts w:ascii="Arial" w:hAnsi="Arial" w:cs="Arial"/>
      <w:b/>
      <w:bCs/>
      <w:sz w:val="24"/>
    </w:rPr>
  </w:style>
  <w:style w:type="paragraph" w:customStyle="1" w:styleId="AHeader2">
    <w:name w:val="AHeader 2"/>
    <w:basedOn w:val="AHeader1"/>
    <w:rsid w:val="006D116F"/>
    <w:pPr>
      <w:numPr>
        <w:ilvl w:val="1"/>
      </w:numPr>
      <w:tabs>
        <w:tab w:val="clear" w:pos="709"/>
        <w:tab w:val="num" w:pos="360"/>
      </w:tabs>
    </w:pPr>
    <w:rPr>
      <w:sz w:val="22"/>
    </w:rPr>
  </w:style>
  <w:style w:type="paragraph" w:customStyle="1" w:styleId="AHeader3">
    <w:name w:val="AHeader 3"/>
    <w:basedOn w:val="AHeader2"/>
    <w:rsid w:val="006D116F"/>
    <w:pPr>
      <w:numPr>
        <w:ilvl w:val="2"/>
      </w:numPr>
      <w:tabs>
        <w:tab w:val="clear" w:pos="1276"/>
        <w:tab w:val="num" w:pos="360"/>
      </w:tabs>
    </w:pPr>
  </w:style>
  <w:style w:type="paragraph" w:customStyle="1" w:styleId="AHeader2abc">
    <w:name w:val="AHeader 2 abc"/>
    <w:basedOn w:val="AHeader3"/>
    <w:rsid w:val="006D116F"/>
    <w:pPr>
      <w:numPr>
        <w:ilvl w:val="3"/>
      </w:numPr>
      <w:tabs>
        <w:tab w:val="clear" w:pos="1276"/>
        <w:tab w:val="num" w:pos="360"/>
      </w:tabs>
      <w:jc w:val="both"/>
    </w:pPr>
    <w:rPr>
      <w:b w:val="0"/>
      <w:bCs w:val="0"/>
    </w:rPr>
  </w:style>
  <w:style w:type="paragraph" w:customStyle="1" w:styleId="AHeader3abc">
    <w:name w:val="AHeader 3 abc"/>
    <w:basedOn w:val="AHeader2abc"/>
    <w:rsid w:val="006D116F"/>
    <w:pPr>
      <w:numPr>
        <w:ilvl w:val="4"/>
      </w:numPr>
      <w:tabs>
        <w:tab w:val="clear" w:pos="1701"/>
        <w:tab w:val="num" w:pos="360"/>
      </w:tabs>
    </w:pPr>
  </w:style>
  <w:style w:type="paragraph" w:styleId="BodyTextIndent3">
    <w:name w:val="Body Text Indent 3"/>
    <w:basedOn w:val="Normal"/>
    <w:link w:val="BodyTextIndent3Char"/>
    <w:rsid w:val="006D116F"/>
    <w:pPr>
      <w:tabs>
        <w:tab w:val="left" w:pos="1134"/>
      </w:tabs>
      <w:autoSpaceDE w:val="0"/>
      <w:autoSpaceDN w:val="0"/>
      <w:adjustRightInd w:val="0"/>
      <w:ind w:left="633"/>
      <w:jc w:val="both"/>
    </w:pPr>
    <w:rPr>
      <w:szCs w:val="21"/>
    </w:rPr>
  </w:style>
  <w:style w:type="character" w:customStyle="1" w:styleId="BodyTextIndent3Char">
    <w:name w:val="Body Text Indent 3 Char"/>
    <w:basedOn w:val="DefaultParagraphFont"/>
    <w:link w:val="BodyTextIndent3"/>
    <w:rsid w:val="006D116F"/>
    <w:rPr>
      <w:rFonts w:ascii="Times New Roman" w:eastAsia="Times New Roman" w:hAnsi="Times New Roman" w:cs="Times New Roman"/>
      <w:szCs w:val="21"/>
      <w:lang w:val="bg-BG"/>
    </w:rPr>
  </w:style>
  <w:style w:type="character" w:styleId="FollowedHyperlink">
    <w:name w:val="FollowedHyperlink"/>
    <w:rsid w:val="006D116F"/>
    <w:rPr>
      <w:color w:val="800080"/>
      <w:u w:val="single"/>
    </w:rPr>
  </w:style>
  <w:style w:type="paragraph" w:customStyle="1" w:styleId="Default">
    <w:name w:val="Default"/>
    <w:rsid w:val="006D116F"/>
    <w:pPr>
      <w:autoSpaceDE w:val="0"/>
      <w:autoSpaceDN w:val="0"/>
      <w:adjustRightInd w:val="0"/>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semiHidden/>
    <w:rsid w:val="006D116F"/>
    <w:rPr>
      <w:rFonts w:ascii="Tahoma" w:hAnsi="Tahoma" w:cs="Tahoma"/>
      <w:sz w:val="16"/>
      <w:szCs w:val="16"/>
    </w:rPr>
  </w:style>
  <w:style w:type="character" w:customStyle="1" w:styleId="BalloonTextChar">
    <w:name w:val="Balloon Text Char"/>
    <w:basedOn w:val="DefaultParagraphFont"/>
    <w:link w:val="BalloonText"/>
    <w:semiHidden/>
    <w:rsid w:val="006D116F"/>
    <w:rPr>
      <w:rFonts w:ascii="Tahoma" w:eastAsia="Times New Roman" w:hAnsi="Tahoma" w:cs="Tahoma"/>
      <w:sz w:val="16"/>
      <w:szCs w:val="16"/>
      <w:lang w:val="bg-BG"/>
    </w:rPr>
  </w:style>
  <w:style w:type="paragraph" w:styleId="CommentSubject">
    <w:name w:val="annotation subject"/>
    <w:basedOn w:val="CommentText"/>
    <w:next w:val="CommentText"/>
    <w:link w:val="CommentSubjectChar"/>
    <w:semiHidden/>
    <w:rsid w:val="006D116F"/>
    <w:rPr>
      <w:b/>
      <w:bCs/>
    </w:rPr>
  </w:style>
  <w:style w:type="character" w:customStyle="1" w:styleId="CommentSubjectChar">
    <w:name w:val="Comment Subject Char"/>
    <w:basedOn w:val="CommentTextChar"/>
    <w:link w:val="CommentSubject"/>
    <w:semiHidden/>
    <w:rsid w:val="006D116F"/>
    <w:rPr>
      <w:rFonts w:ascii="Times New Roman" w:eastAsia="Times New Roman" w:hAnsi="Times New Roman" w:cs="Times New Roman"/>
      <w:b/>
      <w:bCs/>
      <w:sz w:val="20"/>
      <w:szCs w:val="20"/>
      <w:lang w:val="bg-BG"/>
    </w:rPr>
  </w:style>
  <w:style w:type="paragraph" w:customStyle="1" w:styleId="BodytextAgency">
    <w:name w:val="Body text (Agency)"/>
    <w:basedOn w:val="Normal"/>
    <w:link w:val="BodytextAgencyChar"/>
    <w:rsid w:val="006D116F"/>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6D116F"/>
    <w:rPr>
      <w:rFonts w:ascii="Verdana" w:eastAsia="Verdana" w:hAnsi="Verdana" w:cs="Verdana"/>
      <w:sz w:val="18"/>
      <w:szCs w:val="18"/>
      <w:lang w:val="bg-BG" w:eastAsia="en-GB"/>
    </w:rPr>
  </w:style>
  <w:style w:type="table" w:styleId="TableGrid">
    <w:name w:val="Table Grid"/>
    <w:basedOn w:val="TableNormal"/>
    <w:rsid w:val="006D11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D116F"/>
  </w:style>
  <w:style w:type="numbering" w:customStyle="1" w:styleId="NoList2">
    <w:name w:val="No List2"/>
    <w:next w:val="NoList"/>
    <w:uiPriority w:val="99"/>
    <w:semiHidden/>
    <w:unhideWhenUsed/>
    <w:rsid w:val="006D116F"/>
  </w:style>
  <w:style w:type="numbering" w:customStyle="1" w:styleId="NoList3">
    <w:name w:val="No List3"/>
    <w:next w:val="NoList"/>
    <w:uiPriority w:val="99"/>
    <w:semiHidden/>
    <w:unhideWhenUsed/>
    <w:rsid w:val="006D116F"/>
  </w:style>
  <w:style w:type="numbering" w:customStyle="1" w:styleId="NoList4">
    <w:name w:val="No List4"/>
    <w:next w:val="NoList"/>
    <w:uiPriority w:val="99"/>
    <w:semiHidden/>
    <w:unhideWhenUsed/>
    <w:rsid w:val="006D116F"/>
  </w:style>
  <w:style w:type="numbering" w:customStyle="1" w:styleId="NoList5">
    <w:name w:val="No List5"/>
    <w:next w:val="NoList"/>
    <w:uiPriority w:val="99"/>
    <w:semiHidden/>
    <w:unhideWhenUsed/>
    <w:rsid w:val="006D116F"/>
  </w:style>
  <w:style w:type="paragraph" w:styleId="ListParagraph">
    <w:name w:val="List Paragraph"/>
    <w:basedOn w:val="Normal"/>
    <w:uiPriority w:val="34"/>
    <w:qFormat/>
    <w:rsid w:val="00C86B85"/>
    <w:pPr>
      <w:ind w:left="720"/>
      <w:contextualSpacing/>
    </w:pPr>
  </w:style>
  <w:style w:type="table" w:customStyle="1" w:styleId="TableGrid1">
    <w:name w:val="Table Grid1"/>
    <w:basedOn w:val="TableNormal"/>
    <w:next w:val="TableGrid"/>
    <w:uiPriority w:val="39"/>
    <w:rsid w:val="003556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a.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E921EC-83FB-4724-AC6C-F71792AF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22</Pages>
  <Words>7950</Words>
  <Characters>45316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Brankica BC. Chavdarova</dc:creator>
  <cp:keywords/>
  <dc:description/>
  <cp:lastModifiedBy>Petja Pencheva</cp:lastModifiedBy>
  <cp:revision>31</cp:revision>
  <cp:lastPrinted>2022-08-15T10:51:00Z</cp:lastPrinted>
  <dcterms:created xsi:type="dcterms:W3CDTF">2020-10-14T07:59:00Z</dcterms:created>
  <dcterms:modified xsi:type="dcterms:W3CDTF">2022-08-15T10:52:00Z</dcterms:modified>
</cp:coreProperties>
</file>