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C385C" w14:textId="2D12B241" w:rsidR="004762C7" w:rsidRDefault="002A34DE" w:rsidP="002A34DE">
      <w:pPr>
        <w:ind w:right="8"/>
        <w:jc w:val="center"/>
        <w:rPr>
          <w:rFonts w:eastAsia="Times New Roman"/>
          <w:b/>
          <w:bCs/>
          <w:lang w:val="bg-BG"/>
        </w:rPr>
      </w:pPr>
      <w:r>
        <w:rPr>
          <w:rFonts w:eastAsia="Times New Roman"/>
          <w:b/>
          <w:bCs/>
          <w:lang w:val="bg-BG"/>
        </w:rPr>
        <w:t>КРАТКА ХАРАКТЕРИСТИКА НА ПРОДУКТА</w:t>
      </w:r>
    </w:p>
    <w:p w14:paraId="414D3637" w14:textId="77777777" w:rsidR="002A34DE" w:rsidRPr="00566CE6" w:rsidRDefault="002A34DE" w:rsidP="002A34DE">
      <w:pPr>
        <w:ind w:right="8"/>
        <w:jc w:val="center"/>
      </w:pPr>
    </w:p>
    <w:p w14:paraId="3B3AC71D" w14:textId="77777777" w:rsidR="00566CE6" w:rsidRPr="00566CE6" w:rsidRDefault="00566CE6" w:rsidP="004B3035"/>
    <w:p w14:paraId="58F56506" w14:textId="1034A7EC" w:rsidR="004762C7" w:rsidRPr="00566CE6" w:rsidRDefault="002A34DE">
      <w:pPr>
        <w:numPr>
          <w:ilvl w:val="0"/>
          <w:numId w:val="1"/>
        </w:numPr>
        <w:tabs>
          <w:tab w:val="left" w:pos="562"/>
        </w:tabs>
        <w:ind w:left="562" w:hanging="562"/>
        <w:rPr>
          <w:rFonts w:eastAsia="Times New Roman"/>
          <w:b/>
          <w:bCs/>
        </w:rPr>
      </w:pPr>
      <w:r>
        <w:rPr>
          <w:rFonts w:eastAsia="Times New Roman"/>
          <w:b/>
          <w:bCs/>
        </w:rPr>
        <w:t>ИМЕ НА ЛЕКАРСТВЕНИЯ ПРОДУКТ</w:t>
      </w:r>
    </w:p>
    <w:p w14:paraId="59317E94" w14:textId="77777777" w:rsidR="004762C7" w:rsidRPr="00566CE6" w:rsidRDefault="004762C7" w:rsidP="004B3035"/>
    <w:p w14:paraId="413FFC4B" w14:textId="7F6C2A58" w:rsidR="002A34DE" w:rsidRPr="002A34DE" w:rsidRDefault="00222A60">
      <w:pPr>
        <w:ind w:left="2"/>
        <w:rPr>
          <w:rFonts w:eastAsia="Times New Roman"/>
          <w:lang w:val="bg-BG"/>
        </w:rPr>
      </w:pPr>
      <w:r>
        <w:rPr>
          <w:rFonts w:eastAsia="Times New Roman"/>
          <w:lang w:val="bg-BG"/>
        </w:rPr>
        <w:t>Руфиксало 15</w:t>
      </w:r>
      <w:r w:rsidR="002A34DE">
        <w:rPr>
          <w:rFonts w:eastAsia="Times New Roman"/>
          <w:lang w:val="bg-BG"/>
        </w:rPr>
        <w:t xml:space="preserve"> </w:t>
      </w:r>
      <w:r w:rsidR="002A34DE">
        <w:rPr>
          <w:rFonts w:eastAsia="Times New Roman"/>
        </w:rPr>
        <w:t xml:space="preserve">mg </w:t>
      </w:r>
      <w:r w:rsidR="002A34DE">
        <w:rPr>
          <w:rFonts w:eastAsia="Times New Roman"/>
          <w:lang w:val="bg-BG"/>
        </w:rPr>
        <w:t>фимлирани таблетки</w:t>
      </w:r>
    </w:p>
    <w:p w14:paraId="5AD1E714" w14:textId="6C4AE9F3" w:rsidR="004762C7" w:rsidRPr="00566CE6" w:rsidRDefault="002A34DE">
      <w:pPr>
        <w:ind w:left="2"/>
      </w:pPr>
      <w:r>
        <w:rPr>
          <w:rFonts w:eastAsia="Times New Roman"/>
        </w:rPr>
        <w:t>Rufixalo</w:t>
      </w:r>
      <w:r w:rsidR="00222A60">
        <w:rPr>
          <w:rFonts w:eastAsia="Times New Roman"/>
        </w:rPr>
        <w:t xml:space="preserve"> 15</w:t>
      </w:r>
      <w:r w:rsidR="00030E48" w:rsidRPr="00566CE6">
        <w:rPr>
          <w:rFonts w:eastAsia="Times New Roman"/>
        </w:rPr>
        <w:t xml:space="preserve"> mg film-coated tablets</w:t>
      </w:r>
    </w:p>
    <w:p w14:paraId="7874FFF5" w14:textId="4D05B414" w:rsidR="00222A60" w:rsidRPr="002A34DE" w:rsidRDefault="00222A60" w:rsidP="00B7076E">
      <w:pPr>
        <w:shd w:val="clear" w:color="auto" w:fill="D9D9D9" w:themeFill="background1" w:themeFillShade="D9"/>
        <w:ind w:left="2"/>
        <w:rPr>
          <w:rFonts w:eastAsia="Times New Roman"/>
          <w:lang w:val="bg-BG"/>
        </w:rPr>
      </w:pPr>
      <w:r>
        <w:rPr>
          <w:rFonts w:eastAsia="Times New Roman"/>
          <w:lang w:val="bg-BG"/>
        </w:rPr>
        <w:t xml:space="preserve">Руфиксало 20 </w:t>
      </w:r>
      <w:r>
        <w:rPr>
          <w:rFonts w:eastAsia="Times New Roman"/>
        </w:rPr>
        <w:t xml:space="preserve">mg </w:t>
      </w:r>
      <w:r>
        <w:rPr>
          <w:rFonts w:eastAsia="Times New Roman"/>
          <w:lang w:val="bg-BG"/>
        </w:rPr>
        <w:t>фимлирани таблетки</w:t>
      </w:r>
    </w:p>
    <w:p w14:paraId="419AD903" w14:textId="0DD6F493" w:rsidR="004762C7" w:rsidRPr="00566CE6" w:rsidRDefault="00222A60" w:rsidP="00B7076E">
      <w:pPr>
        <w:shd w:val="clear" w:color="auto" w:fill="D9D9D9" w:themeFill="background1" w:themeFillShade="D9"/>
      </w:pPr>
      <w:r>
        <w:rPr>
          <w:rFonts w:eastAsia="Times New Roman"/>
        </w:rPr>
        <w:t>Rufixalo 20</w:t>
      </w:r>
      <w:r w:rsidRPr="00566CE6">
        <w:rPr>
          <w:rFonts w:eastAsia="Times New Roman"/>
        </w:rPr>
        <w:t xml:space="preserve"> mg film-coated tablets</w:t>
      </w:r>
    </w:p>
    <w:p w14:paraId="6C840D65" w14:textId="77777777" w:rsidR="004762C7" w:rsidRPr="00566CE6" w:rsidRDefault="004762C7" w:rsidP="004B3035"/>
    <w:p w14:paraId="2102DC92" w14:textId="423788D1" w:rsidR="004762C7" w:rsidRPr="004A5F12" w:rsidRDefault="002A34DE" w:rsidP="002A34DE">
      <w:pPr>
        <w:numPr>
          <w:ilvl w:val="0"/>
          <w:numId w:val="2"/>
        </w:numPr>
        <w:tabs>
          <w:tab w:val="left" w:pos="562"/>
        </w:tabs>
        <w:ind w:left="562" w:hanging="562"/>
        <w:rPr>
          <w:rFonts w:eastAsia="Times New Roman"/>
          <w:b/>
          <w:bCs/>
        </w:rPr>
      </w:pPr>
      <w:r w:rsidRPr="002A34DE">
        <w:rPr>
          <w:rFonts w:eastAsia="Times New Roman"/>
          <w:b/>
          <w:bCs/>
        </w:rPr>
        <w:t>КАЧЕСТВЕН И КОЛИЧЕСТВЕН СЪСТАВ</w:t>
      </w:r>
    </w:p>
    <w:p w14:paraId="596B60D1" w14:textId="77777777" w:rsidR="00222A60" w:rsidRDefault="00222A60" w:rsidP="00222A60">
      <w:pPr>
        <w:rPr>
          <w:rFonts w:eastAsia="Times New Roman"/>
          <w:lang w:val="bg-BG"/>
        </w:rPr>
      </w:pPr>
    </w:p>
    <w:p w14:paraId="4465D5E2" w14:textId="5AFBC9DE" w:rsidR="00222A60" w:rsidRPr="00B7076E" w:rsidRDefault="00222A60" w:rsidP="00B7076E">
      <w:pPr>
        <w:shd w:val="clear" w:color="auto" w:fill="D9D9D9" w:themeFill="background1" w:themeFillShade="D9"/>
      </w:pPr>
      <w:r w:rsidRPr="00222A60">
        <w:rPr>
          <w:rFonts w:eastAsia="Times New Roman"/>
          <w:i/>
          <w:lang w:val="bg-BG"/>
        </w:rPr>
        <w:t xml:space="preserve">Руфиксало 15 </w:t>
      </w:r>
      <w:r w:rsidRPr="00222A60">
        <w:rPr>
          <w:rFonts w:eastAsia="Times New Roman"/>
          <w:i/>
        </w:rPr>
        <w:t xml:space="preserve">mg </w:t>
      </w:r>
      <w:r w:rsidRPr="00222A60">
        <w:rPr>
          <w:rFonts w:eastAsia="Times New Roman"/>
          <w:i/>
          <w:lang w:val="bg-BG"/>
        </w:rPr>
        <w:t>фимлирани таблетки</w:t>
      </w:r>
      <w:r w:rsidR="00543E7E">
        <w:rPr>
          <w:rFonts w:eastAsia="Times New Roman"/>
          <w:i/>
          <w:lang w:val="bg-BG"/>
        </w:rPr>
        <w:t>:</w:t>
      </w:r>
    </w:p>
    <w:p w14:paraId="412B1F6F" w14:textId="2B3D46C5" w:rsidR="002A34DE" w:rsidRPr="002A34DE" w:rsidRDefault="002A34DE" w:rsidP="002A34DE">
      <w:pPr>
        <w:rPr>
          <w:rFonts w:eastAsia="Times New Roman"/>
        </w:rPr>
      </w:pPr>
      <w:r w:rsidRPr="002A34DE">
        <w:rPr>
          <w:rFonts w:eastAsia="Times New Roman"/>
        </w:rPr>
        <w:t>Всяк</w:t>
      </w:r>
      <w:r w:rsidR="00222A60">
        <w:rPr>
          <w:rFonts w:eastAsia="Times New Roman"/>
        </w:rPr>
        <w:t>а филмирана таблетка съдържа 15</w:t>
      </w:r>
      <w:r w:rsidRPr="002A34DE">
        <w:rPr>
          <w:rFonts w:eastAsia="Times New Roman"/>
        </w:rPr>
        <w:t xml:space="preserve"> mg ривароксабан (rivaroxaban).</w:t>
      </w:r>
    </w:p>
    <w:p w14:paraId="4AB4B6D3" w14:textId="77777777" w:rsidR="002A34DE" w:rsidRDefault="002A34DE" w:rsidP="002A34DE">
      <w:pPr>
        <w:rPr>
          <w:rFonts w:eastAsia="Times New Roman"/>
          <w:u w:val="single"/>
        </w:rPr>
      </w:pPr>
    </w:p>
    <w:p w14:paraId="2E61B8B9" w14:textId="0245CC21" w:rsidR="002A34DE" w:rsidRPr="002A34DE" w:rsidRDefault="002A34DE" w:rsidP="002A34DE">
      <w:pPr>
        <w:rPr>
          <w:rFonts w:eastAsia="Times New Roman"/>
          <w:u w:val="single"/>
        </w:rPr>
      </w:pPr>
      <w:r w:rsidRPr="002A34DE">
        <w:rPr>
          <w:rFonts w:eastAsia="Times New Roman"/>
          <w:u w:val="single"/>
        </w:rPr>
        <w:t>Помощнo веществo с известно действие</w:t>
      </w:r>
    </w:p>
    <w:p w14:paraId="75F84B0C" w14:textId="7651FF6E" w:rsidR="002A34DE" w:rsidRPr="002A34DE" w:rsidRDefault="002A34DE" w:rsidP="002A34DE">
      <w:pPr>
        <w:rPr>
          <w:rFonts w:eastAsia="Times New Roman"/>
        </w:rPr>
      </w:pPr>
      <w:r w:rsidRPr="002A34DE">
        <w:rPr>
          <w:rFonts w:eastAsia="Times New Roman"/>
        </w:rPr>
        <w:t xml:space="preserve">Всяка </w:t>
      </w:r>
      <w:r w:rsidR="002D5F40">
        <w:rPr>
          <w:rFonts w:eastAsia="Times New Roman"/>
        </w:rPr>
        <w:t>филмирана таблетка съдържа 21,75</w:t>
      </w:r>
      <w:r w:rsidR="00C57677">
        <w:rPr>
          <w:rFonts w:eastAsia="Times New Roman"/>
        </w:rPr>
        <w:t xml:space="preserve"> mg лактоза</w:t>
      </w:r>
      <w:r w:rsidRPr="002A34DE">
        <w:rPr>
          <w:rFonts w:eastAsia="Times New Roman"/>
        </w:rPr>
        <w:t>, вижте точка 4.4.</w:t>
      </w:r>
    </w:p>
    <w:p w14:paraId="7335FC71" w14:textId="0708100D" w:rsidR="002A34DE" w:rsidRDefault="002A34DE" w:rsidP="002A34DE">
      <w:pPr>
        <w:rPr>
          <w:rFonts w:eastAsia="Times New Roman"/>
        </w:rPr>
      </w:pPr>
    </w:p>
    <w:p w14:paraId="3BAE33E2" w14:textId="72A7C584" w:rsidR="002D5F40" w:rsidRPr="00222A60" w:rsidRDefault="002D5F40" w:rsidP="00B7076E">
      <w:pPr>
        <w:shd w:val="clear" w:color="auto" w:fill="D9D9D9" w:themeFill="background1" w:themeFillShade="D9"/>
        <w:rPr>
          <w:rFonts w:eastAsia="Times New Roman"/>
          <w:i/>
          <w:lang w:val="bg-BG"/>
        </w:rPr>
      </w:pPr>
      <w:r>
        <w:rPr>
          <w:rFonts w:eastAsia="Times New Roman"/>
          <w:i/>
          <w:lang w:val="bg-BG"/>
        </w:rPr>
        <w:t>Руфиксало 20</w:t>
      </w:r>
      <w:r w:rsidRPr="00222A60">
        <w:rPr>
          <w:rFonts w:eastAsia="Times New Roman"/>
          <w:i/>
          <w:lang w:val="bg-BG"/>
        </w:rPr>
        <w:t xml:space="preserve"> </w:t>
      </w:r>
      <w:r w:rsidRPr="00222A60">
        <w:rPr>
          <w:rFonts w:eastAsia="Times New Roman"/>
          <w:i/>
        </w:rPr>
        <w:t xml:space="preserve">mg </w:t>
      </w:r>
      <w:r w:rsidRPr="00222A60">
        <w:rPr>
          <w:rFonts w:eastAsia="Times New Roman"/>
          <w:i/>
          <w:lang w:val="bg-BG"/>
        </w:rPr>
        <w:t>фимлирани таблетки</w:t>
      </w:r>
      <w:r w:rsidR="00543E7E">
        <w:rPr>
          <w:rFonts w:eastAsia="Times New Roman"/>
          <w:i/>
          <w:lang w:val="bg-BG"/>
        </w:rPr>
        <w:t>:</w:t>
      </w:r>
    </w:p>
    <w:p w14:paraId="2509404B" w14:textId="60F04E76" w:rsidR="002D5F40" w:rsidRPr="002A34DE" w:rsidRDefault="002D5F40" w:rsidP="00B7076E">
      <w:pPr>
        <w:shd w:val="clear" w:color="auto" w:fill="D9D9D9" w:themeFill="background1" w:themeFillShade="D9"/>
        <w:rPr>
          <w:rFonts w:eastAsia="Times New Roman"/>
        </w:rPr>
      </w:pPr>
      <w:r w:rsidRPr="002A34DE">
        <w:rPr>
          <w:rFonts w:eastAsia="Times New Roman"/>
        </w:rPr>
        <w:t>Всяк</w:t>
      </w:r>
      <w:r>
        <w:rPr>
          <w:rFonts w:eastAsia="Times New Roman"/>
        </w:rPr>
        <w:t>а филмирана таблетка съдържа 20</w:t>
      </w:r>
      <w:r w:rsidRPr="002A34DE">
        <w:rPr>
          <w:rFonts w:eastAsia="Times New Roman"/>
        </w:rPr>
        <w:t xml:space="preserve"> mg ривароксабан (rivaroxaban).</w:t>
      </w:r>
    </w:p>
    <w:p w14:paraId="6EF432E4" w14:textId="77777777" w:rsidR="002D5F40" w:rsidRDefault="002D5F40" w:rsidP="00B7076E">
      <w:pPr>
        <w:shd w:val="clear" w:color="auto" w:fill="D9D9D9" w:themeFill="background1" w:themeFillShade="D9"/>
        <w:rPr>
          <w:rFonts w:eastAsia="Times New Roman"/>
          <w:u w:val="single"/>
        </w:rPr>
      </w:pPr>
    </w:p>
    <w:p w14:paraId="29515721" w14:textId="77777777" w:rsidR="002D5F40" w:rsidRPr="002A34DE" w:rsidRDefault="002D5F40" w:rsidP="00B7076E">
      <w:pPr>
        <w:shd w:val="clear" w:color="auto" w:fill="D9D9D9" w:themeFill="background1" w:themeFillShade="D9"/>
        <w:rPr>
          <w:rFonts w:eastAsia="Times New Roman"/>
          <w:u w:val="single"/>
        </w:rPr>
      </w:pPr>
      <w:r w:rsidRPr="002A34DE">
        <w:rPr>
          <w:rFonts w:eastAsia="Times New Roman"/>
          <w:u w:val="single"/>
        </w:rPr>
        <w:t>Помощнo веществo с известно действие</w:t>
      </w:r>
    </w:p>
    <w:p w14:paraId="30886208" w14:textId="6C3B6D45" w:rsidR="002D5F40" w:rsidRPr="002A34DE" w:rsidRDefault="002D5F40" w:rsidP="00B7076E">
      <w:pPr>
        <w:shd w:val="clear" w:color="auto" w:fill="D9D9D9" w:themeFill="background1" w:themeFillShade="D9"/>
        <w:rPr>
          <w:rFonts w:eastAsia="Times New Roman"/>
        </w:rPr>
      </w:pPr>
      <w:r w:rsidRPr="002A34DE">
        <w:rPr>
          <w:rFonts w:eastAsia="Times New Roman"/>
        </w:rPr>
        <w:t xml:space="preserve">Всяка </w:t>
      </w:r>
      <w:r>
        <w:rPr>
          <w:rFonts w:eastAsia="Times New Roman"/>
        </w:rPr>
        <w:t>филмирана таблетка съдържа 29 mg лактоза</w:t>
      </w:r>
      <w:r w:rsidRPr="002A34DE">
        <w:rPr>
          <w:rFonts w:eastAsia="Times New Roman"/>
        </w:rPr>
        <w:t>, вижте точка 4.4.</w:t>
      </w:r>
    </w:p>
    <w:p w14:paraId="5B5C73E0" w14:textId="77777777" w:rsidR="002D5F40" w:rsidRDefault="002D5F40" w:rsidP="002A34DE">
      <w:pPr>
        <w:rPr>
          <w:rFonts w:eastAsia="Times New Roman"/>
        </w:rPr>
      </w:pPr>
    </w:p>
    <w:p w14:paraId="4E7440E6" w14:textId="215C7660" w:rsidR="004762C7" w:rsidRPr="004A5F12" w:rsidRDefault="002A34DE" w:rsidP="002A34DE">
      <w:r w:rsidRPr="002A34DE">
        <w:rPr>
          <w:rFonts w:eastAsia="Times New Roman"/>
        </w:rPr>
        <w:t>За пълния списък на помощните вещества вижте точкa 6.1.</w:t>
      </w:r>
    </w:p>
    <w:p w14:paraId="23415BA0" w14:textId="79226466" w:rsidR="004762C7" w:rsidRPr="004A5F12" w:rsidRDefault="004762C7" w:rsidP="004B3035"/>
    <w:p w14:paraId="1D64DBC6" w14:textId="77777777" w:rsidR="004762C7" w:rsidRPr="004A5F12" w:rsidRDefault="004762C7" w:rsidP="004B3035"/>
    <w:p w14:paraId="414FFBD1" w14:textId="1E3D1DED" w:rsidR="004762C7" w:rsidRPr="004A5F12" w:rsidRDefault="002A34DE">
      <w:pPr>
        <w:numPr>
          <w:ilvl w:val="0"/>
          <w:numId w:val="3"/>
        </w:numPr>
        <w:tabs>
          <w:tab w:val="left" w:pos="562"/>
        </w:tabs>
        <w:ind w:left="562" w:hanging="562"/>
        <w:rPr>
          <w:rFonts w:eastAsia="Times New Roman"/>
          <w:b/>
          <w:bCs/>
        </w:rPr>
      </w:pPr>
      <w:r>
        <w:rPr>
          <w:rFonts w:eastAsia="Times New Roman"/>
          <w:b/>
          <w:bCs/>
          <w:lang w:val="bg-BG"/>
        </w:rPr>
        <w:t>ФАРМАЦЕВТИЧНА ФОРМА</w:t>
      </w:r>
    </w:p>
    <w:p w14:paraId="347C664E" w14:textId="77777777" w:rsidR="004762C7" w:rsidRPr="004A5F12" w:rsidRDefault="004762C7" w:rsidP="004B3035"/>
    <w:p w14:paraId="236D8EF6" w14:textId="633999E7" w:rsidR="004762C7" w:rsidRPr="002A34DE" w:rsidRDefault="002A34DE">
      <w:pPr>
        <w:ind w:left="2"/>
        <w:rPr>
          <w:lang w:val="bg-BG"/>
        </w:rPr>
      </w:pPr>
      <w:r>
        <w:rPr>
          <w:rFonts w:eastAsia="Times New Roman"/>
          <w:lang w:val="bg-BG"/>
        </w:rPr>
        <w:t>Филмирана таблетка (таблетка)</w:t>
      </w:r>
      <w:r w:rsidR="00243D16">
        <w:rPr>
          <w:rFonts w:eastAsia="Times New Roman"/>
          <w:lang w:val="bg-BG"/>
        </w:rPr>
        <w:t>.</w:t>
      </w:r>
    </w:p>
    <w:p w14:paraId="3D1237ED" w14:textId="007080C6" w:rsidR="004762C7" w:rsidRDefault="004762C7" w:rsidP="004B3035"/>
    <w:p w14:paraId="7708D357" w14:textId="7F56D91E" w:rsidR="002D5F40" w:rsidRPr="004A5F12" w:rsidRDefault="002D5F40" w:rsidP="00B7076E">
      <w:pPr>
        <w:shd w:val="clear" w:color="auto" w:fill="D9D9D9" w:themeFill="background1" w:themeFillShade="D9"/>
      </w:pPr>
      <w:r>
        <w:rPr>
          <w:rFonts w:eastAsia="Times New Roman"/>
          <w:i/>
          <w:lang w:val="bg-BG"/>
        </w:rPr>
        <w:t>Руфиксало 15</w:t>
      </w:r>
      <w:r w:rsidRPr="00222A60">
        <w:rPr>
          <w:rFonts w:eastAsia="Times New Roman"/>
          <w:i/>
          <w:lang w:val="bg-BG"/>
        </w:rPr>
        <w:t xml:space="preserve"> </w:t>
      </w:r>
      <w:r w:rsidRPr="00222A60">
        <w:rPr>
          <w:rFonts w:eastAsia="Times New Roman"/>
          <w:i/>
        </w:rPr>
        <w:t xml:space="preserve">mg </w:t>
      </w:r>
      <w:r w:rsidRPr="00222A60">
        <w:rPr>
          <w:rFonts w:eastAsia="Times New Roman"/>
          <w:i/>
          <w:lang w:val="bg-BG"/>
        </w:rPr>
        <w:t>фимлирани таблетки</w:t>
      </w:r>
      <w:r w:rsidR="00543E7E">
        <w:rPr>
          <w:rFonts w:eastAsia="Times New Roman"/>
          <w:i/>
          <w:lang w:val="bg-BG"/>
        </w:rPr>
        <w:t>:</w:t>
      </w:r>
    </w:p>
    <w:p w14:paraId="4FD09D5B" w14:textId="4A4884C8" w:rsidR="006C40C0" w:rsidRDefault="002D5F40" w:rsidP="006C40C0">
      <w:pPr>
        <w:ind w:left="2" w:right="328"/>
        <w:rPr>
          <w:rFonts w:eastAsia="Times New Roman"/>
        </w:rPr>
      </w:pPr>
      <w:r>
        <w:rPr>
          <w:rFonts w:eastAsia="Times New Roman"/>
          <w:lang w:val="bg-BG"/>
        </w:rPr>
        <w:t>Червени</w:t>
      </w:r>
      <w:r w:rsidR="006C40C0">
        <w:rPr>
          <w:rFonts w:eastAsia="Times New Roman"/>
          <w:lang w:val="bg-BG"/>
        </w:rPr>
        <w:t>,</w:t>
      </w:r>
      <w:r w:rsidR="006C40C0" w:rsidRPr="00BA7A62">
        <w:rPr>
          <w:rFonts w:eastAsia="Times New Roman"/>
        </w:rPr>
        <w:t xml:space="preserve"> </w:t>
      </w:r>
      <w:r w:rsidR="006C40C0">
        <w:rPr>
          <w:rFonts w:eastAsia="Times New Roman"/>
          <w:lang w:val="bg-BG"/>
        </w:rPr>
        <w:t xml:space="preserve">кръгли, двойноизпъкнали таблетки с </w:t>
      </w:r>
      <w:r w:rsidR="00BD6A52">
        <w:rPr>
          <w:rFonts w:eastAsia="Times New Roman"/>
          <w:lang w:val="bg-BG"/>
        </w:rPr>
        <w:t xml:space="preserve">приблизителен </w:t>
      </w:r>
      <w:r w:rsidR="006C40C0">
        <w:rPr>
          <w:rFonts w:eastAsia="Times New Roman"/>
          <w:lang w:val="bg-BG"/>
        </w:rPr>
        <w:t>диаметър</w:t>
      </w:r>
      <w:r w:rsidR="00BD6A52">
        <w:rPr>
          <w:rFonts w:eastAsia="Times New Roman"/>
          <w:lang w:val="bg-BG"/>
        </w:rPr>
        <w:t xml:space="preserve"> от</w:t>
      </w:r>
      <w:r w:rsidR="006C40C0">
        <w:rPr>
          <w:rFonts w:eastAsia="Times New Roman"/>
          <w:lang w:val="bg-BG"/>
        </w:rPr>
        <w:t xml:space="preserve"> </w:t>
      </w:r>
      <w:r>
        <w:rPr>
          <w:rFonts w:eastAsia="Times New Roman"/>
        </w:rPr>
        <w:t>5</w:t>
      </w:r>
      <w:r w:rsidR="006C40C0">
        <w:rPr>
          <w:rFonts w:eastAsia="Times New Roman"/>
          <w:lang w:val="bg-BG"/>
        </w:rPr>
        <w:t>,</w:t>
      </w:r>
      <w:r w:rsidR="006C40C0" w:rsidRPr="00795D22">
        <w:rPr>
          <w:rFonts w:eastAsia="Times New Roman"/>
        </w:rPr>
        <w:t>6 mm ± 0</w:t>
      </w:r>
      <w:r w:rsidR="006C40C0">
        <w:rPr>
          <w:rFonts w:eastAsia="Times New Roman"/>
          <w:lang w:val="bg-BG"/>
        </w:rPr>
        <w:t>,</w:t>
      </w:r>
      <w:r w:rsidR="006C40C0" w:rsidRPr="00795D22">
        <w:rPr>
          <w:rFonts w:eastAsia="Times New Roman"/>
        </w:rPr>
        <w:t>2 mm</w:t>
      </w:r>
      <w:r w:rsidR="006C40C0" w:rsidRPr="00BA7A62">
        <w:rPr>
          <w:rFonts w:eastAsia="Times New Roman"/>
        </w:rPr>
        <w:t xml:space="preserve">, </w:t>
      </w:r>
      <w:r w:rsidR="006C40C0">
        <w:rPr>
          <w:rFonts w:eastAsia="Times New Roman"/>
          <w:lang w:val="bg-BG"/>
        </w:rPr>
        <w:t xml:space="preserve">с вдлъбнато релефно означение </w:t>
      </w:r>
      <w:r>
        <w:rPr>
          <w:rFonts w:eastAsia="Times New Roman"/>
        </w:rPr>
        <w:t>“15</w:t>
      </w:r>
      <w:r w:rsidR="006C40C0" w:rsidRPr="00BA7A62">
        <w:rPr>
          <w:rFonts w:eastAsia="Times New Roman"/>
        </w:rPr>
        <w:t xml:space="preserve">” </w:t>
      </w:r>
      <w:r w:rsidR="006C40C0">
        <w:rPr>
          <w:rFonts w:eastAsia="Times New Roman"/>
          <w:lang w:val="bg-BG"/>
        </w:rPr>
        <w:t>от едната страна и гладк</w:t>
      </w:r>
      <w:r w:rsidR="00BD6A52">
        <w:rPr>
          <w:rFonts w:eastAsia="Times New Roman"/>
          <w:lang w:val="bg-BG"/>
        </w:rPr>
        <w:t>и</w:t>
      </w:r>
      <w:r w:rsidR="006C40C0">
        <w:rPr>
          <w:rFonts w:eastAsia="Times New Roman"/>
          <w:lang w:val="bg-BG"/>
        </w:rPr>
        <w:t xml:space="preserve"> от другата.</w:t>
      </w:r>
      <w:r w:rsidR="006C40C0" w:rsidRPr="00BA7A62">
        <w:rPr>
          <w:rFonts w:eastAsia="Times New Roman"/>
        </w:rPr>
        <w:t xml:space="preserve"> </w:t>
      </w:r>
    </w:p>
    <w:p w14:paraId="107787B4" w14:textId="34B78718" w:rsidR="002D5F40" w:rsidRDefault="002D5F40" w:rsidP="00B7076E">
      <w:pPr>
        <w:shd w:val="clear" w:color="auto" w:fill="D9D9D9" w:themeFill="background1" w:themeFillShade="D9"/>
        <w:ind w:left="2" w:right="328"/>
        <w:rPr>
          <w:rFonts w:eastAsia="Times New Roman"/>
          <w:i/>
          <w:lang w:val="bg-BG"/>
        </w:rPr>
      </w:pPr>
      <w:r>
        <w:rPr>
          <w:rFonts w:eastAsia="Times New Roman"/>
          <w:i/>
          <w:lang w:val="bg-BG"/>
        </w:rPr>
        <w:t>Руфиксало 20</w:t>
      </w:r>
      <w:r w:rsidRPr="00222A60">
        <w:rPr>
          <w:rFonts w:eastAsia="Times New Roman"/>
          <w:i/>
          <w:lang w:val="bg-BG"/>
        </w:rPr>
        <w:t xml:space="preserve"> </w:t>
      </w:r>
      <w:r w:rsidRPr="00222A60">
        <w:rPr>
          <w:rFonts w:eastAsia="Times New Roman"/>
          <w:i/>
        </w:rPr>
        <w:t xml:space="preserve">mg </w:t>
      </w:r>
      <w:r w:rsidRPr="00222A60">
        <w:rPr>
          <w:rFonts w:eastAsia="Times New Roman"/>
          <w:i/>
          <w:lang w:val="bg-BG"/>
        </w:rPr>
        <w:t>фимлирани таблетки</w:t>
      </w:r>
      <w:r w:rsidR="00543E7E">
        <w:rPr>
          <w:rFonts w:eastAsia="Times New Roman"/>
          <w:i/>
          <w:lang w:val="bg-BG"/>
        </w:rPr>
        <w:t>:</w:t>
      </w:r>
    </w:p>
    <w:p w14:paraId="68A3F1F1" w14:textId="305A03FD" w:rsidR="002D5F40" w:rsidRPr="00BA7A62" w:rsidRDefault="002D5F40" w:rsidP="00B7076E">
      <w:pPr>
        <w:shd w:val="clear" w:color="auto" w:fill="D9D9D9" w:themeFill="background1" w:themeFillShade="D9"/>
        <w:ind w:left="2" w:right="328"/>
        <w:rPr>
          <w:rFonts w:eastAsia="Times New Roman"/>
        </w:rPr>
      </w:pPr>
      <w:r>
        <w:rPr>
          <w:rFonts w:eastAsia="Times New Roman"/>
          <w:lang w:val="bg-BG"/>
        </w:rPr>
        <w:t>Червено-кафяви,</w:t>
      </w:r>
      <w:r w:rsidRPr="00BA7A62">
        <w:rPr>
          <w:rFonts w:eastAsia="Times New Roman"/>
        </w:rPr>
        <w:t xml:space="preserve"> </w:t>
      </w:r>
      <w:r>
        <w:rPr>
          <w:rFonts w:eastAsia="Times New Roman"/>
          <w:lang w:val="bg-BG"/>
        </w:rPr>
        <w:t xml:space="preserve">кръгли, двойноизпъкнали таблетки с </w:t>
      </w:r>
      <w:r w:rsidR="00BD6A52">
        <w:rPr>
          <w:rFonts w:eastAsia="Times New Roman"/>
          <w:lang w:val="bg-BG"/>
        </w:rPr>
        <w:t xml:space="preserve">приблизителен </w:t>
      </w:r>
      <w:r>
        <w:rPr>
          <w:rFonts w:eastAsia="Times New Roman"/>
          <w:lang w:val="bg-BG"/>
        </w:rPr>
        <w:t xml:space="preserve">диаметър </w:t>
      </w:r>
      <w:r w:rsidR="00BD6A52">
        <w:rPr>
          <w:rFonts w:eastAsia="Times New Roman"/>
          <w:lang w:val="bg-BG"/>
        </w:rPr>
        <w:t>от</w:t>
      </w:r>
      <w:r>
        <w:rPr>
          <w:rFonts w:eastAsia="Times New Roman"/>
          <w:lang w:val="bg-BG"/>
        </w:rPr>
        <w:t xml:space="preserve"> 6,</w:t>
      </w:r>
      <w:r w:rsidRPr="00795D22">
        <w:rPr>
          <w:rFonts w:eastAsia="Times New Roman"/>
        </w:rPr>
        <w:t>6 mm ± 0</w:t>
      </w:r>
      <w:r>
        <w:rPr>
          <w:rFonts w:eastAsia="Times New Roman"/>
          <w:lang w:val="bg-BG"/>
        </w:rPr>
        <w:t>,</w:t>
      </w:r>
      <w:r w:rsidRPr="00795D22">
        <w:rPr>
          <w:rFonts w:eastAsia="Times New Roman"/>
        </w:rPr>
        <w:t>2 mm</w:t>
      </w:r>
      <w:r w:rsidRPr="00BA7A62">
        <w:rPr>
          <w:rFonts w:eastAsia="Times New Roman"/>
        </w:rPr>
        <w:t xml:space="preserve">, </w:t>
      </w:r>
      <w:r>
        <w:rPr>
          <w:rFonts w:eastAsia="Times New Roman"/>
          <w:lang w:val="bg-BG"/>
        </w:rPr>
        <w:t xml:space="preserve">с вдлъбнато релефно означение </w:t>
      </w:r>
      <w:r>
        <w:rPr>
          <w:rFonts w:eastAsia="Times New Roman"/>
        </w:rPr>
        <w:t>“20</w:t>
      </w:r>
      <w:r w:rsidRPr="00BA7A62">
        <w:rPr>
          <w:rFonts w:eastAsia="Times New Roman"/>
        </w:rPr>
        <w:t xml:space="preserve">” </w:t>
      </w:r>
      <w:r>
        <w:rPr>
          <w:rFonts w:eastAsia="Times New Roman"/>
          <w:lang w:val="bg-BG"/>
        </w:rPr>
        <w:t>от едната страна и гладк</w:t>
      </w:r>
      <w:r w:rsidR="00BD6A52">
        <w:rPr>
          <w:rFonts w:eastAsia="Times New Roman"/>
          <w:lang w:val="bg-BG"/>
        </w:rPr>
        <w:t>и</w:t>
      </w:r>
      <w:r>
        <w:rPr>
          <w:rFonts w:eastAsia="Times New Roman"/>
          <w:lang w:val="bg-BG"/>
        </w:rPr>
        <w:t xml:space="preserve"> от другата.</w:t>
      </w:r>
      <w:r w:rsidRPr="00BA7A62">
        <w:rPr>
          <w:rFonts w:eastAsia="Times New Roman"/>
        </w:rPr>
        <w:t xml:space="preserve"> </w:t>
      </w:r>
    </w:p>
    <w:p w14:paraId="19A0D38B" w14:textId="77777777" w:rsidR="004762C7" w:rsidRPr="00566CE6" w:rsidRDefault="004762C7" w:rsidP="004B3035"/>
    <w:p w14:paraId="49E02C20" w14:textId="77777777" w:rsidR="004762C7" w:rsidRPr="00566CE6" w:rsidRDefault="004762C7" w:rsidP="004B3035"/>
    <w:p w14:paraId="38099D0B" w14:textId="4296F6AF" w:rsidR="004762C7" w:rsidRPr="008104F6" w:rsidRDefault="008C514E">
      <w:pPr>
        <w:numPr>
          <w:ilvl w:val="0"/>
          <w:numId w:val="4"/>
        </w:numPr>
        <w:tabs>
          <w:tab w:val="left" w:pos="562"/>
        </w:tabs>
        <w:ind w:left="562" w:hanging="562"/>
        <w:rPr>
          <w:rFonts w:eastAsia="Times New Roman"/>
          <w:b/>
          <w:bCs/>
        </w:rPr>
      </w:pPr>
      <w:r>
        <w:rPr>
          <w:rFonts w:eastAsia="Times New Roman"/>
          <w:b/>
          <w:bCs/>
        </w:rPr>
        <w:t>КЛИНИЧНИ ДАННИ</w:t>
      </w:r>
    </w:p>
    <w:p w14:paraId="63DA8B88" w14:textId="77777777" w:rsidR="004762C7" w:rsidRPr="008104F6" w:rsidRDefault="004762C7" w:rsidP="004B3035">
      <w:pPr>
        <w:rPr>
          <w:rFonts w:eastAsia="Times New Roman"/>
          <w:b/>
          <w:bCs/>
        </w:rPr>
      </w:pPr>
    </w:p>
    <w:p w14:paraId="5227C6C2" w14:textId="3A04ADFD" w:rsidR="004762C7" w:rsidRPr="008104F6" w:rsidRDefault="008C514E" w:rsidP="004114F8">
      <w:pPr>
        <w:pStyle w:val="ListParagraph"/>
        <w:numPr>
          <w:ilvl w:val="1"/>
          <w:numId w:val="16"/>
        </w:numPr>
        <w:tabs>
          <w:tab w:val="left" w:pos="162"/>
        </w:tabs>
        <w:ind w:left="567" w:hanging="567"/>
        <w:rPr>
          <w:rFonts w:eastAsia="Times New Roman"/>
          <w:b/>
          <w:bCs/>
        </w:rPr>
      </w:pPr>
      <w:r>
        <w:rPr>
          <w:rFonts w:eastAsia="Times New Roman"/>
          <w:b/>
          <w:bCs/>
        </w:rPr>
        <w:t>Терапевтични показания</w:t>
      </w:r>
    </w:p>
    <w:p w14:paraId="5B00DEF6" w14:textId="77777777" w:rsidR="004762C7" w:rsidRPr="008104F6" w:rsidRDefault="004762C7" w:rsidP="004B3035"/>
    <w:p w14:paraId="4C7F6187" w14:textId="77777777" w:rsidR="002D5F40" w:rsidRPr="00543E7E" w:rsidRDefault="002D5F40" w:rsidP="002D5F40">
      <w:pPr>
        <w:pStyle w:val="Default"/>
        <w:rPr>
          <w:sz w:val="22"/>
          <w:szCs w:val="22"/>
          <w:u w:val="single"/>
        </w:rPr>
      </w:pPr>
      <w:r w:rsidRPr="00543E7E">
        <w:rPr>
          <w:i/>
          <w:iCs/>
          <w:sz w:val="22"/>
          <w:szCs w:val="22"/>
          <w:u w:val="single"/>
        </w:rPr>
        <w:t xml:space="preserve">Възрастни </w:t>
      </w:r>
    </w:p>
    <w:p w14:paraId="4DCD4A04" w14:textId="49DD7127" w:rsidR="002D5F40" w:rsidRDefault="002D5F40" w:rsidP="002D5F40">
      <w:pPr>
        <w:pStyle w:val="Default"/>
        <w:rPr>
          <w:sz w:val="22"/>
          <w:szCs w:val="22"/>
        </w:rPr>
      </w:pPr>
      <w:r>
        <w:rPr>
          <w:sz w:val="22"/>
          <w:szCs w:val="22"/>
        </w:rPr>
        <w:t xml:space="preserve">Профилактика на инсулт и системна емболия при възрастни пациенти с неклапно предсърдно мъждене с един или повече рискови фактори, като застойна сърдечна недостатъчност, хипертония, възраст ≥ 75 години, захарен диабет, предшестващ инсулт или преходен исхемичен пристъп. </w:t>
      </w:r>
    </w:p>
    <w:p w14:paraId="4F4AD256" w14:textId="77777777" w:rsidR="002D5F40" w:rsidRDefault="002D5F40" w:rsidP="002D5F40">
      <w:pPr>
        <w:pStyle w:val="Default"/>
        <w:rPr>
          <w:sz w:val="22"/>
          <w:szCs w:val="22"/>
        </w:rPr>
      </w:pPr>
    </w:p>
    <w:p w14:paraId="579D4A5A" w14:textId="170A5E6D" w:rsidR="002D5F40" w:rsidRDefault="002D5F40" w:rsidP="002D5F40">
      <w:pPr>
        <w:pStyle w:val="Default"/>
        <w:rPr>
          <w:sz w:val="22"/>
          <w:szCs w:val="22"/>
        </w:rPr>
      </w:pPr>
      <w:r>
        <w:rPr>
          <w:sz w:val="22"/>
          <w:szCs w:val="22"/>
        </w:rPr>
        <w:lastRenderedPageBreak/>
        <w:t xml:space="preserve">Лечение на дълбока венозна тромбоза (ДВТ) и белодробен емболизъм (БЕ) и профилактика на рецидивиращи ДВТ и БЕ при възрастни. (вж. точка 4.4 за хемодинамично нестабилни пациенти с БЕ.) </w:t>
      </w:r>
    </w:p>
    <w:p w14:paraId="03D52796" w14:textId="77777777" w:rsidR="002D5F40" w:rsidRDefault="002D5F40" w:rsidP="002D5F40">
      <w:pPr>
        <w:pStyle w:val="Default"/>
        <w:rPr>
          <w:sz w:val="22"/>
          <w:szCs w:val="22"/>
        </w:rPr>
      </w:pPr>
    </w:p>
    <w:p w14:paraId="6123E203" w14:textId="77777777" w:rsidR="002D5F40" w:rsidRPr="002D5F40" w:rsidRDefault="002D5F40" w:rsidP="002D5F40">
      <w:pPr>
        <w:pStyle w:val="Default"/>
        <w:rPr>
          <w:i/>
          <w:iCs/>
          <w:sz w:val="22"/>
          <w:szCs w:val="22"/>
          <w:u w:val="single"/>
        </w:rPr>
      </w:pPr>
      <w:r w:rsidRPr="002D5F40">
        <w:rPr>
          <w:i/>
          <w:iCs/>
          <w:sz w:val="22"/>
          <w:szCs w:val="22"/>
          <w:u w:val="single"/>
        </w:rPr>
        <w:t>Педиатрична популация</w:t>
      </w:r>
    </w:p>
    <w:p w14:paraId="3FEBBE67" w14:textId="53E6F75E" w:rsidR="002D5F40" w:rsidRPr="00B7076E" w:rsidRDefault="002D5F40" w:rsidP="00B7076E">
      <w:pPr>
        <w:shd w:val="clear" w:color="auto" w:fill="D9D9D9" w:themeFill="background1" w:themeFillShade="D9"/>
        <w:rPr>
          <w:rFonts w:eastAsia="Times New Roman"/>
          <w:i/>
        </w:rPr>
      </w:pPr>
      <w:r w:rsidRPr="00543E7E">
        <w:rPr>
          <w:rFonts w:eastAsia="Times New Roman"/>
          <w:i/>
          <w:lang w:val="bg-BG"/>
        </w:rPr>
        <w:t xml:space="preserve">Руфиксало 15 </w:t>
      </w:r>
      <w:r w:rsidRPr="00543E7E">
        <w:rPr>
          <w:rFonts w:eastAsia="Times New Roman"/>
          <w:i/>
        </w:rPr>
        <w:t xml:space="preserve">mg </w:t>
      </w:r>
      <w:r w:rsidRPr="00543E7E">
        <w:rPr>
          <w:rFonts w:eastAsia="Times New Roman"/>
          <w:i/>
          <w:lang w:val="bg-BG"/>
        </w:rPr>
        <w:t>фимлирани таблетки</w:t>
      </w:r>
      <w:r w:rsidR="003962AE">
        <w:rPr>
          <w:rFonts w:eastAsia="Times New Roman"/>
          <w:i/>
        </w:rPr>
        <w:t>:</w:t>
      </w:r>
    </w:p>
    <w:p w14:paraId="7C74F7F5" w14:textId="68CCEA2A" w:rsidR="002D5F40" w:rsidRDefault="002D5F40" w:rsidP="002D5F40">
      <w:r>
        <w:t xml:space="preserve">Лечение на венозен тромбоемболизъм (ВТЕ) и профилактика на рецидиви на ВТЕ при деца и юноши на възраст под 18 години и с тегло от 30 kg </w:t>
      </w:r>
      <w:r>
        <w:rPr>
          <w:lang w:val="bg-BG"/>
        </w:rPr>
        <w:t>до</w:t>
      </w:r>
      <w:r>
        <w:t xml:space="preserve"> 50 kg най-малко 5 дни след начално парентерално антикоагулантно лечение.</w:t>
      </w:r>
    </w:p>
    <w:p w14:paraId="483A42CD" w14:textId="31DBB7C5" w:rsidR="002D5F40" w:rsidRPr="00B7076E" w:rsidRDefault="002D5F40" w:rsidP="00B7076E">
      <w:pPr>
        <w:pStyle w:val="Default"/>
        <w:shd w:val="clear" w:color="auto" w:fill="D9D9D9" w:themeFill="background1" w:themeFillShade="D9"/>
        <w:rPr>
          <w:sz w:val="22"/>
          <w:szCs w:val="22"/>
          <w:lang w:val="en-US"/>
        </w:rPr>
      </w:pPr>
      <w:r w:rsidRPr="00543E7E">
        <w:rPr>
          <w:rFonts w:eastAsia="Times New Roman"/>
          <w:i/>
          <w:sz w:val="22"/>
          <w:szCs w:val="22"/>
        </w:rPr>
        <w:t>Руфиксало 20 mg фимлирани таблетки</w:t>
      </w:r>
      <w:r w:rsidR="003962AE">
        <w:rPr>
          <w:rFonts w:eastAsia="Times New Roman"/>
          <w:i/>
          <w:sz w:val="22"/>
          <w:szCs w:val="22"/>
          <w:lang w:val="en-US"/>
        </w:rPr>
        <w:t>:</w:t>
      </w:r>
    </w:p>
    <w:p w14:paraId="69714AB4" w14:textId="57305458" w:rsidR="004762C7" w:rsidRDefault="002D5F40" w:rsidP="00B7076E">
      <w:pPr>
        <w:shd w:val="clear" w:color="auto" w:fill="D9D9D9" w:themeFill="background1" w:themeFillShade="D9"/>
      </w:pPr>
      <w:r>
        <w:t>Лечение на венозен тромбоемболизъм (ВТЕ) и профилактика на рецидиви на ВТЕ при деца и юноши на възраст под 18 години и с тегло повече от 50 kg най-малко 5 дни след начално парентерално антикоагулантно лечение.</w:t>
      </w:r>
    </w:p>
    <w:p w14:paraId="7420A0B0" w14:textId="46CD07A7" w:rsidR="002D5F40" w:rsidRDefault="002D5F40" w:rsidP="002D5F40"/>
    <w:p w14:paraId="42AB6151" w14:textId="77777777" w:rsidR="002D5F40" w:rsidRPr="008104F6" w:rsidRDefault="002D5F40" w:rsidP="002D5F40"/>
    <w:p w14:paraId="3A4BC231" w14:textId="72CA1660" w:rsidR="004762C7" w:rsidRPr="008104F6" w:rsidRDefault="00030E48">
      <w:pPr>
        <w:tabs>
          <w:tab w:val="left" w:pos="541"/>
        </w:tabs>
        <w:ind w:left="2"/>
      </w:pPr>
      <w:r w:rsidRPr="008104F6">
        <w:rPr>
          <w:rFonts w:eastAsia="Times New Roman"/>
          <w:b/>
          <w:bCs/>
        </w:rPr>
        <w:t>4.2</w:t>
      </w:r>
      <w:r w:rsidRPr="008104F6">
        <w:rPr>
          <w:rFonts w:eastAsia="Times New Roman"/>
          <w:b/>
          <w:bCs/>
        </w:rPr>
        <w:tab/>
      </w:r>
      <w:r w:rsidR="008C514E">
        <w:rPr>
          <w:b/>
          <w:bCs/>
        </w:rPr>
        <w:t>Дозировка и начин на приложение</w:t>
      </w:r>
    </w:p>
    <w:p w14:paraId="0765B3BC" w14:textId="77777777" w:rsidR="004762C7" w:rsidRPr="008104F6" w:rsidRDefault="004762C7" w:rsidP="004B3035"/>
    <w:p w14:paraId="63ACF648" w14:textId="4E6D0337" w:rsidR="004762C7" w:rsidRDefault="008C514E">
      <w:pPr>
        <w:ind w:left="2"/>
        <w:rPr>
          <w:rFonts w:eastAsia="Times New Roman"/>
          <w:u w:val="single"/>
        </w:rPr>
      </w:pPr>
      <w:r>
        <w:rPr>
          <w:rFonts w:eastAsia="Times New Roman"/>
          <w:u w:val="single"/>
        </w:rPr>
        <w:t>Дозировка</w:t>
      </w:r>
    </w:p>
    <w:p w14:paraId="1D90A7AC" w14:textId="6DBF08D6" w:rsidR="002D5F40" w:rsidRDefault="002D5F40" w:rsidP="002D5F40">
      <w:pPr>
        <w:pStyle w:val="Default"/>
        <w:rPr>
          <w:sz w:val="22"/>
          <w:szCs w:val="22"/>
        </w:rPr>
      </w:pPr>
      <w:r>
        <w:rPr>
          <w:i/>
          <w:iCs/>
          <w:sz w:val="22"/>
          <w:szCs w:val="22"/>
        </w:rPr>
        <w:t xml:space="preserve">Профилактика на инсулт и системна емболия при възрастни </w:t>
      </w:r>
    </w:p>
    <w:p w14:paraId="234132D8" w14:textId="2099EBBF" w:rsidR="005F167B" w:rsidRDefault="002D5F40" w:rsidP="002D5F40">
      <w:pPr>
        <w:ind w:left="2"/>
      </w:pPr>
      <w:r>
        <w:t>Препоръчителната доза е 20 mg един път дневно, което представлява и препоръчителната максимална доза.</w:t>
      </w:r>
    </w:p>
    <w:p w14:paraId="4BF5D0F5" w14:textId="1311627D" w:rsidR="002D5F40" w:rsidRDefault="002D5F40" w:rsidP="002D5F40">
      <w:pPr>
        <w:ind w:left="2"/>
      </w:pPr>
    </w:p>
    <w:p w14:paraId="1CFC145A" w14:textId="3317A799" w:rsidR="004A5B3E" w:rsidRDefault="004A5B3E" w:rsidP="002D5F40">
      <w:pPr>
        <w:ind w:left="2"/>
      </w:pPr>
      <w:r>
        <w:t>Лечението с Руфиксало трябва да се продължава в дългосрочен план, когато ползата от профилактиката на инсулт и системна емболия надвишава риска от кървене (вж. точка 4.4).</w:t>
      </w:r>
    </w:p>
    <w:p w14:paraId="2D8573D9" w14:textId="77777777" w:rsidR="004A5B3E" w:rsidRDefault="004A5B3E" w:rsidP="002D5F40">
      <w:pPr>
        <w:ind w:left="2"/>
      </w:pPr>
    </w:p>
    <w:p w14:paraId="3DABD8C9" w14:textId="33EA7474" w:rsidR="004A5B3E" w:rsidRDefault="004A5B3E" w:rsidP="002D5F40">
      <w:pPr>
        <w:ind w:left="2"/>
      </w:pPr>
      <w:r>
        <w:t>Ако бъде пропусната някоя доза, пациентът трябва да приеме Руфиксало незабавно и на следващия ден да продължи с приема веднъж дневно съгласно препоръките. Не трябва да се приема двойна доза в същия ден за компенсиране на пропуснатата доза.</w:t>
      </w:r>
    </w:p>
    <w:p w14:paraId="772A8E78" w14:textId="27743E5E" w:rsidR="004A5B3E" w:rsidRDefault="004A5B3E" w:rsidP="002D5F40">
      <w:pPr>
        <w:ind w:left="2"/>
      </w:pPr>
    </w:p>
    <w:p w14:paraId="063F751F" w14:textId="77777777" w:rsidR="004A5B3E" w:rsidRDefault="004A5B3E" w:rsidP="004A5B3E">
      <w:pPr>
        <w:pStyle w:val="Default"/>
        <w:rPr>
          <w:sz w:val="22"/>
          <w:szCs w:val="22"/>
        </w:rPr>
      </w:pPr>
      <w:r>
        <w:rPr>
          <w:i/>
          <w:iCs/>
          <w:sz w:val="22"/>
          <w:szCs w:val="22"/>
        </w:rPr>
        <w:t xml:space="preserve">Лечение на ДВТ, лечение на БЕ и профилактика на рецидивиращи ДВТ и БЕ при възрастни </w:t>
      </w:r>
    </w:p>
    <w:p w14:paraId="318975FD" w14:textId="54212856" w:rsidR="004A5B3E" w:rsidRDefault="004A5B3E" w:rsidP="004A5B3E">
      <w:pPr>
        <w:ind w:left="2"/>
      </w:pPr>
      <w:r>
        <w:t>Препоръчителната доза за начално лечение на остри ДВТ или БЕ е 15 mg два пъти дневно през първите три седмици, последвана от доза от 20 mg веднъж дневно за продължаващото лечение и профилактика на рецидивиращи ДВТ и БЕ.</w:t>
      </w:r>
    </w:p>
    <w:p w14:paraId="171550B3" w14:textId="78BCB839" w:rsidR="004A5B3E" w:rsidRDefault="004A5B3E" w:rsidP="004A5B3E">
      <w:pPr>
        <w:ind w:left="2"/>
      </w:pPr>
    </w:p>
    <w:p w14:paraId="7AF44A1B" w14:textId="0642D239" w:rsidR="004A5B3E" w:rsidRDefault="004A5B3E" w:rsidP="004A5B3E">
      <w:pPr>
        <w:ind w:left="2"/>
      </w:pPr>
      <w:r>
        <w:t>Трябва да се има предвид краткосрочна терапия (най-малко 3 месеца) при пациенти с ДВТ или БЕ, провокирани от големи преходни рискови фактори (т.е. скорошна голяма операция или травма). По-продължителна терапията трябва да се има предвид при пациенти с провокирани ДВТ или БЕ, несвързани с големи преходни рискови фактори, непровокирани ДВТ или БЕ или анамнеза за рецидивиращи ДНТ или БЕ.</w:t>
      </w:r>
    </w:p>
    <w:p w14:paraId="4C8794B2" w14:textId="26DD783D" w:rsidR="004A5B3E" w:rsidRDefault="004A5B3E" w:rsidP="004A5B3E">
      <w:pPr>
        <w:ind w:left="2"/>
      </w:pPr>
    </w:p>
    <w:p w14:paraId="195A752F" w14:textId="7271C32E" w:rsidR="004A5B3E" w:rsidRDefault="004A5B3E" w:rsidP="004A5B3E">
      <w:pPr>
        <w:ind w:left="2"/>
      </w:pPr>
      <w:r>
        <w:t>Когато е показана по-продължителна профилактика на рецидивиращи ДВТ и БЕ (след завършване на поне 6-месечна терапия за ДВТ или БЕ), препоръчителната доза е 10 mg веднъж дневно. При пациенти, при които се смята, че рискът от рецидивиращи ДВТ или БЕ е висок, като тези с усложнени съпътстващи заболявания, или които са развили рецидивиращи ДВТ или БЕ при по-продължителна профилактика, трябва да се има предвид прием на Руфиксало 10 mg веднъж дневно и Руфиксало 20 mg веднъж дневно.</w:t>
      </w:r>
    </w:p>
    <w:p w14:paraId="2668518A" w14:textId="76B9CE39" w:rsidR="004A5B3E" w:rsidRDefault="004A5B3E" w:rsidP="004A5B3E">
      <w:pPr>
        <w:ind w:left="2"/>
      </w:pPr>
    </w:p>
    <w:p w14:paraId="166D2FA9" w14:textId="44E43785" w:rsidR="004A5B3E" w:rsidRDefault="004A5B3E" w:rsidP="004A5B3E">
      <w:pPr>
        <w:ind w:left="2"/>
      </w:pPr>
      <w:r>
        <w:t>Продължителността на терапията трябва да се определи и дозата да се избере индивидуално след внимателна оценка на съотношението между ползата от лечението и риска от кървене (вж. точка 4.4).</w:t>
      </w:r>
    </w:p>
    <w:p w14:paraId="759F8BB3" w14:textId="0B0A96BE" w:rsidR="004762C7" w:rsidRDefault="004762C7" w:rsidP="004B3035"/>
    <w:tbl>
      <w:tblPr>
        <w:tblW w:w="0" w:type="auto"/>
        <w:tblInd w:w="10" w:type="dxa"/>
        <w:tblLayout w:type="fixed"/>
        <w:tblCellMar>
          <w:left w:w="0" w:type="dxa"/>
          <w:right w:w="0" w:type="dxa"/>
        </w:tblCellMar>
        <w:tblLook w:val="04A0" w:firstRow="1" w:lastRow="0" w:firstColumn="1" w:lastColumn="0" w:noHBand="0" w:noVBand="1"/>
      </w:tblPr>
      <w:tblGrid>
        <w:gridCol w:w="2360"/>
        <w:gridCol w:w="2380"/>
        <w:gridCol w:w="2360"/>
        <w:gridCol w:w="2160"/>
      </w:tblGrid>
      <w:tr w:rsidR="005F167B" w:rsidRPr="00A75581" w14:paraId="3A72754F" w14:textId="77777777" w:rsidTr="005F167B">
        <w:trPr>
          <w:trHeight w:val="20"/>
        </w:trPr>
        <w:tc>
          <w:tcPr>
            <w:tcW w:w="2360" w:type="dxa"/>
            <w:tcBorders>
              <w:top w:val="single" w:sz="8" w:space="0" w:color="auto"/>
              <w:left w:val="single" w:sz="8" w:space="0" w:color="auto"/>
              <w:bottom w:val="single" w:sz="8" w:space="0" w:color="auto"/>
              <w:right w:val="single" w:sz="8" w:space="0" w:color="auto"/>
            </w:tcBorders>
            <w:vAlign w:val="bottom"/>
          </w:tcPr>
          <w:p w14:paraId="736EDC6F" w14:textId="77777777" w:rsidR="005F167B" w:rsidRPr="00A75581" w:rsidRDefault="005F167B" w:rsidP="005F167B"/>
        </w:tc>
        <w:tc>
          <w:tcPr>
            <w:tcW w:w="2380" w:type="dxa"/>
            <w:tcBorders>
              <w:top w:val="single" w:sz="8" w:space="0" w:color="auto"/>
              <w:bottom w:val="single" w:sz="8" w:space="0" w:color="auto"/>
              <w:right w:val="single" w:sz="8" w:space="0" w:color="auto"/>
            </w:tcBorders>
            <w:vAlign w:val="bottom"/>
          </w:tcPr>
          <w:p w14:paraId="7F0B91E5" w14:textId="309D88F4" w:rsidR="005F167B" w:rsidRPr="005F167B" w:rsidRDefault="005F167B" w:rsidP="005F167B">
            <w:pPr>
              <w:ind w:left="100"/>
              <w:rPr>
                <w:lang w:val="bg-BG"/>
              </w:rPr>
            </w:pPr>
            <w:r>
              <w:rPr>
                <w:rFonts w:eastAsia="Times New Roman"/>
                <w:b/>
                <w:bCs/>
                <w:lang w:val="bg-BG"/>
              </w:rPr>
              <w:t>Период от време</w:t>
            </w:r>
          </w:p>
        </w:tc>
        <w:tc>
          <w:tcPr>
            <w:tcW w:w="2360" w:type="dxa"/>
            <w:tcBorders>
              <w:top w:val="single" w:sz="8" w:space="0" w:color="auto"/>
              <w:bottom w:val="single" w:sz="8" w:space="0" w:color="auto"/>
              <w:right w:val="single" w:sz="8" w:space="0" w:color="auto"/>
            </w:tcBorders>
            <w:vAlign w:val="bottom"/>
          </w:tcPr>
          <w:p w14:paraId="79E8FCE4" w14:textId="1CBE88F5" w:rsidR="005F167B" w:rsidRPr="00A75581" w:rsidRDefault="005F167B" w:rsidP="005F167B">
            <w:pPr>
              <w:ind w:left="80"/>
            </w:pPr>
            <w:r>
              <w:rPr>
                <w:rFonts w:eastAsia="Times New Roman"/>
                <w:b/>
                <w:bCs/>
              </w:rPr>
              <w:t>Схема на прилагане</w:t>
            </w:r>
          </w:p>
        </w:tc>
        <w:tc>
          <w:tcPr>
            <w:tcW w:w="2160" w:type="dxa"/>
            <w:tcBorders>
              <w:top w:val="single" w:sz="8" w:space="0" w:color="auto"/>
              <w:bottom w:val="single" w:sz="8" w:space="0" w:color="auto"/>
              <w:right w:val="single" w:sz="8" w:space="0" w:color="auto"/>
            </w:tcBorders>
            <w:vAlign w:val="bottom"/>
          </w:tcPr>
          <w:p w14:paraId="7A3ABD05" w14:textId="15699F74" w:rsidR="005F167B" w:rsidRPr="00A75581" w:rsidRDefault="005F167B" w:rsidP="005F167B">
            <w:pPr>
              <w:ind w:left="100"/>
            </w:pPr>
            <w:r>
              <w:rPr>
                <w:rFonts w:eastAsia="Times New Roman"/>
                <w:b/>
                <w:bCs/>
              </w:rPr>
              <w:t>Обща дневна доза</w:t>
            </w:r>
          </w:p>
        </w:tc>
      </w:tr>
      <w:tr w:rsidR="005F167B" w:rsidRPr="00A75581" w14:paraId="545ADD5C" w14:textId="77777777" w:rsidTr="005F167B">
        <w:trPr>
          <w:trHeight w:val="420"/>
        </w:trPr>
        <w:tc>
          <w:tcPr>
            <w:tcW w:w="2360" w:type="dxa"/>
            <w:vMerge w:val="restart"/>
            <w:tcBorders>
              <w:top w:val="single" w:sz="8" w:space="0" w:color="auto"/>
              <w:left w:val="single" w:sz="8" w:space="0" w:color="auto"/>
              <w:right w:val="single" w:sz="8" w:space="0" w:color="auto"/>
            </w:tcBorders>
            <w:vAlign w:val="center"/>
          </w:tcPr>
          <w:p w14:paraId="32BDFBD8" w14:textId="354A9F3B" w:rsidR="005F167B" w:rsidRPr="00A75581" w:rsidRDefault="005F167B" w:rsidP="005F167B">
            <w:pPr>
              <w:ind w:left="120"/>
            </w:pPr>
            <w:r w:rsidRPr="005F167B">
              <w:rPr>
                <w:rFonts w:eastAsia="Times New Roman"/>
              </w:rPr>
              <w:t>Лечение и профилактика на рецидивиращи ДВТ и БЕ</w:t>
            </w:r>
          </w:p>
        </w:tc>
        <w:tc>
          <w:tcPr>
            <w:tcW w:w="2380" w:type="dxa"/>
            <w:tcBorders>
              <w:top w:val="single" w:sz="8" w:space="0" w:color="auto"/>
              <w:bottom w:val="single" w:sz="4" w:space="0" w:color="auto"/>
              <w:right w:val="single" w:sz="8" w:space="0" w:color="auto"/>
            </w:tcBorders>
            <w:vAlign w:val="center"/>
          </w:tcPr>
          <w:p w14:paraId="3D735780" w14:textId="3A325DD0" w:rsidR="005F167B" w:rsidRPr="00A75581" w:rsidRDefault="00FE7C94" w:rsidP="005F167B">
            <w:pPr>
              <w:ind w:left="100"/>
            </w:pPr>
            <w:r>
              <w:rPr>
                <w:rFonts w:eastAsia="Times New Roman"/>
              </w:rPr>
              <w:t>Ден</w:t>
            </w:r>
            <w:r w:rsidR="005F167B" w:rsidRPr="00A75581">
              <w:rPr>
                <w:rFonts w:eastAsia="Times New Roman"/>
              </w:rPr>
              <w:t xml:space="preserve"> 1-21</w:t>
            </w:r>
          </w:p>
        </w:tc>
        <w:tc>
          <w:tcPr>
            <w:tcW w:w="2360" w:type="dxa"/>
            <w:tcBorders>
              <w:top w:val="single" w:sz="8" w:space="0" w:color="auto"/>
              <w:bottom w:val="single" w:sz="4" w:space="0" w:color="auto"/>
              <w:right w:val="single" w:sz="8" w:space="0" w:color="auto"/>
            </w:tcBorders>
            <w:vAlign w:val="center"/>
          </w:tcPr>
          <w:p w14:paraId="0CF08EAA" w14:textId="56EF7FCF" w:rsidR="005F167B" w:rsidRPr="00FE7C94" w:rsidRDefault="005F167B" w:rsidP="00FE7C94">
            <w:pPr>
              <w:ind w:left="80"/>
              <w:rPr>
                <w:lang w:val="bg-BG"/>
              </w:rPr>
            </w:pPr>
            <w:r w:rsidRPr="00A75581">
              <w:rPr>
                <w:rFonts w:eastAsia="Times New Roman"/>
              </w:rPr>
              <w:t xml:space="preserve">15 mg </w:t>
            </w:r>
            <w:r w:rsidR="00FE7C94">
              <w:rPr>
                <w:rFonts w:eastAsia="Times New Roman"/>
                <w:lang w:val="bg-BG"/>
              </w:rPr>
              <w:t>два пъти дневно</w:t>
            </w:r>
          </w:p>
        </w:tc>
        <w:tc>
          <w:tcPr>
            <w:tcW w:w="2160" w:type="dxa"/>
            <w:tcBorders>
              <w:top w:val="single" w:sz="8" w:space="0" w:color="auto"/>
              <w:bottom w:val="single" w:sz="4" w:space="0" w:color="auto"/>
              <w:right w:val="single" w:sz="8" w:space="0" w:color="auto"/>
            </w:tcBorders>
            <w:vAlign w:val="center"/>
          </w:tcPr>
          <w:p w14:paraId="039DB5FA" w14:textId="77777777" w:rsidR="005F167B" w:rsidRPr="00A75581" w:rsidRDefault="005F167B" w:rsidP="005F167B">
            <w:pPr>
              <w:ind w:left="100"/>
            </w:pPr>
            <w:r w:rsidRPr="00A75581">
              <w:rPr>
                <w:rFonts w:eastAsia="Times New Roman"/>
              </w:rPr>
              <w:t>30 mg</w:t>
            </w:r>
          </w:p>
        </w:tc>
      </w:tr>
      <w:tr w:rsidR="005F167B" w:rsidRPr="00A75581" w14:paraId="59AEFDC4" w14:textId="77777777" w:rsidTr="005F167B">
        <w:trPr>
          <w:trHeight w:val="420"/>
        </w:trPr>
        <w:tc>
          <w:tcPr>
            <w:tcW w:w="2360" w:type="dxa"/>
            <w:vMerge/>
            <w:tcBorders>
              <w:left w:val="single" w:sz="8" w:space="0" w:color="auto"/>
              <w:bottom w:val="single" w:sz="4" w:space="0" w:color="auto"/>
              <w:right w:val="single" w:sz="8" w:space="0" w:color="auto"/>
            </w:tcBorders>
            <w:vAlign w:val="center"/>
          </w:tcPr>
          <w:p w14:paraId="3CEAEC56" w14:textId="77777777" w:rsidR="005F167B" w:rsidRPr="00A75581" w:rsidRDefault="005F167B" w:rsidP="005F167B">
            <w:pPr>
              <w:ind w:left="120"/>
              <w:rPr>
                <w:rFonts w:eastAsia="Times New Roman"/>
              </w:rPr>
            </w:pPr>
          </w:p>
        </w:tc>
        <w:tc>
          <w:tcPr>
            <w:tcW w:w="2380" w:type="dxa"/>
            <w:tcBorders>
              <w:top w:val="single" w:sz="8" w:space="0" w:color="auto"/>
              <w:bottom w:val="single" w:sz="4" w:space="0" w:color="auto"/>
              <w:right w:val="single" w:sz="8" w:space="0" w:color="auto"/>
            </w:tcBorders>
            <w:vAlign w:val="center"/>
          </w:tcPr>
          <w:p w14:paraId="1B7977E3" w14:textId="7F5CD52C" w:rsidR="005F167B" w:rsidRPr="00FE7C94" w:rsidRDefault="00FE7C94" w:rsidP="00FE7C94">
            <w:pPr>
              <w:ind w:left="100"/>
              <w:rPr>
                <w:rFonts w:eastAsia="Times New Roman"/>
                <w:lang w:val="bg-BG"/>
              </w:rPr>
            </w:pPr>
            <w:r>
              <w:rPr>
                <w:rFonts w:eastAsia="Times New Roman"/>
              </w:rPr>
              <w:t>От ден</w:t>
            </w:r>
            <w:r w:rsidR="005F167B" w:rsidRPr="00BD6E58">
              <w:rPr>
                <w:rFonts w:eastAsia="Times New Roman"/>
              </w:rPr>
              <w:t xml:space="preserve"> 22 </w:t>
            </w:r>
            <w:r>
              <w:rPr>
                <w:rFonts w:eastAsia="Times New Roman"/>
                <w:lang w:val="bg-BG"/>
              </w:rPr>
              <w:t>нататък</w:t>
            </w:r>
          </w:p>
        </w:tc>
        <w:tc>
          <w:tcPr>
            <w:tcW w:w="2360" w:type="dxa"/>
            <w:tcBorders>
              <w:top w:val="single" w:sz="8" w:space="0" w:color="auto"/>
              <w:bottom w:val="single" w:sz="4" w:space="0" w:color="auto"/>
              <w:right w:val="single" w:sz="8" w:space="0" w:color="auto"/>
            </w:tcBorders>
            <w:vAlign w:val="center"/>
          </w:tcPr>
          <w:p w14:paraId="1DF8EE5F" w14:textId="72025F58" w:rsidR="005F167B" w:rsidRPr="00A75581" w:rsidRDefault="005F167B" w:rsidP="005F167B">
            <w:pPr>
              <w:ind w:left="80"/>
              <w:rPr>
                <w:rFonts w:eastAsia="Times New Roman"/>
              </w:rPr>
            </w:pPr>
            <w:r w:rsidRPr="00BD6E58">
              <w:rPr>
                <w:rFonts w:eastAsia="Times New Roman"/>
              </w:rPr>
              <w:t>2</w:t>
            </w:r>
            <w:r w:rsidR="00FE7C94">
              <w:rPr>
                <w:rFonts w:eastAsia="Times New Roman"/>
              </w:rPr>
              <w:t>0 mg веднъж дневно</w:t>
            </w:r>
          </w:p>
        </w:tc>
        <w:tc>
          <w:tcPr>
            <w:tcW w:w="2160" w:type="dxa"/>
            <w:tcBorders>
              <w:top w:val="single" w:sz="8" w:space="0" w:color="auto"/>
              <w:bottom w:val="single" w:sz="4" w:space="0" w:color="auto"/>
              <w:right w:val="single" w:sz="8" w:space="0" w:color="auto"/>
            </w:tcBorders>
            <w:vAlign w:val="center"/>
          </w:tcPr>
          <w:p w14:paraId="71DD811C" w14:textId="77777777" w:rsidR="005F167B" w:rsidRPr="00A75581" w:rsidRDefault="005F167B" w:rsidP="005F167B">
            <w:pPr>
              <w:ind w:left="100"/>
              <w:rPr>
                <w:rFonts w:eastAsia="Times New Roman"/>
              </w:rPr>
            </w:pPr>
            <w:r w:rsidRPr="00BD6E58">
              <w:rPr>
                <w:rFonts w:eastAsia="Times New Roman"/>
              </w:rPr>
              <w:t>20 mg</w:t>
            </w:r>
          </w:p>
        </w:tc>
      </w:tr>
      <w:tr w:rsidR="005F167B" w:rsidRPr="00A75581" w14:paraId="15E604C5" w14:textId="77777777" w:rsidTr="005F167B">
        <w:trPr>
          <w:trHeight w:val="20"/>
        </w:trPr>
        <w:tc>
          <w:tcPr>
            <w:tcW w:w="2360" w:type="dxa"/>
            <w:tcBorders>
              <w:top w:val="single" w:sz="4" w:space="0" w:color="auto"/>
              <w:left w:val="single" w:sz="8" w:space="0" w:color="auto"/>
              <w:bottom w:val="single" w:sz="4" w:space="0" w:color="auto"/>
              <w:right w:val="single" w:sz="8" w:space="0" w:color="auto"/>
            </w:tcBorders>
            <w:vAlign w:val="center"/>
          </w:tcPr>
          <w:p w14:paraId="1C9E4AF2" w14:textId="7949D446" w:rsidR="005F167B" w:rsidRPr="00A75581" w:rsidRDefault="00FE7C94" w:rsidP="005F167B">
            <w:pPr>
              <w:ind w:left="120"/>
            </w:pPr>
            <w:r w:rsidRPr="00FE7C94">
              <w:rPr>
                <w:rFonts w:eastAsia="Times New Roman"/>
              </w:rPr>
              <w:t>Профилактика на рецидивиращи ДВТ и БЕ</w:t>
            </w:r>
          </w:p>
        </w:tc>
        <w:tc>
          <w:tcPr>
            <w:tcW w:w="2380" w:type="dxa"/>
            <w:tcBorders>
              <w:top w:val="single" w:sz="4" w:space="0" w:color="auto"/>
              <w:bottom w:val="single" w:sz="4" w:space="0" w:color="auto"/>
              <w:right w:val="single" w:sz="8" w:space="0" w:color="auto"/>
            </w:tcBorders>
            <w:vAlign w:val="center"/>
          </w:tcPr>
          <w:p w14:paraId="511845DE" w14:textId="4281B11D" w:rsidR="005F167B" w:rsidRPr="00A75581" w:rsidRDefault="00FE7C94" w:rsidP="005F167B">
            <w:pPr>
              <w:ind w:left="100"/>
            </w:pPr>
            <w:r w:rsidRPr="00FE7C94">
              <w:rPr>
                <w:rFonts w:eastAsia="Times New Roman"/>
              </w:rPr>
              <w:t>След завършване на най-малко 6-месечна терапия за ДВТ или БЕ</w:t>
            </w:r>
          </w:p>
        </w:tc>
        <w:tc>
          <w:tcPr>
            <w:tcW w:w="2360" w:type="dxa"/>
            <w:tcBorders>
              <w:top w:val="single" w:sz="4" w:space="0" w:color="auto"/>
              <w:bottom w:val="single" w:sz="4" w:space="0" w:color="auto"/>
              <w:right w:val="single" w:sz="8" w:space="0" w:color="auto"/>
            </w:tcBorders>
            <w:vAlign w:val="center"/>
          </w:tcPr>
          <w:p w14:paraId="2B3D2453" w14:textId="7C3D7B54" w:rsidR="005F167B" w:rsidRPr="00A75581" w:rsidRDefault="00FE7C94" w:rsidP="005F167B">
            <w:pPr>
              <w:ind w:left="80"/>
            </w:pPr>
            <w:r>
              <w:rPr>
                <w:rFonts w:eastAsia="Times New Roman"/>
              </w:rPr>
              <w:t>10 mg веднъж дневно или</w:t>
            </w:r>
          </w:p>
          <w:p w14:paraId="63A7535A" w14:textId="6C73DC10" w:rsidR="005F167B" w:rsidRPr="00A75581" w:rsidRDefault="00FE7C94" w:rsidP="005F167B">
            <w:pPr>
              <w:ind w:left="80"/>
            </w:pPr>
            <w:r>
              <w:rPr>
                <w:rFonts w:eastAsia="Times New Roman"/>
              </w:rPr>
              <w:t>20 mg веднъж дневно</w:t>
            </w:r>
          </w:p>
        </w:tc>
        <w:tc>
          <w:tcPr>
            <w:tcW w:w="2160" w:type="dxa"/>
            <w:tcBorders>
              <w:top w:val="single" w:sz="4" w:space="0" w:color="auto"/>
              <w:bottom w:val="single" w:sz="4" w:space="0" w:color="auto"/>
              <w:right w:val="single" w:sz="8" w:space="0" w:color="auto"/>
            </w:tcBorders>
            <w:vAlign w:val="center"/>
          </w:tcPr>
          <w:p w14:paraId="25357D50" w14:textId="77777777" w:rsidR="005F167B" w:rsidRPr="00A75581" w:rsidRDefault="005F167B" w:rsidP="005F167B">
            <w:pPr>
              <w:ind w:left="100"/>
            </w:pPr>
            <w:r w:rsidRPr="00A75581">
              <w:rPr>
                <w:rFonts w:eastAsia="Times New Roman"/>
              </w:rPr>
              <w:t>10 mg</w:t>
            </w:r>
          </w:p>
          <w:p w14:paraId="101522D5" w14:textId="4A783797" w:rsidR="005F167B" w:rsidRPr="00A75581" w:rsidRDefault="004A5B3E" w:rsidP="005F167B">
            <w:pPr>
              <w:ind w:left="100"/>
            </w:pPr>
            <w:r>
              <w:rPr>
                <w:rFonts w:eastAsia="Times New Roman"/>
              </w:rPr>
              <w:t>или</w:t>
            </w:r>
            <w:r w:rsidR="005F167B" w:rsidRPr="00A75581">
              <w:rPr>
                <w:rFonts w:eastAsia="Times New Roman"/>
              </w:rPr>
              <w:t xml:space="preserve"> 20 mg</w:t>
            </w:r>
          </w:p>
        </w:tc>
      </w:tr>
    </w:tbl>
    <w:p w14:paraId="1FD0C8EF" w14:textId="7052511B" w:rsidR="005F167B" w:rsidRDefault="005F167B" w:rsidP="005F167B">
      <w:pPr>
        <w:pStyle w:val="Default"/>
        <w:rPr>
          <w:sz w:val="22"/>
          <w:szCs w:val="22"/>
        </w:rPr>
      </w:pPr>
    </w:p>
    <w:p w14:paraId="176F8F00" w14:textId="02F239FE" w:rsidR="005F167B" w:rsidRDefault="005F167B" w:rsidP="005F167B">
      <w:pPr>
        <w:pStyle w:val="Default"/>
        <w:rPr>
          <w:sz w:val="22"/>
          <w:szCs w:val="22"/>
        </w:rPr>
      </w:pPr>
      <w:r>
        <w:rPr>
          <w:sz w:val="22"/>
          <w:szCs w:val="22"/>
        </w:rPr>
        <w:t xml:space="preserve">Ако във фазата на лечение с 15 mg два пъти дневно (ден 1 - 21) се пропусне един прием, пациентът трябва незабавно да приеме </w:t>
      </w:r>
      <w:r w:rsidR="00277548">
        <w:rPr>
          <w:sz w:val="22"/>
          <w:szCs w:val="22"/>
        </w:rPr>
        <w:t>Руфиксало</w:t>
      </w:r>
      <w:r>
        <w:rPr>
          <w:sz w:val="22"/>
          <w:szCs w:val="22"/>
        </w:rPr>
        <w:t xml:space="preserve">, за да се осигури общо прието количество от 30 mg </w:t>
      </w:r>
      <w:r w:rsidR="00277548">
        <w:rPr>
          <w:sz w:val="22"/>
          <w:szCs w:val="22"/>
        </w:rPr>
        <w:t xml:space="preserve">Руфиксало </w:t>
      </w:r>
      <w:r>
        <w:rPr>
          <w:sz w:val="22"/>
          <w:szCs w:val="22"/>
        </w:rPr>
        <w:t xml:space="preserve">за един ден. В подобен случай може да бъдат приети две таблетки от 15 mg наведнъж. Пациентът трябва да продължи редовния прием на 15 mg два пъти дневно на следващия ден, както е препоръчано. </w:t>
      </w:r>
    </w:p>
    <w:p w14:paraId="4173B807" w14:textId="77777777" w:rsidR="005F167B" w:rsidRDefault="005F167B" w:rsidP="005F167B">
      <w:pPr>
        <w:pStyle w:val="Default"/>
        <w:rPr>
          <w:sz w:val="22"/>
          <w:szCs w:val="22"/>
        </w:rPr>
      </w:pPr>
    </w:p>
    <w:p w14:paraId="56AA8217" w14:textId="21CCAA3B" w:rsidR="005F167B" w:rsidRDefault="005F167B" w:rsidP="005F167B">
      <w:r>
        <w:t xml:space="preserve">Ако във фазата на лечение с един прием на ден се пропусне един прием, пациентът трябва незабавно да приеме </w:t>
      </w:r>
      <w:r w:rsidR="00277548">
        <w:t>Руфиксало</w:t>
      </w:r>
      <w:r>
        <w:t xml:space="preserve"> и трябва да продължи редовния прием веднъж дневно на следващия ден, както е препоръчано. Не трябва да се използва двойна доза в рамките един и същи ден, за да се компенсира пропуснатата доза.</w:t>
      </w:r>
    </w:p>
    <w:p w14:paraId="43AB5D78" w14:textId="0DDC5516" w:rsidR="00C64966" w:rsidRDefault="00C64966" w:rsidP="005F167B"/>
    <w:p w14:paraId="101EBF8A" w14:textId="77777777" w:rsidR="00C64966" w:rsidRDefault="00C64966" w:rsidP="00C64966">
      <w:pPr>
        <w:pStyle w:val="Default"/>
        <w:rPr>
          <w:sz w:val="22"/>
          <w:szCs w:val="22"/>
        </w:rPr>
      </w:pPr>
      <w:r>
        <w:rPr>
          <w:i/>
          <w:iCs/>
          <w:sz w:val="22"/>
          <w:szCs w:val="22"/>
        </w:rPr>
        <w:t xml:space="preserve">Лечение на ВТЕ и профилактика на рецидиви на ВТЕ при деца и юноши </w:t>
      </w:r>
    </w:p>
    <w:p w14:paraId="58B8E4F6" w14:textId="6A767E97" w:rsidR="00C64966" w:rsidRDefault="00C64966" w:rsidP="00C64966">
      <w:r>
        <w:t>Лечението при деца и юноши на възраст под 18 години трябва да започне най-малко 5 дни след начално парентерално антикоагулантно лечение (вж. точка 5.1).</w:t>
      </w:r>
    </w:p>
    <w:p w14:paraId="6D5D93CD" w14:textId="6FDE749E" w:rsidR="0027394E" w:rsidRDefault="0027394E" w:rsidP="0027394E">
      <w:pPr>
        <w:pStyle w:val="Default"/>
        <w:rPr>
          <w:sz w:val="22"/>
          <w:szCs w:val="22"/>
        </w:rPr>
      </w:pPr>
      <w:r>
        <w:rPr>
          <w:sz w:val="22"/>
          <w:szCs w:val="22"/>
        </w:rPr>
        <w:t xml:space="preserve">Дозата за деца и юноши се изчислява на базата на телесното тегло.  </w:t>
      </w:r>
    </w:p>
    <w:p w14:paraId="14055376" w14:textId="519B2DC8" w:rsidR="0027394E" w:rsidRDefault="0027394E" w:rsidP="00097A43">
      <w:pPr>
        <w:pStyle w:val="Default"/>
        <w:numPr>
          <w:ilvl w:val="0"/>
          <w:numId w:val="20"/>
        </w:numPr>
        <w:rPr>
          <w:sz w:val="22"/>
          <w:szCs w:val="22"/>
        </w:rPr>
      </w:pPr>
      <w:r>
        <w:rPr>
          <w:sz w:val="22"/>
          <w:szCs w:val="22"/>
        </w:rPr>
        <w:t xml:space="preserve">Телесно тегло от 30 до 50 kg: </w:t>
      </w:r>
    </w:p>
    <w:p w14:paraId="0C92EC53" w14:textId="3DE65A04" w:rsidR="0027394E" w:rsidRDefault="0027394E" w:rsidP="0027394E">
      <w:pPr>
        <w:pStyle w:val="Default"/>
        <w:ind w:left="720"/>
        <w:rPr>
          <w:sz w:val="22"/>
          <w:szCs w:val="22"/>
        </w:rPr>
      </w:pPr>
      <w:r>
        <w:rPr>
          <w:sz w:val="22"/>
          <w:szCs w:val="22"/>
        </w:rPr>
        <w:t>Препоръчва се еднократна дневна доза 15 mg ривароксабан. Това е максималната дневна доза.</w:t>
      </w:r>
    </w:p>
    <w:p w14:paraId="6529342C" w14:textId="77777777" w:rsidR="0027394E" w:rsidRPr="0027394E" w:rsidRDefault="0027394E" w:rsidP="0027394E">
      <w:pPr>
        <w:pStyle w:val="Default"/>
        <w:numPr>
          <w:ilvl w:val="0"/>
          <w:numId w:val="18"/>
        </w:numPr>
        <w:rPr>
          <w:sz w:val="22"/>
          <w:szCs w:val="22"/>
        </w:rPr>
      </w:pPr>
      <w:r w:rsidRPr="0027394E">
        <w:rPr>
          <w:sz w:val="22"/>
          <w:szCs w:val="22"/>
        </w:rPr>
        <w:t xml:space="preserve">Телесно тегло 50 kg или повече: </w:t>
      </w:r>
    </w:p>
    <w:p w14:paraId="677AE41B" w14:textId="4A9F0F97" w:rsidR="0027394E" w:rsidRDefault="0027394E" w:rsidP="0027394E">
      <w:pPr>
        <w:pStyle w:val="Default"/>
        <w:ind w:left="720"/>
        <w:rPr>
          <w:sz w:val="22"/>
          <w:szCs w:val="22"/>
        </w:rPr>
      </w:pPr>
      <w:r>
        <w:rPr>
          <w:sz w:val="22"/>
          <w:szCs w:val="22"/>
        </w:rPr>
        <w:t xml:space="preserve">препоръчва се еднократна дневна доза 20 mg ривароксабан. Това е максималната дневна доза. </w:t>
      </w:r>
    </w:p>
    <w:p w14:paraId="5325EDB2" w14:textId="77777777" w:rsidR="004468D7" w:rsidRDefault="004468D7" w:rsidP="0027394E">
      <w:pPr>
        <w:pStyle w:val="Default"/>
        <w:ind w:left="720"/>
        <w:rPr>
          <w:sz w:val="22"/>
          <w:szCs w:val="22"/>
        </w:rPr>
      </w:pPr>
    </w:p>
    <w:p w14:paraId="6034C43A" w14:textId="108C6C9C" w:rsidR="0027394E" w:rsidRDefault="0027394E" w:rsidP="0027394E">
      <w:pPr>
        <w:pStyle w:val="Default"/>
        <w:rPr>
          <w:sz w:val="22"/>
          <w:szCs w:val="22"/>
        </w:rPr>
      </w:pPr>
      <w:r>
        <w:rPr>
          <w:sz w:val="22"/>
          <w:szCs w:val="22"/>
        </w:rPr>
        <w:t xml:space="preserve">Теглото на детето трябва да се проследява и дозата да се преразглежда редовно. Това е необходимо, за да се гарантира, че се поддържа терапевтична доза. Корекция на дозата трябва да се прави само въз основа на промени в телесното тегло. </w:t>
      </w:r>
    </w:p>
    <w:p w14:paraId="762F5C22" w14:textId="77777777" w:rsidR="0027394E" w:rsidRDefault="0027394E" w:rsidP="0027394E">
      <w:pPr>
        <w:pStyle w:val="Default"/>
        <w:rPr>
          <w:sz w:val="22"/>
          <w:szCs w:val="22"/>
        </w:rPr>
      </w:pPr>
    </w:p>
    <w:p w14:paraId="0F3837B3" w14:textId="6358BBE9" w:rsidR="0027394E" w:rsidRDefault="0027394E" w:rsidP="0027394E">
      <w:pPr>
        <w:pStyle w:val="Default"/>
        <w:rPr>
          <w:sz w:val="22"/>
          <w:szCs w:val="22"/>
        </w:rPr>
      </w:pPr>
      <w:r>
        <w:rPr>
          <w:sz w:val="22"/>
          <w:szCs w:val="22"/>
        </w:rPr>
        <w:t xml:space="preserve">Лечението трябва да бъде продължено за най-малко 3 месеца при деца и юноши. Лечението може да бъде удължено до 12 месеца, когато е клинично необходимо. Липсват данни при деца в подкрепа на намаляване на дозата след 6-месечно лечение. Съотношението полза-риск на продължаване на терапията след 3 месеца трябва да бъде оценено на индивидуална база, като се има предвид риска от рецидивираща тромбоза спрямо потенциалния риск от кървене.  </w:t>
      </w:r>
    </w:p>
    <w:p w14:paraId="43B1A982" w14:textId="43242B64" w:rsidR="0027394E" w:rsidRDefault="0027394E" w:rsidP="00C64966"/>
    <w:p w14:paraId="5DA176E4" w14:textId="552B0716" w:rsidR="0027394E" w:rsidRDefault="0027394E" w:rsidP="00C64966">
      <w:r>
        <w:t>Ако се пропусне един прием, пропуснатата доза трябва да се вземе възможно най-скоро след като се забележи пропуска, но само в същия ден. Ако това не е възможно, пациентът трябва да пропусне дозата и да продължи със следващата доза, както е предписано. Пациентът не трябва да взема две дози, за да компенсира пропуснатата доза.</w:t>
      </w:r>
    </w:p>
    <w:p w14:paraId="292AEC9C" w14:textId="77777777" w:rsidR="0027394E" w:rsidRDefault="0027394E" w:rsidP="00FE7C94">
      <w:pPr>
        <w:pStyle w:val="Default"/>
        <w:rPr>
          <w:i/>
          <w:iCs/>
          <w:sz w:val="22"/>
          <w:szCs w:val="22"/>
        </w:rPr>
      </w:pPr>
    </w:p>
    <w:p w14:paraId="0E01B379" w14:textId="77777777" w:rsidR="0027394E" w:rsidRDefault="00FE7C94" w:rsidP="00FE7C94">
      <w:pPr>
        <w:pStyle w:val="Default"/>
        <w:rPr>
          <w:i/>
          <w:sz w:val="22"/>
          <w:szCs w:val="22"/>
        </w:rPr>
      </w:pPr>
      <w:r>
        <w:rPr>
          <w:i/>
          <w:iCs/>
          <w:sz w:val="22"/>
          <w:szCs w:val="22"/>
        </w:rPr>
        <w:t xml:space="preserve">Преминаване от лечение с антагонисти на витамин К (АВК) към </w:t>
      </w:r>
      <w:r w:rsidR="00277548" w:rsidRPr="00C57677">
        <w:rPr>
          <w:i/>
          <w:sz w:val="22"/>
          <w:szCs w:val="22"/>
        </w:rPr>
        <w:t>Руфиксало</w:t>
      </w:r>
    </w:p>
    <w:p w14:paraId="5081E1AF" w14:textId="3E9E107E" w:rsidR="0027394E" w:rsidRDefault="0027394E" w:rsidP="0027394E">
      <w:pPr>
        <w:pStyle w:val="Default"/>
        <w:rPr>
          <w:sz w:val="22"/>
          <w:szCs w:val="22"/>
        </w:rPr>
      </w:pPr>
      <w:r>
        <w:rPr>
          <w:sz w:val="22"/>
          <w:szCs w:val="22"/>
        </w:rPr>
        <w:t>-</w:t>
      </w:r>
      <w:r>
        <w:rPr>
          <w:sz w:val="22"/>
          <w:szCs w:val="22"/>
        </w:rPr>
        <w:tab/>
        <w:t xml:space="preserve">Профилактика на инсулт и системна емболия: </w:t>
      </w:r>
    </w:p>
    <w:p w14:paraId="21BBE698" w14:textId="7A00B1A9" w:rsidR="0027394E" w:rsidRDefault="0027394E" w:rsidP="0027394E">
      <w:pPr>
        <w:pStyle w:val="Default"/>
        <w:ind w:left="720"/>
        <w:rPr>
          <w:sz w:val="22"/>
          <w:szCs w:val="22"/>
        </w:rPr>
      </w:pPr>
      <w:r>
        <w:rPr>
          <w:sz w:val="22"/>
          <w:szCs w:val="22"/>
        </w:rPr>
        <w:t xml:space="preserve">АВК трябва да се спрат и да се започне </w:t>
      </w:r>
      <w:r w:rsidR="00D25496">
        <w:rPr>
          <w:sz w:val="22"/>
          <w:szCs w:val="22"/>
        </w:rPr>
        <w:t>лечението с Руфиксало</w:t>
      </w:r>
      <w:r>
        <w:rPr>
          <w:sz w:val="22"/>
          <w:szCs w:val="22"/>
        </w:rPr>
        <w:t xml:space="preserve">, когато Международното Нормализирано съотношение (International Normalised Ratio, INR) е ≤ 3,0. </w:t>
      </w:r>
    </w:p>
    <w:p w14:paraId="408A1DE6" w14:textId="1B4A783D" w:rsidR="0027394E" w:rsidRDefault="0027394E" w:rsidP="0027394E">
      <w:pPr>
        <w:pStyle w:val="Default"/>
        <w:ind w:left="720" w:hanging="720"/>
        <w:rPr>
          <w:sz w:val="22"/>
          <w:szCs w:val="22"/>
        </w:rPr>
      </w:pPr>
      <w:r>
        <w:rPr>
          <w:sz w:val="22"/>
          <w:szCs w:val="22"/>
        </w:rPr>
        <w:lastRenderedPageBreak/>
        <w:t xml:space="preserve">- </w:t>
      </w:r>
      <w:r>
        <w:rPr>
          <w:sz w:val="22"/>
          <w:szCs w:val="22"/>
        </w:rPr>
        <w:tab/>
        <w:t xml:space="preserve">Лечение на ДВТ, БЕ и профилактика на рецидиви при възрастни и лечение на ВТЕ и профилактика на рецивиди при педиатрични пациенти: </w:t>
      </w:r>
    </w:p>
    <w:p w14:paraId="0DA9E1BD" w14:textId="590B6263" w:rsidR="0027394E" w:rsidRDefault="0027394E" w:rsidP="0027394E">
      <w:pPr>
        <w:pStyle w:val="Default"/>
        <w:ind w:firstLine="720"/>
        <w:rPr>
          <w:sz w:val="22"/>
          <w:szCs w:val="22"/>
        </w:rPr>
      </w:pPr>
      <w:r>
        <w:rPr>
          <w:sz w:val="22"/>
          <w:szCs w:val="22"/>
        </w:rPr>
        <w:t>АВК трябва да се спрат и д</w:t>
      </w:r>
      <w:r w:rsidR="00D25496">
        <w:rPr>
          <w:sz w:val="22"/>
          <w:szCs w:val="22"/>
        </w:rPr>
        <w:t>а се започне лечението с Руфиксало</w:t>
      </w:r>
      <w:r>
        <w:rPr>
          <w:sz w:val="22"/>
          <w:szCs w:val="22"/>
        </w:rPr>
        <w:t xml:space="preserve">, когато INR е ≤ 2,5. </w:t>
      </w:r>
    </w:p>
    <w:p w14:paraId="5028986B" w14:textId="1DC192C1" w:rsidR="00FE7C94" w:rsidRPr="00C57677" w:rsidRDefault="0027394E" w:rsidP="0027394E">
      <w:pPr>
        <w:pStyle w:val="Default"/>
        <w:rPr>
          <w:i/>
          <w:sz w:val="22"/>
          <w:szCs w:val="22"/>
        </w:rPr>
      </w:pPr>
      <w:r>
        <w:rPr>
          <w:sz w:val="22"/>
          <w:szCs w:val="22"/>
        </w:rPr>
        <w:t xml:space="preserve">При преминаване от лечение с АВК към лечение с </w:t>
      </w:r>
      <w:r w:rsidR="00D25496">
        <w:rPr>
          <w:sz w:val="22"/>
          <w:szCs w:val="22"/>
        </w:rPr>
        <w:t>Руфиксало</w:t>
      </w:r>
      <w:r>
        <w:rPr>
          <w:sz w:val="22"/>
          <w:szCs w:val="22"/>
        </w:rPr>
        <w:t xml:space="preserve"> стойностите на INR ще бъдат фалшиво повишени след приема на </w:t>
      </w:r>
      <w:r w:rsidR="00D25496">
        <w:rPr>
          <w:sz w:val="22"/>
          <w:szCs w:val="22"/>
        </w:rPr>
        <w:t>Руфиксало</w:t>
      </w:r>
      <w:r>
        <w:rPr>
          <w:sz w:val="22"/>
          <w:szCs w:val="22"/>
        </w:rPr>
        <w:t xml:space="preserve">. INR не е валиден параметър за измерване на антикоагулантната активност на </w:t>
      </w:r>
      <w:r w:rsidR="00D25496">
        <w:rPr>
          <w:sz w:val="22"/>
          <w:szCs w:val="22"/>
        </w:rPr>
        <w:t>Руфиксало</w:t>
      </w:r>
      <w:r>
        <w:rPr>
          <w:sz w:val="22"/>
          <w:szCs w:val="22"/>
        </w:rPr>
        <w:t xml:space="preserve"> и следователно не трябва да се използва (вж. точка 4.5). </w:t>
      </w:r>
      <w:r w:rsidR="00FE7C94" w:rsidRPr="00C57677">
        <w:rPr>
          <w:i/>
          <w:iCs/>
          <w:sz w:val="22"/>
          <w:szCs w:val="22"/>
        </w:rPr>
        <w:t xml:space="preserve"> </w:t>
      </w:r>
    </w:p>
    <w:p w14:paraId="12CE1CF9" w14:textId="163F52C7" w:rsidR="00FE7C94" w:rsidRDefault="00FE7C94" w:rsidP="00FE7C94"/>
    <w:p w14:paraId="5474F940" w14:textId="564CADFA" w:rsidR="00FE7C94" w:rsidRDefault="00FE7C94" w:rsidP="00FE7C94">
      <w:pPr>
        <w:pStyle w:val="Default"/>
        <w:rPr>
          <w:sz w:val="22"/>
          <w:szCs w:val="22"/>
        </w:rPr>
      </w:pPr>
      <w:r>
        <w:rPr>
          <w:i/>
          <w:iCs/>
          <w:sz w:val="22"/>
          <w:szCs w:val="22"/>
        </w:rPr>
        <w:t xml:space="preserve">Преминаване от лечение с </w:t>
      </w:r>
      <w:r w:rsidR="00277548">
        <w:rPr>
          <w:sz w:val="22"/>
          <w:szCs w:val="22"/>
        </w:rPr>
        <w:t>Руфиксало</w:t>
      </w:r>
      <w:r>
        <w:rPr>
          <w:i/>
          <w:iCs/>
          <w:sz w:val="22"/>
          <w:szCs w:val="22"/>
        </w:rPr>
        <w:t xml:space="preserve"> към антагонисти на витамин К (АВК) </w:t>
      </w:r>
    </w:p>
    <w:p w14:paraId="268AF394" w14:textId="1EE846B2" w:rsidR="00FE7C94" w:rsidRDefault="00FE7C94" w:rsidP="00FE7C94">
      <w:pPr>
        <w:pStyle w:val="Default"/>
        <w:rPr>
          <w:sz w:val="22"/>
          <w:szCs w:val="22"/>
        </w:rPr>
      </w:pPr>
      <w:r>
        <w:rPr>
          <w:sz w:val="22"/>
          <w:szCs w:val="22"/>
        </w:rPr>
        <w:t>Има вероятност антикоагулацията да бъде неадекватна в хода на пр</w:t>
      </w:r>
      <w:r w:rsidR="00277548">
        <w:rPr>
          <w:sz w:val="22"/>
          <w:szCs w:val="22"/>
        </w:rPr>
        <w:t>еминаването от лечение с Руфиксало</w:t>
      </w:r>
      <w:r>
        <w:rPr>
          <w:sz w:val="22"/>
          <w:szCs w:val="22"/>
        </w:rPr>
        <w:t xml:space="preserve"> към АВК. Трябва да се осигури продължителна адекватна антикоагулация при преминаване към алтернативен антикоагулант. Т</w:t>
      </w:r>
      <w:r w:rsidR="00277548">
        <w:rPr>
          <w:sz w:val="22"/>
          <w:szCs w:val="22"/>
        </w:rPr>
        <w:t>рябва да се отбележи, че Руфиксало</w:t>
      </w:r>
      <w:r>
        <w:rPr>
          <w:sz w:val="22"/>
          <w:szCs w:val="22"/>
        </w:rPr>
        <w:t xml:space="preserve"> може да обуслови повишени стойности на INR. </w:t>
      </w:r>
    </w:p>
    <w:p w14:paraId="165755C4" w14:textId="466A568E" w:rsidR="00FE7C94" w:rsidRDefault="00FE7C94" w:rsidP="00FE7C94">
      <w:r>
        <w:t xml:space="preserve">При пациенти, </w:t>
      </w:r>
      <w:r w:rsidR="00277548">
        <w:t>преминаващи от лечение с Руфиксало</w:t>
      </w:r>
      <w:r>
        <w:t xml:space="preserve"> към АВК, АВК трябва да се приемат паралелно до достигане на INR ≥ 2,0. През първите два дни от преходния период трябва да се прилага стандартната начална доза АВК, след което дозата на АВК трябва да е според резултатите за INR. Докато пациентите приемат едновременно </w:t>
      </w:r>
      <w:r w:rsidR="00277548">
        <w:t xml:space="preserve">Руфиксало </w:t>
      </w:r>
      <w:r>
        <w:t xml:space="preserve">и АВК, INR не трябва да се изследва по-рано от 24 часа след предходната доза, а само непосредствено преди следващата доза </w:t>
      </w:r>
      <w:r w:rsidR="00277548">
        <w:t>Руфиксало</w:t>
      </w:r>
      <w:r>
        <w:t xml:space="preserve">. След като се преустанови приема на </w:t>
      </w:r>
      <w:r w:rsidR="00277548">
        <w:t>Руфиксало</w:t>
      </w:r>
      <w:r>
        <w:t>, INR може да се изследва и резултатите да са надеждни поне 24 часа след приема на последната доза (вж. точки 4.5 и 5.2).</w:t>
      </w:r>
    </w:p>
    <w:p w14:paraId="788752D5" w14:textId="77777777" w:rsidR="00D25496" w:rsidRDefault="00D25496" w:rsidP="00FE7C94"/>
    <w:p w14:paraId="15268C21" w14:textId="77777777" w:rsidR="00D25496" w:rsidRDefault="00D25496" w:rsidP="00D25496">
      <w:pPr>
        <w:pStyle w:val="Default"/>
        <w:rPr>
          <w:sz w:val="22"/>
          <w:szCs w:val="22"/>
        </w:rPr>
      </w:pPr>
      <w:r>
        <w:rPr>
          <w:sz w:val="22"/>
          <w:szCs w:val="22"/>
        </w:rPr>
        <w:t xml:space="preserve">Педиатрични пациенти: </w:t>
      </w:r>
    </w:p>
    <w:p w14:paraId="78F5CEB3" w14:textId="3FBC053D" w:rsidR="00FE7C94" w:rsidRDefault="00D25496" w:rsidP="00D25496">
      <w:r>
        <w:t>Дец</w:t>
      </w:r>
      <w:r w:rsidR="004C07F9">
        <w:t>ата, които преминават от Руфиксало</w:t>
      </w:r>
      <w:r>
        <w:t xml:space="preserve"> към АВК, трябва</w:t>
      </w:r>
      <w:r w:rsidR="004C07F9">
        <w:t xml:space="preserve"> да продължат да приемат Руфиксало</w:t>
      </w:r>
      <w:r>
        <w:t xml:space="preserve"> за 48 часа след първата доза АВК. След 2 дни на едновременно приложение трябва да се направи изследване и да се получат резултатите за IN</w:t>
      </w:r>
      <w:r w:rsidR="004C07F9">
        <w:t>R, преди следващата доза Руфиксало</w:t>
      </w:r>
      <w:r>
        <w:t xml:space="preserve"> по схемата. Препоръчва се едновременното приложение на </w:t>
      </w:r>
      <w:r w:rsidR="004C07F9">
        <w:t>Руфиксал</w:t>
      </w:r>
      <w:r w:rsidR="004C07F9">
        <w:rPr>
          <w:lang w:val="bg-BG"/>
        </w:rPr>
        <w:t>о</w:t>
      </w:r>
      <w:r>
        <w:t xml:space="preserve"> и АВК да продължи, докато INR e ≥ 2,0. Щом като приемът на </w:t>
      </w:r>
      <w:r w:rsidR="004C07F9">
        <w:t>Руфиксал</w:t>
      </w:r>
      <w:r w:rsidR="004C07F9">
        <w:rPr>
          <w:lang w:val="bg-BG"/>
        </w:rPr>
        <w:t>о</w:t>
      </w:r>
      <w:r>
        <w:t xml:space="preserve"> е преустановен, INR може да се изследва и да се получат надеждни резултати 24 часа след приема на последната доза (вж. по-горе и точка 4.5).</w:t>
      </w:r>
    </w:p>
    <w:p w14:paraId="06C9E09A" w14:textId="77777777" w:rsidR="00D25496" w:rsidRDefault="00D25496" w:rsidP="00D25496"/>
    <w:p w14:paraId="0BA5F506" w14:textId="41840EBD" w:rsidR="00FE7C94" w:rsidRDefault="00FE7C94" w:rsidP="00FE7C94">
      <w:pPr>
        <w:pStyle w:val="Default"/>
        <w:rPr>
          <w:sz w:val="22"/>
          <w:szCs w:val="22"/>
        </w:rPr>
      </w:pPr>
      <w:r>
        <w:rPr>
          <w:i/>
          <w:iCs/>
          <w:sz w:val="22"/>
          <w:szCs w:val="22"/>
        </w:rPr>
        <w:t xml:space="preserve">Преминаване от лечение с парентерални антикоагуланти към </w:t>
      </w:r>
      <w:r w:rsidR="00277548" w:rsidRPr="00277548">
        <w:rPr>
          <w:i/>
          <w:iCs/>
          <w:sz w:val="22"/>
          <w:szCs w:val="22"/>
        </w:rPr>
        <w:t>Руфиксало</w:t>
      </w:r>
      <w:r>
        <w:rPr>
          <w:i/>
          <w:iCs/>
          <w:sz w:val="22"/>
          <w:szCs w:val="22"/>
        </w:rPr>
        <w:t xml:space="preserve"> </w:t>
      </w:r>
    </w:p>
    <w:p w14:paraId="78B58C6A" w14:textId="0B1F6442" w:rsidR="00FE7C94" w:rsidRDefault="00FE7C94" w:rsidP="00FE7C94">
      <w:pPr>
        <w:pStyle w:val="Default"/>
        <w:rPr>
          <w:sz w:val="22"/>
          <w:szCs w:val="22"/>
        </w:rPr>
      </w:pPr>
      <w:r>
        <w:rPr>
          <w:sz w:val="22"/>
          <w:szCs w:val="22"/>
        </w:rPr>
        <w:t>При</w:t>
      </w:r>
      <w:r w:rsidR="00D25496">
        <w:rPr>
          <w:sz w:val="22"/>
          <w:szCs w:val="22"/>
        </w:rPr>
        <w:t xml:space="preserve"> възрастни и педиатрични пациенти</w:t>
      </w:r>
      <w:r>
        <w:rPr>
          <w:sz w:val="22"/>
          <w:szCs w:val="22"/>
        </w:rPr>
        <w:t xml:space="preserve">, които в момента получават парентерални антикоагуланти, преустановяването на парентералния антикоагулант и започването на </w:t>
      </w:r>
      <w:r w:rsidR="00277548">
        <w:rPr>
          <w:sz w:val="22"/>
          <w:szCs w:val="22"/>
        </w:rPr>
        <w:t>Руфиксало</w:t>
      </w:r>
      <w:r>
        <w:rPr>
          <w:sz w:val="22"/>
          <w:szCs w:val="22"/>
        </w:rPr>
        <w:t xml:space="preserve"> трябва да се осъществят 0 до 2 часа преди момента за следващото планово приложение на парентералния лекарствен продукт (напр. нискомолекулен хепарин) или в момента на спиране на продължителното приложение на парентералния лекарствен продукт (напр. интравенозeн нефракциониран хепарин). </w:t>
      </w:r>
    </w:p>
    <w:p w14:paraId="543A570F" w14:textId="77777777" w:rsidR="00FE7C94" w:rsidRDefault="00FE7C94" w:rsidP="00FE7C94">
      <w:pPr>
        <w:pStyle w:val="Default"/>
        <w:rPr>
          <w:sz w:val="22"/>
          <w:szCs w:val="22"/>
        </w:rPr>
      </w:pPr>
    </w:p>
    <w:p w14:paraId="67D8C946" w14:textId="42471E59" w:rsidR="00FE7C94" w:rsidRDefault="00FE7C94" w:rsidP="00FE7C94">
      <w:pPr>
        <w:pStyle w:val="Default"/>
        <w:rPr>
          <w:sz w:val="22"/>
          <w:szCs w:val="22"/>
        </w:rPr>
      </w:pPr>
      <w:r>
        <w:rPr>
          <w:i/>
          <w:iCs/>
          <w:sz w:val="22"/>
          <w:szCs w:val="22"/>
        </w:rPr>
        <w:t xml:space="preserve">Преминаване от лечение с </w:t>
      </w:r>
      <w:r w:rsidR="00277548" w:rsidRPr="00277548">
        <w:rPr>
          <w:i/>
          <w:iCs/>
          <w:sz w:val="22"/>
          <w:szCs w:val="22"/>
        </w:rPr>
        <w:t>Руф</w:t>
      </w:r>
      <w:r w:rsidR="00277548">
        <w:rPr>
          <w:i/>
          <w:iCs/>
          <w:sz w:val="22"/>
          <w:szCs w:val="22"/>
        </w:rPr>
        <w:t>и</w:t>
      </w:r>
      <w:r w:rsidR="00277548" w:rsidRPr="00277548">
        <w:rPr>
          <w:i/>
          <w:iCs/>
          <w:sz w:val="22"/>
          <w:szCs w:val="22"/>
        </w:rPr>
        <w:t>ксало</w:t>
      </w:r>
      <w:r>
        <w:rPr>
          <w:i/>
          <w:iCs/>
          <w:sz w:val="22"/>
          <w:szCs w:val="22"/>
        </w:rPr>
        <w:t xml:space="preserve"> към парентерални антикоагуланти </w:t>
      </w:r>
    </w:p>
    <w:p w14:paraId="289E5522" w14:textId="6DD1EEBA" w:rsidR="00FE7C94" w:rsidRDefault="00D25496" w:rsidP="00FE7C94">
      <w:r>
        <w:t>Преустановете приема на Руфиксало и приложете първата доза от парентералния антикоагулант в момента, когато трябва да се приеме следващата доза Руфиксало.</w:t>
      </w:r>
    </w:p>
    <w:p w14:paraId="20738BD6" w14:textId="77777777" w:rsidR="00D25496" w:rsidRPr="00FE7C94" w:rsidRDefault="00D25496" w:rsidP="00FE7C94">
      <w:pPr>
        <w:rPr>
          <w:u w:val="single"/>
        </w:rPr>
      </w:pPr>
    </w:p>
    <w:p w14:paraId="638599B2" w14:textId="77777777" w:rsidR="00FE7C94" w:rsidRPr="00FE7C94" w:rsidRDefault="00FE7C94" w:rsidP="00FE7C94">
      <w:pPr>
        <w:pStyle w:val="Default"/>
        <w:rPr>
          <w:sz w:val="22"/>
          <w:szCs w:val="22"/>
          <w:u w:val="single"/>
        </w:rPr>
      </w:pPr>
      <w:r w:rsidRPr="00FE7C94">
        <w:rPr>
          <w:sz w:val="22"/>
          <w:szCs w:val="22"/>
          <w:u w:val="single"/>
        </w:rPr>
        <w:t xml:space="preserve">Специални популации </w:t>
      </w:r>
    </w:p>
    <w:p w14:paraId="76B9C81F" w14:textId="77777777" w:rsidR="00D25496" w:rsidRDefault="00FE7C94" w:rsidP="00FE7C94">
      <w:pPr>
        <w:pStyle w:val="Default"/>
        <w:rPr>
          <w:i/>
          <w:iCs/>
          <w:sz w:val="22"/>
          <w:szCs w:val="22"/>
        </w:rPr>
      </w:pPr>
      <w:r>
        <w:rPr>
          <w:i/>
          <w:iCs/>
          <w:sz w:val="22"/>
          <w:szCs w:val="22"/>
        </w:rPr>
        <w:t>Бъбречно увреждане</w:t>
      </w:r>
    </w:p>
    <w:p w14:paraId="1766344F" w14:textId="41929321" w:rsidR="00FE7C94" w:rsidRDefault="00D25496" w:rsidP="00FE7C94">
      <w:pPr>
        <w:pStyle w:val="Default"/>
        <w:rPr>
          <w:sz w:val="22"/>
          <w:szCs w:val="22"/>
        </w:rPr>
      </w:pPr>
      <w:r>
        <w:rPr>
          <w:sz w:val="22"/>
          <w:szCs w:val="22"/>
        </w:rPr>
        <w:t>Възрастни:</w:t>
      </w:r>
      <w:r w:rsidR="00FE7C94">
        <w:rPr>
          <w:i/>
          <w:iCs/>
          <w:sz w:val="22"/>
          <w:szCs w:val="22"/>
        </w:rPr>
        <w:t xml:space="preserve"> </w:t>
      </w:r>
    </w:p>
    <w:p w14:paraId="2643D566" w14:textId="7733A5B6" w:rsidR="00FE7C94" w:rsidRDefault="00FE7C94" w:rsidP="00FE7C94">
      <w:r>
        <w:t xml:space="preserve">Ограничените клинични данни от пациенти с тежка степен на бъбречно увреждане (креатининов клирънс 15 - 29 ml/min) показват, че плазмените концентрации на ривароксабан са значително повишени. По тази причина </w:t>
      </w:r>
      <w:r w:rsidR="00277548">
        <w:t>Руф</w:t>
      </w:r>
      <w:r w:rsidR="00277548">
        <w:rPr>
          <w:lang w:val="bg-BG"/>
        </w:rPr>
        <w:t>и</w:t>
      </w:r>
      <w:r w:rsidR="00277548">
        <w:t>ксало</w:t>
      </w:r>
      <w:r>
        <w:t xml:space="preserve"> трябва да се прилага внимателно при тези пациенти. Не се препоръчва употребата при пациенти с креатининов клирънс &lt; 15 ml/min (вж. точки 4.4 и 5.2).</w:t>
      </w:r>
    </w:p>
    <w:p w14:paraId="0A517ED7" w14:textId="77777777" w:rsidR="00D25496" w:rsidRDefault="00D25496" w:rsidP="00FE7C94">
      <w:pPr>
        <w:pStyle w:val="Default"/>
        <w:rPr>
          <w:sz w:val="22"/>
          <w:szCs w:val="22"/>
        </w:rPr>
      </w:pPr>
    </w:p>
    <w:p w14:paraId="50095098" w14:textId="5106DD7D" w:rsidR="00FE7C94" w:rsidRDefault="00D25496" w:rsidP="00FE7C94">
      <w:pPr>
        <w:pStyle w:val="Default"/>
        <w:rPr>
          <w:sz w:val="22"/>
          <w:szCs w:val="22"/>
        </w:rPr>
      </w:pPr>
      <w:r>
        <w:rPr>
          <w:sz w:val="22"/>
          <w:szCs w:val="22"/>
        </w:rPr>
        <w:lastRenderedPageBreak/>
        <w:t>При пациенти с умерена степен на бъбречно увреждане (креатининов клирънс 30 - 49 ml/min) или с тежка степен на бъбречно увреждане (креатининов клирънс 15 - 29 ml/min) са валидни следните препоръки за дозиране:</w:t>
      </w:r>
    </w:p>
    <w:p w14:paraId="0F6BE3B9" w14:textId="77777777" w:rsidR="00D25496" w:rsidRDefault="00D25496" w:rsidP="00FE7C94">
      <w:pPr>
        <w:pStyle w:val="Default"/>
      </w:pPr>
    </w:p>
    <w:p w14:paraId="053E8E34" w14:textId="4C4A6594" w:rsidR="00D25496" w:rsidRDefault="00FE7C94" w:rsidP="00C20179">
      <w:pPr>
        <w:pStyle w:val="Default"/>
        <w:ind w:left="720" w:hanging="720"/>
        <w:rPr>
          <w:sz w:val="22"/>
          <w:szCs w:val="22"/>
        </w:rPr>
      </w:pPr>
      <w:r>
        <w:rPr>
          <w:sz w:val="22"/>
          <w:szCs w:val="22"/>
        </w:rPr>
        <w:t>-</w:t>
      </w:r>
      <w:r>
        <w:rPr>
          <w:sz w:val="22"/>
          <w:szCs w:val="22"/>
        </w:rPr>
        <w:tab/>
      </w:r>
      <w:r w:rsidR="00D25496">
        <w:rPr>
          <w:sz w:val="22"/>
          <w:szCs w:val="22"/>
        </w:rPr>
        <w:t xml:space="preserve">За профилактика на инсулт и системна емболия при пациенти с неклапно предсърдно мъждене препоръчителната доза е 15 mg веднъж дневно (вж. точка 5.2). </w:t>
      </w:r>
    </w:p>
    <w:p w14:paraId="5D27AB1E" w14:textId="77777777" w:rsidR="00C20179" w:rsidRPr="00C20179" w:rsidRDefault="00C20179" w:rsidP="00C20179">
      <w:pPr>
        <w:pStyle w:val="Default"/>
        <w:ind w:left="720" w:hanging="720"/>
      </w:pPr>
    </w:p>
    <w:p w14:paraId="3AC7EC79" w14:textId="33F837E4" w:rsidR="00C20179" w:rsidRDefault="00D25496" w:rsidP="00C20179">
      <w:pPr>
        <w:pStyle w:val="Default"/>
        <w:ind w:left="720" w:hanging="720"/>
        <w:rPr>
          <w:sz w:val="22"/>
          <w:szCs w:val="22"/>
        </w:rPr>
      </w:pPr>
      <w:r>
        <w:rPr>
          <w:sz w:val="22"/>
          <w:szCs w:val="22"/>
        </w:rPr>
        <w:t>-</w:t>
      </w:r>
      <w:r>
        <w:rPr>
          <w:sz w:val="22"/>
          <w:szCs w:val="22"/>
        </w:rPr>
        <w:tab/>
        <w:t xml:space="preserve">За лечение на ДВТ, лечение на БЕ и профилактика на рецидивиращи ДВТ и БЕ: пациентите трябва да бъдат лекувани с 15 mg два пъти дневно през първите 3 седмици. След това, когато препоръчителната доза е 20 mg един път дневно, трябва да се обмисли намаляване на дозата от 20 mg веднъж дневно на 15 mg един път дневно, ако оцененият риск от кървене за пациента надхвърля риска от рецидивиращи ДВТ и БЕ. Препоръката за употребата на 15 mg се основава на фармакокинетично моделиране и не е проучвана при тези клинични условия (вж. точки 4.4, 5.1 и 5.2). </w:t>
      </w:r>
    </w:p>
    <w:p w14:paraId="1DC95536" w14:textId="77777777" w:rsidR="004C07F9" w:rsidRDefault="00D25496" w:rsidP="00C20179">
      <w:pPr>
        <w:pStyle w:val="Default"/>
        <w:ind w:left="720"/>
        <w:rPr>
          <w:sz w:val="22"/>
          <w:szCs w:val="22"/>
        </w:rPr>
      </w:pPr>
      <w:r>
        <w:rPr>
          <w:sz w:val="22"/>
          <w:szCs w:val="22"/>
        </w:rPr>
        <w:t xml:space="preserve">Когато препоръчителната доза е 10 mg един път дневно, не се налага тя да бъде </w:t>
      </w:r>
      <w:r w:rsidR="004C07F9">
        <w:rPr>
          <w:sz w:val="22"/>
          <w:szCs w:val="22"/>
        </w:rPr>
        <w:t>коригирана.</w:t>
      </w:r>
    </w:p>
    <w:p w14:paraId="1058386C" w14:textId="77777777" w:rsidR="004C07F9" w:rsidRDefault="004C07F9" w:rsidP="00C20179">
      <w:pPr>
        <w:pStyle w:val="Default"/>
        <w:ind w:left="720"/>
        <w:rPr>
          <w:sz w:val="22"/>
          <w:szCs w:val="22"/>
        </w:rPr>
      </w:pPr>
    </w:p>
    <w:p w14:paraId="207DF5F4" w14:textId="74D0FBC9" w:rsidR="00CE5690" w:rsidRDefault="00C20179" w:rsidP="00097A43">
      <w:pPr>
        <w:pStyle w:val="Default"/>
        <w:rPr>
          <w:sz w:val="22"/>
          <w:szCs w:val="22"/>
        </w:rPr>
      </w:pPr>
      <w:r>
        <w:rPr>
          <w:sz w:val="22"/>
          <w:szCs w:val="22"/>
        </w:rPr>
        <w:t>Не се налага корекция на дозата при пациенти с лека степен на бъбречно увреждане (креатининов клирънс 50 - 80 ml/min) (вж. точка 5.2).</w:t>
      </w:r>
    </w:p>
    <w:p w14:paraId="093CD6CE" w14:textId="77777777" w:rsidR="00C20179" w:rsidRDefault="00C20179" w:rsidP="00C20179">
      <w:pPr>
        <w:pStyle w:val="Default"/>
        <w:rPr>
          <w:sz w:val="22"/>
          <w:szCs w:val="22"/>
        </w:rPr>
      </w:pPr>
    </w:p>
    <w:p w14:paraId="3A6B62A8" w14:textId="1D34AF7C" w:rsidR="00C20179" w:rsidRDefault="00C20179" w:rsidP="00C20179">
      <w:pPr>
        <w:pStyle w:val="Default"/>
        <w:rPr>
          <w:sz w:val="22"/>
          <w:szCs w:val="22"/>
        </w:rPr>
      </w:pPr>
      <w:r>
        <w:rPr>
          <w:sz w:val="22"/>
          <w:szCs w:val="22"/>
        </w:rPr>
        <w:t xml:space="preserve">Педиатрична популация: </w:t>
      </w:r>
    </w:p>
    <w:p w14:paraId="44B49914" w14:textId="22F54BE6" w:rsidR="00C20179" w:rsidRDefault="00C20179" w:rsidP="00C20179">
      <w:pPr>
        <w:pStyle w:val="Default"/>
        <w:rPr>
          <w:sz w:val="22"/>
          <w:szCs w:val="22"/>
        </w:rPr>
      </w:pPr>
      <w:r>
        <w:rPr>
          <w:sz w:val="22"/>
          <w:szCs w:val="22"/>
        </w:rPr>
        <w:t>-</w:t>
      </w:r>
      <w:r>
        <w:rPr>
          <w:sz w:val="22"/>
          <w:szCs w:val="22"/>
        </w:rPr>
        <w:tab/>
        <w:t xml:space="preserve"> Деца и юноши с лека степен на бъбречно увреждане (скорост на гломерулна филтрация </w:t>
      </w:r>
      <w:r>
        <w:rPr>
          <w:sz w:val="22"/>
          <w:szCs w:val="22"/>
        </w:rPr>
        <w:tab/>
        <w:t>50 - 80 ml/min/1,73 m</w:t>
      </w:r>
      <w:r w:rsidRPr="00C20179">
        <w:rPr>
          <w:sz w:val="14"/>
          <w:szCs w:val="14"/>
          <w:vertAlign w:val="superscript"/>
        </w:rPr>
        <w:t>2</w:t>
      </w:r>
      <w:r>
        <w:rPr>
          <w:sz w:val="22"/>
          <w:szCs w:val="22"/>
        </w:rPr>
        <w:t xml:space="preserve">): не се налага корекция на дозата, на базата на данни при възрастни </w:t>
      </w:r>
      <w:r>
        <w:rPr>
          <w:sz w:val="22"/>
          <w:szCs w:val="22"/>
        </w:rPr>
        <w:tab/>
        <w:t xml:space="preserve">и ограничени данни при педиатрични пациенти (вж. точка 5.2). </w:t>
      </w:r>
    </w:p>
    <w:p w14:paraId="5F616A22" w14:textId="2B353611" w:rsidR="00C20179" w:rsidRDefault="00C20179" w:rsidP="00C20179">
      <w:pPr>
        <w:pStyle w:val="Default"/>
        <w:rPr>
          <w:sz w:val="22"/>
          <w:szCs w:val="22"/>
        </w:rPr>
      </w:pPr>
      <w:r>
        <w:rPr>
          <w:sz w:val="22"/>
          <w:szCs w:val="22"/>
        </w:rPr>
        <w:t xml:space="preserve">- </w:t>
      </w:r>
      <w:r>
        <w:rPr>
          <w:sz w:val="22"/>
          <w:szCs w:val="22"/>
        </w:rPr>
        <w:tab/>
        <w:t xml:space="preserve">Деца и юноши с умерена или тежка степен на бъбречно увреждане (скорост на </w:t>
      </w:r>
      <w:r>
        <w:rPr>
          <w:sz w:val="22"/>
          <w:szCs w:val="22"/>
        </w:rPr>
        <w:tab/>
        <w:t>гломерулна филтрация &lt; 50 ml/min/1,73 m</w:t>
      </w:r>
      <w:r w:rsidRPr="00C20179">
        <w:rPr>
          <w:sz w:val="14"/>
          <w:szCs w:val="14"/>
          <w:vertAlign w:val="superscript"/>
        </w:rPr>
        <w:t>2</w:t>
      </w:r>
      <w:r w:rsidR="004C07F9">
        <w:rPr>
          <w:sz w:val="22"/>
          <w:szCs w:val="22"/>
        </w:rPr>
        <w:t>): Руфиксало</w:t>
      </w:r>
      <w:r>
        <w:rPr>
          <w:sz w:val="22"/>
          <w:szCs w:val="22"/>
        </w:rPr>
        <w:t xml:space="preserve"> не се препо</w:t>
      </w:r>
      <w:r w:rsidR="004C07F9">
        <w:rPr>
          <w:sz w:val="22"/>
          <w:szCs w:val="22"/>
        </w:rPr>
        <w:t xml:space="preserve">ръчва, тъй като </w:t>
      </w:r>
      <w:r w:rsidR="004C07F9">
        <w:rPr>
          <w:sz w:val="22"/>
          <w:szCs w:val="22"/>
        </w:rPr>
        <w:tab/>
        <w:t xml:space="preserve">липсват </w:t>
      </w:r>
      <w:r>
        <w:rPr>
          <w:sz w:val="22"/>
          <w:szCs w:val="22"/>
        </w:rPr>
        <w:t xml:space="preserve">клинични данни (вж. точка 4.4). </w:t>
      </w:r>
    </w:p>
    <w:p w14:paraId="29C3394D" w14:textId="74011CA1" w:rsidR="00FE7C94" w:rsidRDefault="00FE7C94" w:rsidP="00FE7C94">
      <w:pPr>
        <w:pStyle w:val="Default"/>
        <w:ind w:left="720"/>
        <w:rPr>
          <w:sz w:val="22"/>
          <w:szCs w:val="22"/>
        </w:rPr>
      </w:pPr>
    </w:p>
    <w:p w14:paraId="38EBD9AF" w14:textId="77777777" w:rsidR="00FE7C94" w:rsidRDefault="00FE7C94" w:rsidP="00FE7C94">
      <w:pPr>
        <w:pStyle w:val="Default"/>
        <w:rPr>
          <w:sz w:val="22"/>
          <w:szCs w:val="22"/>
        </w:rPr>
      </w:pPr>
      <w:r>
        <w:rPr>
          <w:i/>
          <w:iCs/>
          <w:sz w:val="22"/>
          <w:szCs w:val="22"/>
        </w:rPr>
        <w:t xml:space="preserve">Чернодробно увреждане </w:t>
      </w:r>
    </w:p>
    <w:p w14:paraId="4B0ADEAC" w14:textId="3E579FB9" w:rsidR="00FE7C94" w:rsidRDefault="00277548" w:rsidP="00FE7C94">
      <w:pPr>
        <w:pStyle w:val="Default"/>
        <w:rPr>
          <w:sz w:val="22"/>
          <w:szCs w:val="22"/>
        </w:rPr>
      </w:pPr>
      <w:r w:rsidRPr="006516C7">
        <w:rPr>
          <w:sz w:val="22"/>
          <w:szCs w:val="22"/>
        </w:rPr>
        <w:t>Руфиксало</w:t>
      </w:r>
      <w:r w:rsidR="00FE7C94">
        <w:rPr>
          <w:sz w:val="22"/>
          <w:szCs w:val="22"/>
        </w:rPr>
        <w:t xml:space="preserve"> е противопоказан при пациенти с чернодробно заболяване, свързано с коагулопатия и клинично значим риск от кървене, включително пациенти с цироза с Child Pugh B и С (вж. точки 4.3 и 5.2). </w:t>
      </w:r>
      <w:r w:rsidR="00C20179">
        <w:rPr>
          <w:sz w:val="22"/>
          <w:szCs w:val="22"/>
        </w:rPr>
        <w:t>Липсват клинични данни при деца с чернодробно увреждане.</w:t>
      </w:r>
    </w:p>
    <w:p w14:paraId="4E3223E9" w14:textId="77777777" w:rsidR="00FE7C94" w:rsidRDefault="00FE7C94" w:rsidP="00FE7C94">
      <w:pPr>
        <w:pStyle w:val="Default"/>
        <w:rPr>
          <w:sz w:val="22"/>
          <w:szCs w:val="22"/>
        </w:rPr>
      </w:pPr>
    </w:p>
    <w:p w14:paraId="7B0D4CFD" w14:textId="77777777" w:rsidR="00FE7C94" w:rsidRDefault="00FE7C94" w:rsidP="00FE7C94">
      <w:pPr>
        <w:pStyle w:val="Default"/>
        <w:rPr>
          <w:sz w:val="22"/>
          <w:szCs w:val="22"/>
        </w:rPr>
      </w:pPr>
      <w:r>
        <w:rPr>
          <w:i/>
          <w:iCs/>
          <w:sz w:val="22"/>
          <w:szCs w:val="22"/>
        </w:rPr>
        <w:t xml:space="preserve">Популация в старческа възраст </w:t>
      </w:r>
    </w:p>
    <w:p w14:paraId="484F8450" w14:textId="77777777" w:rsidR="00FE7C94" w:rsidRDefault="00FE7C94" w:rsidP="00FE7C94">
      <w:pPr>
        <w:pStyle w:val="Default"/>
        <w:rPr>
          <w:sz w:val="22"/>
          <w:szCs w:val="22"/>
        </w:rPr>
      </w:pPr>
      <w:r>
        <w:rPr>
          <w:sz w:val="22"/>
          <w:szCs w:val="22"/>
        </w:rPr>
        <w:t xml:space="preserve">Без корекция на дозата (вж. точка 5.2) </w:t>
      </w:r>
    </w:p>
    <w:p w14:paraId="4C988AB6" w14:textId="77777777" w:rsidR="00FE7C94" w:rsidRDefault="00FE7C94" w:rsidP="00FE7C94">
      <w:pPr>
        <w:pStyle w:val="Default"/>
        <w:rPr>
          <w:i/>
          <w:iCs/>
          <w:sz w:val="22"/>
          <w:szCs w:val="22"/>
        </w:rPr>
      </w:pPr>
    </w:p>
    <w:p w14:paraId="2D93DB63" w14:textId="0F4E5ED3" w:rsidR="00FE7C94" w:rsidRDefault="00FE7C94" w:rsidP="00FE7C94">
      <w:pPr>
        <w:pStyle w:val="Default"/>
        <w:rPr>
          <w:sz w:val="22"/>
          <w:szCs w:val="22"/>
        </w:rPr>
      </w:pPr>
      <w:r>
        <w:rPr>
          <w:i/>
          <w:iCs/>
          <w:sz w:val="22"/>
          <w:szCs w:val="22"/>
        </w:rPr>
        <w:t xml:space="preserve">Телесно тегло </w:t>
      </w:r>
    </w:p>
    <w:p w14:paraId="37B917D9" w14:textId="77777777" w:rsidR="00C20179" w:rsidRDefault="00C20179" w:rsidP="00C20179">
      <w:pPr>
        <w:pStyle w:val="Default"/>
        <w:rPr>
          <w:sz w:val="22"/>
          <w:szCs w:val="22"/>
        </w:rPr>
      </w:pPr>
      <w:r>
        <w:rPr>
          <w:sz w:val="22"/>
          <w:szCs w:val="22"/>
        </w:rPr>
        <w:t xml:space="preserve">Без корекция на дозата при възрастни (вж. точка 5.2) </w:t>
      </w:r>
    </w:p>
    <w:p w14:paraId="3BA83CDC" w14:textId="636043DE" w:rsidR="00FE7C94" w:rsidRDefault="00C20179" w:rsidP="00C20179">
      <w:pPr>
        <w:pStyle w:val="Default"/>
        <w:rPr>
          <w:sz w:val="22"/>
          <w:szCs w:val="22"/>
        </w:rPr>
      </w:pPr>
      <w:r>
        <w:rPr>
          <w:sz w:val="22"/>
          <w:szCs w:val="22"/>
        </w:rPr>
        <w:t>При педиатрични пациенти дозата се определя на базата на телесното тегло.</w:t>
      </w:r>
    </w:p>
    <w:p w14:paraId="7F1882AC" w14:textId="77777777" w:rsidR="00C20179" w:rsidRDefault="00C20179" w:rsidP="00C20179">
      <w:pPr>
        <w:pStyle w:val="Default"/>
        <w:rPr>
          <w:i/>
          <w:iCs/>
          <w:sz w:val="22"/>
          <w:szCs w:val="22"/>
        </w:rPr>
      </w:pPr>
    </w:p>
    <w:p w14:paraId="65876730" w14:textId="39137CD1" w:rsidR="00FE7C94" w:rsidRDefault="00FE7C94" w:rsidP="00FE7C94">
      <w:pPr>
        <w:pStyle w:val="Default"/>
        <w:rPr>
          <w:sz w:val="22"/>
          <w:szCs w:val="22"/>
        </w:rPr>
      </w:pPr>
      <w:r>
        <w:rPr>
          <w:i/>
          <w:iCs/>
          <w:sz w:val="22"/>
          <w:szCs w:val="22"/>
        </w:rPr>
        <w:t xml:space="preserve">Пол </w:t>
      </w:r>
    </w:p>
    <w:p w14:paraId="168E96B9" w14:textId="77777777" w:rsidR="00FE7C94" w:rsidRDefault="00FE7C94" w:rsidP="00FE7C94">
      <w:pPr>
        <w:pStyle w:val="Default"/>
        <w:rPr>
          <w:sz w:val="22"/>
          <w:szCs w:val="22"/>
        </w:rPr>
      </w:pPr>
      <w:r>
        <w:rPr>
          <w:sz w:val="22"/>
          <w:szCs w:val="22"/>
        </w:rPr>
        <w:t xml:space="preserve">Без корекция на дозата (вж. точка 5.2) </w:t>
      </w:r>
    </w:p>
    <w:p w14:paraId="3B6EF2BC" w14:textId="79DFC0BC" w:rsidR="00FE7C94" w:rsidRDefault="00FE7C94" w:rsidP="00FE7C94">
      <w:pPr>
        <w:pStyle w:val="Default"/>
        <w:rPr>
          <w:i/>
          <w:iCs/>
          <w:sz w:val="22"/>
          <w:szCs w:val="22"/>
        </w:rPr>
      </w:pPr>
    </w:p>
    <w:p w14:paraId="22405764" w14:textId="77777777" w:rsidR="00C20179" w:rsidRDefault="00C20179" w:rsidP="00C20179">
      <w:pPr>
        <w:pStyle w:val="Default"/>
        <w:rPr>
          <w:sz w:val="22"/>
          <w:szCs w:val="22"/>
        </w:rPr>
      </w:pPr>
      <w:r>
        <w:rPr>
          <w:i/>
          <w:iCs/>
          <w:sz w:val="22"/>
          <w:szCs w:val="22"/>
        </w:rPr>
        <w:t xml:space="preserve">Пациенти, подложени на кардиоверзио </w:t>
      </w:r>
    </w:p>
    <w:p w14:paraId="19655E4A" w14:textId="035FF540" w:rsidR="00C20179" w:rsidRDefault="00C20179" w:rsidP="00C20179">
      <w:pPr>
        <w:pStyle w:val="Default"/>
        <w:rPr>
          <w:sz w:val="22"/>
          <w:szCs w:val="22"/>
        </w:rPr>
      </w:pPr>
      <w:r>
        <w:rPr>
          <w:sz w:val="22"/>
          <w:szCs w:val="22"/>
        </w:rPr>
        <w:t xml:space="preserve">Приемът на Руфиксало може да започне или да продължи при пациенти, при които може да е необходимо кардиоверзио. </w:t>
      </w:r>
    </w:p>
    <w:p w14:paraId="17F1E755" w14:textId="4DE9AE28" w:rsidR="00C20179" w:rsidRDefault="00C20179" w:rsidP="00C20179">
      <w:pPr>
        <w:pStyle w:val="Default"/>
        <w:rPr>
          <w:sz w:val="22"/>
          <w:szCs w:val="22"/>
        </w:rPr>
      </w:pPr>
      <w:r>
        <w:rPr>
          <w:sz w:val="22"/>
          <w:szCs w:val="22"/>
        </w:rPr>
        <w:t xml:space="preserve">При кардиоверзио насочвано от трансезофагеална ехокардиография (ТЕЕ) при пациенти, които не са били лекувани с антикоакуланти, лечението с Руфиксало трябва да започне най-малко 4 часа преди кардиоверзиото, за да се гарантира адекватна антикоагулация (вж. точки 5.1 и 5.2). При всички пациенти, преди кардиоверзио трябва да се потърси потвърждение, че пациентът е приел Руфиксало, както е предписано. При вземане на решение за започване на терапия и </w:t>
      </w:r>
      <w:r>
        <w:rPr>
          <w:sz w:val="22"/>
          <w:szCs w:val="22"/>
        </w:rPr>
        <w:lastRenderedPageBreak/>
        <w:t>определяне на продължителността ѝ, трябва да се имат предвид установените препоръки от ръководствата за антикоагулантно лечение при пациенти, подложени на кардиоверзио.</w:t>
      </w:r>
    </w:p>
    <w:p w14:paraId="18CB20F5" w14:textId="09364896" w:rsidR="00C20179" w:rsidRDefault="00C20179" w:rsidP="00C20179">
      <w:pPr>
        <w:pStyle w:val="Default"/>
        <w:rPr>
          <w:sz w:val="22"/>
          <w:szCs w:val="22"/>
        </w:rPr>
      </w:pPr>
    </w:p>
    <w:p w14:paraId="30D51477" w14:textId="77777777" w:rsidR="00C20179" w:rsidRDefault="00C20179" w:rsidP="00C20179">
      <w:pPr>
        <w:pStyle w:val="Default"/>
        <w:rPr>
          <w:sz w:val="22"/>
          <w:szCs w:val="22"/>
        </w:rPr>
      </w:pPr>
      <w:r>
        <w:rPr>
          <w:i/>
          <w:iCs/>
          <w:sz w:val="22"/>
          <w:szCs w:val="22"/>
        </w:rPr>
        <w:t xml:space="preserve">Пациенти с неклапно предсърдно мъждене, които подлежат на ПКИ </w:t>
      </w:r>
      <w:r>
        <w:rPr>
          <w:sz w:val="22"/>
          <w:szCs w:val="22"/>
        </w:rPr>
        <w:t>(</w:t>
      </w:r>
      <w:r>
        <w:rPr>
          <w:i/>
          <w:iCs/>
          <w:sz w:val="22"/>
          <w:szCs w:val="22"/>
        </w:rPr>
        <w:t xml:space="preserve">перкутанна коронарна интервенция) с поставяне на стент </w:t>
      </w:r>
    </w:p>
    <w:p w14:paraId="028B5C6A" w14:textId="5EE361A9" w:rsidR="00C20179" w:rsidRDefault="00C20179" w:rsidP="00C20179">
      <w:pPr>
        <w:pStyle w:val="Default"/>
        <w:rPr>
          <w:sz w:val="22"/>
          <w:szCs w:val="22"/>
        </w:rPr>
      </w:pPr>
      <w:r>
        <w:rPr>
          <w:sz w:val="22"/>
          <w:szCs w:val="22"/>
        </w:rPr>
        <w:t xml:space="preserve">Има ограничен опит по отношение на намалена доза 15 mg веднъж дневно (или 10 mg </w:t>
      </w:r>
      <w:r w:rsidR="00CF01EF">
        <w:rPr>
          <w:sz w:val="22"/>
          <w:szCs w:val="22"/>
          <w:lang w:val="mk-MK"/>
        </w:rPr>
        <w:t>ривароксабан</w:t>
      </w:r>
      <w:r>
        <w:rPr>
          <w:sz w:val="22"/>
          <w:szCs w:val="22"/>
        </w:rPr>
        <w:t>веднъж дневно за пациенти с умерено тежка степен на бъбречно увреждане [креатининов клирънс 30 - 49 ml/min]), в допълнение към P2Y12 инхибитора за 12 месеца максимум, при пациенти с неклапно предсърдно мъждене, които се нуждаят от перорална антикоагулантна терапия и са били подложени на ПКИ с поставяне на стент (вж. точки 4.4 и 5.1).</w:t>
      </w:r>
    </w:p>
    <w:p w14:paraId="129B5C5F" w14:textId="77777777" w:rsidR="00C20179" w:rsidRDefault="00C20179" w:rsidP="00C20179">
      <w:pPr>
        <w:pStyle w:val="Default"/>
        <w:rPr>
          <w:i/>
          <w:iCs/>
          <w:sz w:val="22"/>
          <w:szCs w:val="22"/>
        </w:rPr>
      </w:pPr>
    </w:p>
    <w:p w14:paraId="7738FB77" w14:textId="19AA759E" w:rsidR="00FE7C94" w:rsidRPr="006516C7" w:rsidRDefault="00FE7C94" w:rsidP="00FE7C94">
      <w:pPr>
        <w:pStyle w:val="Default"/>
        <w:rPr>
          <w:sz w:val="22"/>
          <w:szCs w:val="22"/>
          <w:u w:val="single"/>
        </w:rPr>
      </w:pPr>
      <w:r w:rsidRPr="006516C7">
        <w:rPr>
          <w:i/>
          <w:iCs/>
          <w:sz w:val="22"/>
          <w:szCs w:val="22"/>
          <w:u w:val="single"/>
        </w:rPr>
        <w:t xml:space="preserve">Педиатрична популация </w:t>
      </w:r>
    </w:p>
    <w:p w14:paraId="3C0EBB37" w14:textId="64D9C286" w:rsidR="00A2342B" w:rsidRDefault="00FE7C94" w:rsidP="00A2342B">
      <w:pPr>
        <w:pStyle w:val="Default"/>
        <w:rPr>
          <w:sz w:val="22"/>
          <w:szCs w:val="22"/>
        </w:rPr>
      </w:pPr>
      <w:r>
        <w:rPr>
          <w:sz w:val="22"/>
          <w:szCs w:val="22"/>
        </w:rPr>
        <w:t xml:space="preserve">Безопасността и ефикасността на </w:t>
      </w:r>
      <w:r w:rsidR="00CF01EF">
        <w:rPr>
          <w:sz w:val="22"/>
          <w:szCs w:val="22"/>
          <w:lang w:val="mk-MK"/>
        </w:rPr>
        <w:t>ривароксабан</w:t>
      </w:r>
      <w:r>
        <w:rPr>
          <w:sz w:val="22"/>
          <w:szCs w:val="22"/>
        </w:rPr>
        <w:t xml:space="preserve">при деца на възраст 0 до 18 години не са установени. </w:t>
      </w:r>
      <w:r w:rsidR="00C20179">
        <w:rPr>
          <w:sz w:val="22"/>
          <w:szCs w:val="22"/>
        </w:rPr>
        <w:t>при показанието профилактика на инсулт и системна емболия при пациенти с неклапно предсърдно мъждене. Липсват данни. По тази причина той не се препоръчва за употреба при деца под 18-годишна възраст при други показания освен лечение на ВТЕ и профилактика на рецидиви на ВТЕ</w:t>
      </w:r>
      <w:r w:rsidR="000320BF">
        <w:rPr>
          <w:sz w:val="22"/>
          <w:szCs w:val="22"/>
        </w:rPr>
        <w:t>.</w:t>
      </w:r>
    </w:p>
    <w:p w14:paraId="4487B42D" w14:textId="77777777" w:rsidR="000320BF" w:rsidRDefault="000320BF" w:rsidP="00A2342B">
      <w:pPr>
        <w:pStyle w:val="Default"/>
        <w:rPr>
          <w:sz w:val="22"/>
          <w:szCs w:val="22"/>
        </w:rPr>
      </w:pPr>
    </w:p>
    <w:p w14:paraId="02A285D2" w14:textId="57270A31" w:rsidR="00A2342B" w:rsidRDefault="00A2342B" w:rsidP="00A2342B">
      <w:pPr>
        <w:pStyle w:val="Default"/>
        <w:rPr>
          <w:sz w:val="22"/>
          <w:szCs w:val="22"/>
          <w:u w:val="single"/>
        </w:rPr>
      </w:pPr>
      <w:bookmarkStart w:id="0" w:name="page3"/>
      <w:bookmarkEnd w:id="0"/>
      <w:r w:rsidRPr="00A2342B">
        <w:rPr>
          <w:sz w:val="22"/>
          <w:szCs w:val="22"/>
          <w:u w:val="single"/>
        </w:rPr>
        <w:t xml:space="preserve">Начин на приложение </w:t>
      </w:r>
    </w:p>
    <w:p w14:paraId="0FBEE2C7" w14:textId="240C1D5E" w:rsidR="000320BF" w:rsidRPr="000320BF" w:rsidRDefault="000320BF" w:rsidP="00A2342B">
      <w:pPr>
        <w:pStyle w:val="Default"/>
        <w:rPr>
          <w:i/>
          <w:sz w:val="22"/>
          <w:szCs w:val="22"/>
        </w:rPr>
      </w:pPr>
      <w:r w:rsidRPr="000320BF">
        <w:rPr>
          <w:i/>
          <w:sz w:val="22"/>
          <w:szCs w:val="22"/>
        </w:rPr>
        <w:t>Възрастни</w:t>
      </w:r>
    </w:p>
    <w:p w14:paraId="2FF48D66" w14:textId="67E9DD40" w:rsidR="00A2342B" w:rsidRDefault="00277548" w:rsidP="00A2342B">
      <w:pPr>
        <w:pStyle w:val="Default"/>
        <w:rPr>
          <w:sz w:val="22"/>
          <w:szCs w:val="22"/>
        </w:rPr>
      </w:pPr>
      <w:r w:rsidRPr="000320BF">
        <w:rPr>
          <w:sz w:val="22"/>
          <w:szCs w:val="22"/>
        </w:rPr>
        <w:t>Руфиксало</w:t>
      </w:r>
      <w:r w:rsidR="00A2342B" w:rsidRPr="000320BF">
        <w:rPr>
          <w:sz w:val="22"/>
          <w:szCs w:val="22"/>
        </w:rPr>
        <w:t xml:space="preserve"> е за перорално приложение</w:t>
      </w:r>
      <w:r w:rsidR="00A2342B">
        <w:rPr>
          <w:sz w:val="22"/>
          <w:szCs w:val="22"/>
        </w:rPr>
        <w:t xml:space="preserve">. </w:t>
      </w:r>
    </w:p>
    <w:p w14:paraId="53E1602B" w14:textId="429D29CC" w:rsidR="00A2342B" w:rsidRDefault="000320BF" w:rsidP="00A2342B">
      <w:pPr>
        <w:pStyle w:val="Default"/>
        <w:rPr>
          <w:sz w:val="22"/>
          <w:szCs w:val="22"/>
        </w:rPr>
      </w:pPr>
      <w:r>
        <w:rPr>
          <w:sz w:val="22"/>
          <w:szCs w:val="22"/>
        </w:rPr>
        <w:t xml:space="preserve">Таблетките трябва да се приемат с храна (вж. точка </w:t>
      </w:r>
      <w:r w:rsidR="00A2342B">
        <w:rPr>
          <w:sz w:val="22"/>
          <w:szCs w:val="22"/>
        </w:rPr>
        <w:t xml:space="preserve">5.2). </w:t>
      </w:r>
    </w:p>
    <w:p w14:paraId="4555A563" w14:textId="77777777" w:rsidR="00A2342B" w:rsidRDefault="00A2342B" w:rsidP="00A2342B">
      <w:pPr>
        <w:pStyle w:val="Default"/>
        <w:rPr>
          <w:sz w:val="22"/>
          <w:szCs w:val="22"/>
        </w:rPr>
      </w:pPr>
    </w:p>
    <w:p w14:paraId="08332180" w14:textId="77777777" w:rsidR="00A2342B" w:rsidRPr="000320BF" w:rsidRDefault="00A2342B" w:rsidP="00A2342B">
      <w:pPr>
        <w:pStyle w:val="Default"/>
        <w:rPr>
          <w:sz w:val="22"/>
          <w:szCs w:val="22"/>
          <w:u w:val="single"/>
        </w:rPr>
      </w:pPr>
      <w:r w:rsidRPr="000320BF">
        <w:rPr>
          <w:iCs/>
          <w:sz w:val="22"/>
          <w:szCs w:val="22"/>
          <w:u w:val="single"/>
        </w:rPr>
        <w:t xml:space="preserve">Разтрошаване на таблетките </w:t>
      </w:r>
    </w:p>
    <w:p w14:paraId="312F3CE7" w14:textId="6B728D51" w:rsidR="00A2342B" w:rsidRDefault="00A2342B" w:rsidP="00A2342B">
      <w:pPr>
        <w:pStyle w:val="Default"/>
        <w:rPr>
          <w:sz w:val="22"/>
          <w:szCs w:val="22"/>
        </w:rPr>
      </w:pPr>
      <w:r>
        <w:rPr>
          <w:sz w:val="22"/>
          <w:szCs w:val="22"/>
        </w:rPr>
        <w:t xml:space="preserve">При пациенти, които не могат да поглъщат таблетките цели, таблетката </w:t>
      </w:r>
      <w:r w:rsidR="00277548" w:rsidRPr="000320BF">
        <w:rPr>
          <w:sz w:val="22"/>
          <w:szCs w:val="22"/>
        </w:rPr>
        <w:t>Руфиксало</w:t>
      </w:r>
      <w:r>
        <w:rPr>
          <w:sz w:val="22"/>
          <w:szCs w:val="22"/>
        </w:rPr>
        <w:t xml:space="preserve"> може да се разтроши и смеси с вода или ябълково пюре непосредствено преди употреба и да се приложи перорално. </w:t>
      </w:r>
      <w:r w:rsidR="000320BF">
        <w:rPr>
          <w:sz w:val="22"/>
          <w:szCs w:val="22"/>
        </w:rPr>
        <w:t>След прилагането на разтрошени филмирани таблетки Руфиксало от 15 mg или 20 mg дозата трябва да бъде последвана незабавно от хранене.</w:t>
      </w:r>
    </w:p>
    <w:p w14:paraId="24A45B22" w14:textId="77777777" w:rsidR="006516C7" w:rsidRDefault="006516C7" w:rsidP="00A2342B">
      <w:pPr>
        <w:pStyle w:val="Default"/>
        <w:rPr>
          <w:sz w:val="22"/>
          <w:szCs w:val="22"/>
        </w:rPr>
      </w:pPr>
    </w:p>
    <w:p w14:paraId="396C389B" w14:textId="5F98EFB3" w:rsidR="004762C7" w:rsidRDefault="00A2342B" w:rsidP="00A2342B">
      <w:r>
        <w:t>Разтрошената таблетка може да се прилага също и чрез стомашна сонда (вж. точки 5.2 и 6.6).</w:t>
      </w:r>
    </w:p>
    <w:p w14:paraId="09309AD8" w14:textId="177DAED5" w:rsidR="00A2342B" w:rsidRDefault="00A2342B" w:rsidP="00A2342B"/>
    <w:p w14:paraId="4BA8DD3F" w14:textId="6E24A52A" w:rsidR="000320BF" w:rsidRDefault="000320BF" w:rsidP="00A2342B">
      <w:pPr>
        <w:rPr>
          <w:i/>
          <w:iCs/>
        </w:rPr>
      </w:pPr>
      <w:r>
        <w:rPr>
          <w:i/>
          <w:iCs/>
        </w:rPr>
        <w:t>Деца и юноши</w:t>
      </w:r>
    </w:p>
    <w:p w14:paraId="0EE1327F" w14:textId="7B12C022" w:rsidR="000320BF" w:rsidRDefault="000320BF" w:rsidP="00A2342B">
      <w:pPr>
        <w:rPr>
          <w:lang w:val="bg-BG"/>
        </w:rPr>
      </w:pPr>
      <w:r>
        <w:t>Руфиксало е за перорално приложение</w:t>
      </w:r>
      <w:r>
        <w:rPr>
          <w:lang w:val="bg-BG"/>
        </w:rPr>
        <w:t>.</w:t>
      </w:r>
    </w:p>
    <w:p w14:paraId="1961DB07" w14:textId="7962D4F9" w:rsidR="000320BF" w:rsidRDefault="000320BF" w:rsidP="00A2342B">
      <w:r>
        <w:t>Пациентът трябва а бъде посъветван да поглъща таблетката с течност. Тя трябва също да се приема с храна (вж. точка 5.2). Таблетките трябва да се приемат през интервал приблизително 24 часа.</w:t>
      </w:r>
    </w:p>
    <w:p w14:paraId="5F914932" w14:textId="45E5A275" w:rsidR="000320BF" w:rsidRDefault="000320BF" w:rsidP="00A2342B"/>
    <w:p w14:paraId="1596341B" w14:textId="42A67D49" w:rsidR="000320BF" w:rsidRDefault="000320BF" w:rsidP="00A2342B">
      <w:r>
        <w:t>В случай че пациентът изплюе веднага дозата или повърне в рамките на 30 минути след приложение на дозата, трябва да се даде нова доза. Ако обаче пациентът повърне повече от 30 минути след приема, дозата не трябва да се прилага отново и следващата доза трябва да се вземе по схемата.</w:t>
      </w:r>
    </w:p>
    <w:p w14:paraId="0821226E" w14:textId="5FE1068F" w:rsidR="000320BF" w:rsidRDefault="000320BF" w:rsidP="00A2342B"/>
    <w:p w14:paraId="56C57B2F" w14:textId="42E293C1" w:rsidR="000320BF" w:rsidRDefault="000320BF" w:rsidP="00A2342B">
      <w:r>
        <w:t>Таблетката не трябва да се разделя при опит да се набави част от дозата в таблетката.</w:t>
      </w:r>
    </w:p>
    <w:p w14:paraId="6321D823" w14:textId="0F6E0A68" w:rsidR="000320BF" w:rsidRDefault="000320BF" w:rsidP="00A2342B">
      <w:pPr>
        <w:rPr>
          <w:lang w:val="bg-BG"/>
        </w:rPr>
      </w:pPr>
    </w:p>
    <w:p w14:paraId="70B1EDFC" w14:textId="77777777" w:rsidR="000320BF" w:rsidRPr="000320BF" w:rsidRDefault="000320BF" w:rsidP="000320BF">
      <w:pPr>
        <w:pStyle w:val="Default"/>
        <w:rPr>
          <w:sz w:val="22"/>
          <w:szCs w:val="22"/>
          <w:u w:val="single"/>
        </w:rPr>
      </w:pPr>
      <w:r w:rsidRPr="000320BF">
        <w:rPr>
          <w:i/>
          <w:iCs/>
          <w:sz w:val="22"/>
          <w:szCs w:val="22"/>
          <w:u w:val="single"/>
        </w:rPr>
        <w:t xml:space="preserve">Разтрошаване на таблетките </w:t>
      </w:r>
    </w:p>
    <w:p w14:paraId="7503E177" w14:textId="57C7848D" w:rsidR="000320BF" w:rsidRDefault="000320BF" w:rsidP="000320BF">
      <w:pPr>
        <w:pStyle w:val="Default"/>
        <w:rPr>
          <w:sz w:val="22"/>
          <w:szCs w:val="22"/>
        </w:rPr>
      </w:pPr>
      <w:r>
        <w:rPr>
          <w:sz w:val="22"/>
          <w:szCs w:val="22"/>
        </w:rPr>
        <w:t xml:space="preserve">Когато са изписани дози 15 mg или 20 mg ривароксабан, те могат да бъдат набавени, като се разтроши таблетка 15 mg или 20 mg и се смеси с вода или ябълково пюре непосредствено преди употреба и се приложи перорално. </w:t>
      </w:r>
    </w:p>
    <w:p w14:paraId="0B92014A" w14:textId="35E42E9A" w:rsidR="000320BF" w:rsidRDefault="000320BF" w:rsidP="000320BF">
      <w:r>
        <w:t>Разтрошената таблетка може да се прилага чрез назогастрална или стомашна сонда за хранене (вж. точки 5.2 и 6.6).</w:t>
      </w:r>
    </w:p>
    <w:p w14:paraId="0DDC96D4" w14:textId="77777777" w:rsidR="000320BF" w:rsidRPr="000320BF" w:rsidRDefault="000320BF" w:rsidP="000320BF">
      <w:pPr>
        <w:rPr>
          <w:lang w:val="bg-BG"/>
        </w:rPr>
      </w:pPr>
    </w:p>
    <w:p w14:paraId="61936B00" w14:textId="29F66DA5" w:rsidR="004762C7" w:rsidRPr="008104F6" w:rsidRDefault="00E136E8">
      <w:pPr>
        <w:tabs>
          <w:tab w:val="left" w:pos="540"/>
        </w:tabs>
      </w:pPr>
      <w:r w:rsidRPr="006516C7">
        <w:rPr>
          <w:rFonts w:eastAsia="Times New Roman"/>
          <w:b/>
          <w:bCs/>
        </w:rPr>
        <w:lastRenderedPageBreak/>
        <w:t>4.3</w:t>
      </w:r>
      <w:r w:rsidRPr="006516C7">
        <w:rPr>
          <w:rFonts w:eastAsia="Times New Roman"/>
          <w:b/>
          <w:bCs/>
        </w:rPr>
        <w:tab/>
        <w:t>Противопоказания</w:t>
      </w:r>
    </w:p>
    <w:p w14:paraId="6F7CD203" w14:textId="77777777" w:rsidR="004762C7" w:rsidRPr="008104F6" w:rsidRDefault="004762C7" w:rsidP="004B3035"/>
    <w:p w14:paraId="78538C4B" w14:textId="2933F3D6" w:rsidR="00E136E8" w:rsidRDefault="00E136E8" w:rsidP="00E136E8">
      <w:pPr>
        <w:rPr>
          <w:rFonts w:eastAsia="Times New Roman"/>
        </w:rPr>
      </w:pPr>
      <w:r w:rsidRPr="00E136E8">
        <w:rPr>
          <w:rFonts w:eastAsia="Times New Roman"/>
        </w:rPr>
        <w:t>Свръхчувствителност към активното вещество или някое от помощните вещества, изброени в точка 6.1.</w:t>
      </w:r>
    </w:p>
    <w:p w14:paraId="491E2CD0" w14:textId="77777777" w:rsidR="00E136E8" w:rsidRPr="00E136E8" w:rsidRDefault="00E136E8" w:rsidP="00E136E8">
      <w:pPr>
        <w:rPr>
          <w:rFonts w:eastAsia="Times New Roman"/>
        </w:rPr>
      </w:pPr>
    </w:p>
    <w:p w14:paraId="118D36FE" w14:textId="791DFC53" w:rsidR="004762C7" w:rsidRDefault="00E136E8" w:rsidP="004B3035">
      <w:r w:rsidRPr="00E136E8">
        <w:rPr>
          <w:rFonts w:eastAsia="Times New Roman"/>
        </w:rPr>
        <w:t>Активно, клинично значимо кървене.</w:t>
      </w:r>
    </w:p>
    <w:p w14:paraId="0E65FFE1" w14:textId="77777777" w:rsidR="000007FD" w:rsidRPr="008104F6" w:rsidRDefault="000007FD" w:rsidP="004B3035"/>
    <w:p w14:paraId="5960A7E0" w14:textId="6A237EED" w:rsidR="004762C7" w:rsidRDefault="00E136E8" w:rsidP="004B3035">
      <w:pPr>
        <w:rPr>
          <w:rFonts w:eastAsia="Times New Roman"/>
        </w:rPr>
      </w:pPr>
      <w:r w:rsidRPr="00E136E8">
        <w:rPr>
          <w:rFonts w:eastAsia="Times New Roman"/>
        </w:rPr>
        <w:t>Лезия или състояние, ако бъде счетено, че представлява значим риск за голямо кървене. Това може да включва настояща или скорошна гастроинтестинална язва, наличие на злокачествени неоплазми с висок риск за кървене, скорошно нараняване на главния или гръбначния мозък, скорошна операция на главния мозък, гръбначния мозък или очите, скорошна вътречерепна хеморагия, известни или суспектни езофагеални варици, артеровенозни малформации, съдови аневризми или големи интраспинални или интрацеребрални съдови аномалии.</w:t>
      </w:r>
    </w:p>
    <w:p w14:paraId="6EC93CE3" w14:textId="77777777" w:rsidR="00E136E8" w:rsidRPr="008104F6" w:rsidRDefault="00E136E8" w:rsidP="004B3035"/>
    <w:p w14:paraId="034967E5" w14:textId="22622B7C" w:rsidR="004762C7" w:rsidRDefault="00E136E8" w:rsidP="004B3035">
      <w:pPr>
        <w:rPr>
          <w:rFonts w:eastAsia="Times New Roman"/>
        </w:rPr>
      </w:pPr>
      <w:r w:rsidRPr="00E136E8">
        <w:rPr>
          <w:rFonts w:eastAsia="Times New Roman"/>
        </w:rPr>
        <w:t>Едновременното лечение с други антикоагуланти, напр. нефракциониран хепарин (НФХ), нискомолекулни хепарини (еноксапарин, далтепарин и др.), производни на хепарина (фондапаринукс и др.), перорални антикоагуланти (варфарин, дабигатран етексилат, апиксабан и др.), освен при специфични обстоятелства за смяна на лечението с антикоагулант (вж. точка 4.2) или когато НФХ се прилага в дози, необходими за поддържането на отворен централен венозен или артериален катетър (вж. точка 4.5).</w:t>
      </w:r>
    </w:p>
    <w:p w14:paraId="24F48209" w14:textId="48F38627" w:rsidR="00E16BC6" w:rsidRPr="008104F6" w:rsidRDefault="00E16BC6" w:rsidP="004B3035">
      <w:pPr>
        <w:ind w:right="140"/>
        <w:rPr>
          <w:rFonts w:eastAsia="Times New Roman"/>
        </w:rPr>
      </w:pPr>
      <w:bookmarkStart w:id="1" w:name="page5"/>
      <w:bookmarkEnd w:id="1"/>
    </w:p>
    <w:p w14:paraId="25AEA67A" w14:textId="3A2A5201" w:rsidR="004762C7" w:rsidRDefault="00E16BC6" w:rsidP="004B3035">
      <w:pPr>
        <w:rPr>
          <w:rFonts w:eastAsia="Times New Roman"/>
        </w:rPr>
      </w:pPr>
      <w:r w:rsidRPr="00E16BC6">
        <w:rPr>
          <w:rFonts w:eastAsia="Times New Roman"/>
        </w:rPr>
        <w:t>Чернодробно заболяване, свързано с коагулопатия и клинично значим риск от кървене, включително пациенти с цироза с Child Pugh B и С (вж. точка 5.2).</w:t>
      </w:r>
    </w:p>
    <w:p w14:paraId="0498C9FC" w14:textId="77777777" w:rsidR="00E16BC6" w:rsidRPr="008104F6" w:rsidRDefault="00E16BC6" w:rsidP="004B3035"/>
    <w:p w14:paraId="72456748" w14:textId="487F98D2" w:rsidR="004762C7" w:rsidRDefault="00E16BC6" w:rsidP="004B3035">
      <w:pPr>
        <w:rPr>
          <w:rFonts w:eastAsia="Times New Roman"/>
        </w:rPr>
      </w:pPr>
      <w:r w:rsidRPr="00E16BC6">
        <w:rPr>
          <w:rFonts w:eastAsia="Times New Roman"/>
        </w:rPr>
        <w:t>Бременност и кърмене (вж. точка 4.6).</w:t>
      </w:r>
    </w:p>
    <w:p w14:paraId="62169597" w14:textId="77777777" w:rsidR="00E16BC6" w:rsidRPr="008104F6" w:rsidRDefault="00E16BC6" w:rsidP="004B3035"/>
    <w:p w14:paraId="6B983BBA" w14:textId="44AB9387" w:rsidR="004762C7" w:rsidRPr="008104F6" w:rsidRDefault="00030E48">
      <w:pPr>
        <w:tabs>
          <w:tab w:val="left" w:pos="540"/>
        </w:tabs>
      </w:pPr>
      <w:r w:rsidRPr="008104F6">
        <w:rPr>
          <w:rFonts w:eastAsia="Times New Roman"/>
          <w:b/>
          <w:bCs/>
        </w:rPr>
        <w:t>4.4</w:t>
      </w:r>
      <w:r w:rsidRPr="008104F6">
        <w:rPr>
          <w:rFonts w:eastAsia="Times New Roman"/>
          <w:b/>
          <w:bCs/>
        </w:rPr>
        <w:tab/>
      </w:r>
      <w:r w:rsidR="00E16BC6" w:rsidRPr="00E16BC6">
        <w:rPr>
          <w:rFonts w:eastAsia="Times New Roman"/>
          <w:b/>
          <w:bCs/>
        </w:rPr>
        <w:t>Специални предупреждения и предпазни мерки при употреба</w:t>
      </w:r>
    </w:p>
    <w:p w14:paraId="08516258" w14:textId="77777777" w:rsidR="00A2342B" w:rsidRDefault="00A2342B" w:rsidP="004B3035"/>
    <w:p w14:paraId="4A38311A" w14:textId="2F23B7DD" w:rsidR="004762C7" w:rsidRDefault="00A2342B" w:rsidP="004B3035">
      <w:r>
        <w:t>Препоръчва се клинично наблюдение съответстващо на провежданата антикоагулация в хода на целия период на лечение.</w:t>
      </w:r>
    </w:p>
    <w:p w14:paraId="5582A582" w14:textId="5976FBAA" w:rsidR="00E16BC6" w:rsidRPr="008104F6" w:rsidRDefault="00E16BC6" w:rsidP="004B3035"/>
    <w:p w14:paraId="1DAB10F2" w14:textId="77777777" w:rsidR="00E16BC6" w:rsidRDefault="00E16BC6" w:rsidP="004B3035">
      <w:pPr>
        <w:rPr>
          <w:rFonts w:eastAsia="Times New Roman"/>
          <w:u w:val="single"/>
        </w:rPr>
      </w:pPr>
      <w:r w:rsidRPr="00E16BC6">
        <w:rPr>
          <w:rFonts w:eastAsia="Times New Roman"/>
          <w:u w:val="single"/>
        </w:rPr>
        <w:t>Риск от хеморагия</w:t>
      </w:r>
    </w:p>
    <w:p w14:paraId="0B1D3052" w14:textId="745F045A" w:rsidR="00E16BC6" w:rsidRDefault="00E16BC6" w:rsidP="004B3035">
      <w:r>
        <w:t xml:space="preserve">Както и с други антикоагуланти, пациентите, които приемат Руфиксало, трябва да се наблюдават внимателно за признаци на кървене. Препоръчва се употребата с повишено внимание при състояния с повишен риск за хеморагия. Приложението на Руфиксало трябва да се преустанови при поява на тежка хеморагия (вж. точка 4.9). </w:t>
      </w:r>
    </w:p>
    <w:p w14:paraId="7C36D4A5" w14:textId="77777777" w:rsidR="00E16BC6" w:rsidRDefault="00E16BC6" w:rsidP="004B3035"/>
    <w:p w14:paraId="75DD64A7" w14:textId="496B5926" w:rsidR="00E16BC6" w:rsidRDefault="00E16BC6" w:rsidP="004B3035">
      <w:r>
        <w:t xml:space="preserve">В клиничните проучвания лигавично кървене (т.е. от носа, венците, стомашно-чревния тракт, пикочо-половия тракт, включително абнормно вагинално или увеличено менструално кървене) и анемия се наблюдават по-често при дългосрочно лечение с ривароксабан като добавка към терапия с един или два антиагрегантни средства. По тази причина, в допълнение към адекватното клинично наблюдение, лабораторно изследване на хемоглобина/хематокрита би могло да бъде от полза за откриване на окултно кървене и за определяне на клиничната значимост на явно кървене, по преценка според случая. </w:t>
      </w:r>
    </w:p>
    <w:p w14:paraId="55135A3E" w14:textId="4FED51D4" w:rsidR="004762C7" w:rsidRPr="008104F6" w:rsidRDefault="004762C7" w:rsidP="004B3035"/>
    <w:p w14:paraId="0DDFB67B" w14:textId="1A8D88C0" w:rsidR="00E16BC6" w:rsidRDefault="00E16BC6" w:rsidP="00E16BC6">
      <w:pPr>
        <w:pStyle w:val="Default"/>
        <w:rPr>
          <w:sz w:val="22"/>
          <w:szCs w:val="22"/>
        </w:rPr>
      </w:pPr>
      <w:r>
        <w:rPr>
          <w:sz w:val="22"/>
          <w:szCs w:val="22"/>
        </w:rPr>
        <w:t xml:space="preserve">Няколко подгрупи пациенти, описани подробно по-долу, са с повишен риск от кървене. </w:t>
      </w:r>
      <w:r w:rsidR="002A5932">
        <w:rPr>
          <w:sz w:val="22"/>
          <w:szCs w:val="22"/>
        </w:rPr>
        <w:t>Тези</w:t>
      </w:r>
      <w:r>
        <w:rPr>
          <w:sz w:val="22"/>
          <w:szCs w:val="22"/>
        </w:rPr>
        <w:t xml:space="preserve"> пациенти следва да бъдат внимателно проследени за белези и симптоми на свързани с кървене усложнения и анемия след началото на лечението (вж. точка 4.8). </w:t>
      </w:r>
    </w:p>
    <w:p w14:paraId="047DF1BD" w14:textId="77777777" w:rsidR="00E96BA7" w:rsidRDefault="00E96BA7" w:rsidP="00E16BC6">
      <w:pPr>
        <w:pStyle w:val="Default"/>
        <w:rPr>
          <w:sz w:val="22"/>
          <w:szCs w:val="22"/>
        </w:rPr>
      </w:pPr>
    </w:p>
    <w:p w14:paraId="7E96B11C" w14:textId="5A683E5C" w:rsidR="004762C7" w:rsidRPr="008104F6" w:rsidRDefault="00E16BC6" w:rsidP="00E16BC6">
      <w:r>
        <w:t>При всяко неизяснено понижаване на хемоглобина или кръвното налягане трябва да се търси източник на кървене</w:t>
      </w:r>
      <w:r w:rsidR="00030E48" w:rsidRPr="008104F6">
        <w:rPr>
          <w:rFonts w:eastAsia="Times New Roman"/>
        </w:rPr>
        <w:t>.</w:t>
      </w:r>
    </w:p>
    <w:p w14:paraId="76157315" w14:textId="77777777" w:rsidR="004762C7" w:rsidRPr="008104F6" w:rsidRDefault="004762C7" w:rsidP="004B3035"/>
    <w:p w14:paraId="2F467921" w14:textId="33CFDE30" w:rsidR="004762C7" w:rsidRDefault="00E16BC6" w:rsidP="004B3035">
      <w:pPr>
        <w:rPr>
          <w:lang w:val="bg-BG"/>
        </w:rPr>
      </w:pPr>
      <w:r>
        <w:t>Въпреки че лечението с ривароксабан не изисква рутинно проследяване на експозицията, нивата на ривароксабан, измерени с калибриран тест за количествено определяне на антифактор Ха, могат да бъдат полезни в извънредни ситуации, когато данните за експозицията на ривароксабан може да помогнат за вземане на информирани клинични решения, напр. предозиране и спешна хирургия (вж. точка 5.1 и 5.2)</w:t>
      </w:r>
      <w:r>
        <w:rPr>
          <w:lang w:val="bg-BG"/>
        </w:rPr>
        <w:t>.</w:t>
      </w:r>
    </w:p>
    <w:p w14:paraId="19D20DDD" w14:textId="77777777" w:rsidR="00E96BA7" w:rsidRDefault="00E96BA7" w:rsidP="00E96BA7">
      <w:pPr>
        <w:pStyle w:val="Default"/>
        <w:rPr>
          <w:i/>
          <w:iCs/>
          <w:sz w:val="22"/>
          <w:szCs w:val="22"/>
        </w:rPr>
      </w:pPr>
    </w:p>
    <w:p w14:paraId="7F224193" w14:textId="0283EAC4" w:rsidR="00E96BA7" w:rsidRDefault="00E96BA7" w:rsidP="00E96BA7">
      <w:pPr>
        <w:pStyle w:val="Default"/>
        <w:rPr>
          <w:sz w:val="22"/>
          <w:szCs w:val="22"/>
        </w:rPr>
      </w:pPr>
      <w:r>
        <w:rPr>
          <w:i/>
          <w:iCs/>
          <w:sz w:val="22"/>
          <w:szCs w:val="22"/>
        </w:rPr>
        <w:t xml:space="preserve">Педиатрична популация </w:t>
      </w:r>
    </w:p>
    <w:p w14:paraId="488B9B19" w14:textId="603AA487" w:rsidR="00E16BC6" w:rsidRPr="00E16BC6" w:rsidRDefault="00E96BA7" w:rsidP="00E96BA7">
      <w:pPr>
        <w:rPr>
          <w:lang w:val="bg-BG"/>
        </w:rPr>
      </w:pPr>
      <w:r>
        <w:t>Има ограничени данни при деца с мозъчна венозна и синусова тромбоза, които имат инфекция на ЦНС (вж. точка 5.1). Рискът от кървене трябва да бъде внимателно оценен преди и по време на терапията с ривароксабан.</w:t>
      </w:r>
    </w:p>
    <w:p w14:paraId="1B01825A" w14:textId="77777777" w:rsidR="00E96BA7" w:rsidRDefault="00E96BA7" w:rsidP="004B3035">
      <w:pPr>
        <w:ind w:right="100"/>
        <w:rPr>
          <w:u w:val="single"/>
        </w:rPr>
      </w:pPr>
    </w:p>
    <w:p w14:paraId="591A9570" w14:textId="7B80E5EC" w:rsidR="00E16BC6" w:rsidRPr="00E16BC6" w:rsidRDefault="00E16BC6" w:rsidP="004B3035">
      <w:pPr>
        <w:ind w:right="100"/>
        <w:rPr>
          <w:u w:val="single"/>
        </w:rPr>
      </w:pPr>
      <w:r w:rsidRPr="00E16BC6">
        <w:rPr>
          <w:u w:val="single"/>
        </w:rPr>
        <w:t xml:space="preserve">Бъбречно увреждане </w:t>
      </w:r>
    </w:p>
    <w:p w14:paraId="340E458B" w14:textId="2508B256" w:rsidR="00E16BC6" w:rsidRPr="00E16BC6" w:rsidRDefault="00E16BC6" w:rsidP="00E16BC6">
      <w:pPr>
        <w:rPr>
          <w:rFonts w:eastAsia="Times New Roman"/>
        </w:rPr>
      </w:pPr>
      <w:r w:rsidRPr="00E16BC6">
        <w:rPr>
          <w:rFonts w:eastAsia="Times New Roman"/>
        </w:rPr>
        <w:t xml:space="preserve">При </w:t>
      </w:r>
      <w:r w:rsidR="00E96BA7">
        <w:rPr>
          <w:rFonts w:eastAsia="Times New Roman"/>
          <w:lang w:val="bg-BG"/>
        </w:rPr>
        <w:t xml:space="preserve">възрастни </w:t>
      </w:r>
      <w:r w:rsidRPr="00E16BC6">
        <w:rPr>
          <w:rFonts w:eastAsia="Times New Roman"/>
        </w:rPr>
        <w:t xml:space="preserve">пациенти с тежко бъбречно увреждане (креатининов клирънс &lt; 30 ml/min) е възможно плазмените нива на ривароксабан да бъдат значително повишени (средно 1,6 пъти), което може да доведе до </w:t>
      </w:r>
      <w:r>
        <w:rPr>
          <w:rFonts w:eastAsia="Times New Roman"/>
        </w:rPr>
        <w:t>повишен риск от кървене. Руфиксало</w:t>
      </w:r>
      <w:r w:rsidRPr="00E16BC6">
        <w:rPr>
          <w:rFonts w:eastAsia="Times New Roman"/>
        </w:rPr>
        <w:t xml:space="preserve"> трябва да се прилага внимателно при пациенти с креатининов клирънс 15 - 29 ml/min. Не се препоръчва употребата при пациенти с креатининов клирънс &lt; 15 ml/min (вж. точки 4.2 и 5.2).</w:t>
      </w:r>
    </w:p>
    <w:p w14:paraId="69727BF3" w14:textId="40F1C29E" w:rsidR="004762C7" w:rsidRPr="008104F6" w:rsidRDefault="00E16BC6" w:rsidP="00E16BC6">
      <w:r w:rsidRPr="00E16BC6">
        <w:rPr>
          <w:rFonts w:eastAsia="Times New Roman"/>
        </w:rPr>
        <w:t>При пациенти с умерена степен на бъбречно увреждане (креатининов клирънс 30 - 49 ml/min), получаващи едновременно други лекарства, които повишават плазмените конце</w:t>
      </w:r>
      <w:r>
        <w:rPr>
          <w:rFonts w:eastAsia="Times New Roman"/>
        </w:rPr>
        <w:t>нтрации на ривароксабан, Руфиксало</w:t>
      </w:r>
      <w:r w:rsidRPr="00E16BC6">
        <w:rPr>
          <w:rFonts w:eastAsia="Times New Roman"/>
        </w:rPr>
        <w:t xml:space="preserve"> следва да се прилага внимателно (вж. точка 4.5).</w:t>
      </w:r>
    </w:p>
    <w:p w14:paraId="7EFE606F" w14:textId="25E9CA02" w:rsidR="00A2342B" w:rsidRDefault="00E96BA7" w:rsidP="00E16BC6">
      <w:pPr>
        <w:pStyle w:val="Default"/>
        <w:rPr>
          <w:sz w:val="22"/>
          <w:szCs w:val="22"/>
        </w:rPr>
      </w:pPr>
      <w:r>
        <w:rPr>
          <w:sz w:val="22"/>
          <w:szCs w:val="22"/>
        </w:rPr>
        <w:t>Руфиксало не се препоръчва при деца и юноши с умерена или тежка степен на бъбречно увреждане (скорост на гломерулна филтрация &lt; 50 ml/min/1,73 m</w:t>
      </w:r>
      <w:r w:rsidRPr="00E96BA7">
        <w:rPr>
          <w:sz w:val="14"/>
          <w:szCs w:val="14"/>
          <w:vertAlign w:val="superscript"/>
        </w:rPr>
        <w:t>2</w:t>
      </w:r>
      <w:r>
        <w:rPr>
          <w:sz w:val="22"/>
          <w:szCs w:val="22"/>
        </w:rPr>
        <w:t>), тъй като липсват клинични данни.</w:t>
      </w:r>
      <w:r w:rsidRPr="00E96BA7">
        <w:rPr>
          <w:sz w:val="22"/>
          <w:szCs w:val="22"/>
        </w:rPr>
        <w:t xml:space="preserve"> </w:t>
      </w:r>
    </w:p>
    <w:p w14:paraId="59DAE1B3" w14:textId="77777777" w:rsidR="00E96BA7" w:rsidRDefault="00E96BA7" w:rsidP="00E16BC6">
      <w:pPr>
        <w:pStyle w:val="Default"/>
        <w:rPr>
          <w:sz w:val="22"/>
          <w:szCs w:val="22"/>
          <w:u w:val="single"/>
        </w:rPr>
      </w:pPr>
    </w:p>
    <w:p w14:paraId="14676EA9" w14:textId="374F79BF" w:rsidR="00E16BC6" w:rsidRPr="00E16BC6" w:rsidRDefault="00E16BC6" w:rsidP="00E16BC6">
      <w:pPr>
        <w:pStyle w:val="Default"/>
        <w:rPr>
          <w:sz w:val="22"/>
          <w:szCs w:val="22"/>
          <w:u w:val="single"/>
        </w:rPr>
      </w:pPr>
      <w:r w:rsidRPr="00E16BC6">
        <w:rPr>
          <w:sz w:val="22"/>
          <w:szCs w:val="22"/>
          <w:u w:val="single"/>
        </w:rPr>
        <w:t xml:space="preserve">Взаимодействие с други лекарствени продукти </w:t>
      </w:r>
    </w:p>
    <w:p w14:paraId="65FC1B4D" w14:textId="65AFBD40" w:rsidR="004762C7" w:rsidRPr="008104F6" w:rsidRDefault="00E16BC6" w:rsidP="00E16BC6">
      <w:pPr>
        <w:ind w:right="140"/>
      </w:pPr>
      <w:r>
        <w:t>Не се препоръчва употребата на Руфиксало при пациенти, които получават едновременно системно лечение с азолови антимикотици (като кетоконазол, итраконазол, вориконазол и посаконазол) или HIV-протеазни инхибитори (напр. ритонавир). Тези активни вещества са мощни инхибитори на CYP3A4 и на P-gp и по тази причина могат да повишат плазмената концентрация на ривароксабан до клинично значимо ниво (средно 2,6 пъти), което може да доведе до повишен риск от кървене (вж. точка 4.5).</w:t>
      </w:r>
      <w:r w:rsidR="00E96BA7" w:rsidRPr="00E96BA7">
        <w:t xml:space="preserve"> Липсват клинични данни при деца, получаващи съпътстващо системно лечение със силни инхибитори, както на CYP 3A4, така и на P-gp (вж. точка 4.5).</w:t>
      </w:r>
    </w:p>
    <w:p w14:paraId="6EF269AC" w14:textId="77777777" w:rsidR="001D2093" w:rsidRPr="008104F6" w:rsidRDefault="001D2093">
      <w:pPr>
        <w:ind w:left="2" w:right="28"/>
      </w:pPr>
    </w:p>
    <w:p w14:paraId="206BF459" w14:textId="5FE2D86C" w:rsidR="00E16BC6" w:rsidRPr="00E16BC6" w:rsidRDefault="00E16BC6" w:rsidP="00E16BC6">
      <w:pPr>
        <w:rPr>
          <w:rFonts w:eastAsia="Times New Roman"/>
        </w:rPr>
      </w:pPr>
      <w:bookmarkStart w:id="2" w:name="page6"/>
      <w:bookmarkEnd w:id="2"/>
      <w:r w:rsidRPr="00E16BC6">
        <w:rPr>
          <w:rFonts w:eastAsia="Times New Roman"/>
        </w:rPr>
        <w:t>Необходимо е внимание при пациенти, които едновременно са на лечение с лекарствени продукти, които повлияват хемостазата, като нестероидни противовъзпалителни средства (НСПВС), ацетилсалицилова киселина (АСК) и инхибитори на тромбоцитната агрегация или селективни инхибитори на обратното захващане на серотонина (selective serotonin reuptake inhibitors, SSRI) и инхибитори на обратното захващане на серотонина и норепинефрина (serotonin norepinephrine reuptake inhibitors, SNRI). При пациентите с риск за улцерозно стомашно-чревно заболяване може да се помисли за подходящо профи</w:t>
      </w:r>
      <w:r w:rsidR="00781483">
        <w:rPr>
          <w:rFonts w:eastAsia="Times New Roman"/>
        </w:rPr>
        <w:t>лактично лечение (вж. точкa 4.5</w:t>
      </w:r>
      <w:r w:rsidRPr="00E16BC6">
        <w:rPr>
          <w:rFonts w:eastAsia="Times New Roman"/>
        </w:rPr>
        <w:t>).</w:t>
      </w:r>
    </w:p>
    <w:p w14:paraId="3D92D18C" w14:textId="77777777" w:rsidR="00E16BC6" w:rsidRPr="008104F6" w:rsidRDefault="00E16BC6" w:rsidP="00E16BC6"/>
    <w:p w14:paraId="35C907DC" w14:textId="77777777" w:rsidR="00E16BC6" w:rsidRPr="00E16BC6" w:rsidRDefault="00E16BC6" w:rsidP="004B3035">
      <w:pPr>
        <w:ind w:left="2" w:right="48"/>
        <w:rPr>
          <w:u w:val="single"/>
        </w:rPr>
      </w:pPr>
      <w:r w:rsidRPr="00E16BC6">
        <w:rPr>
          <w:u w:val="single"/>
        </w:rPr>
        <w:t xml:space="preserve">Други рискови фактори за кървене </w:t>
      </w:r>
    </w:p>
    <w:p w14:paraId="26D8E73D" w14:textId="5C5F194D" w:rsidR="004762C7" w:rsidRPr="008104F6" w:rsidRDefault="000A5909" w:rsidP="004B3035">
      <w:pPr>
        <w:ind w:left="2" w:right="48"/>
      </w:pPr>
      <w:r>
        <w:t xml:space="preserve">Както и с други антиагрегантни средства, ривароксабан не се препоръчва при пациенти с повишен риск от кървене, като: </w:t>
      </w:r>
    </w:p>
    <w:p w14:paraId="2C0796B1" w14:textId="2926823E" w:rsidR="004762C7" w:rsidRPr="008104F6" w:rsidRDefault="000A5909" w:rsidP="004114F8">
      <w:pPr>
        <w:numPr>
          <w:ilvl w:val="0"/>
          <w:numId w:val="5"/>
        </w:numPr>
        <w:tabs>
          <w:tab w:val="left" w:pos="426"/>
        </w:tabs>
        <w:ind w:left="562" w:hanging="562"/>
        <w:rPr>
          <w:rFonts w:eastAsia="Arial"/>
        </w:rPr>
      </w:pPr>
      <w:r>
        <w:rPr>
          <w:rFonts w:eastAsia="Times New Roman"/>
          <w:lang w:val="bg-BG"/>
        </w:rPr>
        <w:t>вродени или придобити нарушения в кръвосъсирването</w:t>
      </w:r>
    </w:p>
    <w:p w14:paraId="6181B43B" w14:textId="08673FD0" w:rsidR="004762C7" w:rsidRPr="008104F6" w:rsidRDefault="000A5909" w:rsidP="004114F8">
      <w:pPr>
        <w:numPr>
          <w:ilvl w:val="0"/>
          <w:numId w:val="5"/>
        </w:numPr>
        <w:tabs>
          <w:tab w:val="left" w:pos="426"/>
          <w:tab w:val="left" w:pos="562"/>
        </w:tabs>
        <w:ind w:left="562" w:hanging="561"/>
        <w:rPr>
          <w:rFonts w:eastAsia="Arial"/>
        </w:rPr>
      </w:pPr>
      <w:r>
        <w:rPr>
          <w:rFonts w:eastAsia="Times New Roman"/>
          <w:lang w:val="bg-BG"/>
        </w:rPr>
        <w:t>неконтролирана тежка артериална хипертония</w:t>
      </w:r>
    </w:p>
    <w:p w14:paraId="47634B51" w14:textId="7A6B458E" w:rsidR="004762C7" w:rsidRPr="008104F6" w:rsidRDefault="000A5909" w:rsidP="004114F8">
      <w:pPr>
        <w:numPr>
          <w:ilvl w:val="0"/>
          <w:numId w:val="5"/>
        </w:numPr>
        <w:tabs>
          <w:tab w:val="left" w:pos="426"/>
          <w:tab w:val="left" w:pos="709"/>
        </w:tabs>
        <w:ind w:left="426" w:right="308" w:hanging="426"/>
        <w:rPr>
          <w:rFonts w:eastAsia="Arial"/>
        </w:rPr>
      </w:pPr>
      <w:r>
        <w:rPr>
          <w:rFonts w:eastAsia="Times New Roman"/>
          <w:lang w:val="bg-BG"/>
        </w:rPr>
        <w:t>друго стомашно-чревно заболяване без активно разязвяване, което потенциално може да доведе до усложнения с кървене (напр. възпалително заболяване на червата, езофагит, гастрит и гастроезофагиална рефлуксна болест)</w:t>
      </w:r>
    </w:p>
    <w:p w14:paraId="7921ED77" w14:textId="0F78A21D" w:rsidR="004762C7" w:rsidRPr="008104F6" w:rsidRDefault="000A5909" w:rsidP="004114F8">
      <w:pPr>
        <w:numPr>
          <w:ilvl w:val="0"/>
          <w:numId w:val="5"/>
        </w:numPr>
        <w:tabs>
          <w:tab w:val="left" w:pos="426"/>
          <w:tab w:val="left" w:pos="562"/>
        </w:tabs>
        <w:ind w:left="562" w:hanging="561"/>
        <w:rPr>
          <w:rFonts w:eastAsia="Arial"/>
        </w:rPr>
      </w:pPr>
      <w:r>
        <w:rPr>
          <w:rFonts w:eastAsia="Times New Roman"/>
        </w:rPr>
        <w:lastRenderedPageBreak/>
        <w:t>съдова ретинопатия</w:t>
      </w:r>
    </w:p>
    <w:p w14:paraId="04E6BA5A" w14:textId="2136B6CD" w:rsidR="004762C7" w:rsidRPr="008104F6" w:rsidRDefault="000A5909" w:rsidP="004114F8">
      <w:pPr>
        <w:numPr>
          <w:ilvl w:val="0"/>
          <w:numId w:val="5"/>
        </w:numPr>
        <w:tabs>
          <w:tab w:val="left" w:pos="426"/>
          <w:tab w:val="left" w:pos="562"/>
        </w:tabs>
        <w:ind w:left="562" w:hanging="561"/>
        <w:rPr>
          <w:rFonts w:eastAsia="Arial"/>
        </w:rPr>
      </w:pPr>
      <w:r>
        <w:rPr>
          <w:rFonts w:eastAsia="Times New Roman"/>
          <w:lang w:val="bg-BG"/>
        </w:rPr>
        <w:t>бронхиектазии или анамнеза за кървене в белия дроб</w:t>
      </w:r>
    </w:p>
    <w:p w14:paraId="0C812B96" w14:textId="14654B62" w:rsidR="00A2342B" w:rsidRDefault="00A2342B" w:rsidP="00781483">
      <w:pPr>
        <w:tabs>
          <w:tab w:val="left" w:pos="362"/>
        </w:tabs>
        <w:ind w:right="248"/>
      </w:pPr>
    </w:p>
    <w:p w14:paraId="7658F916" w14:textId="77777777" w:rsidR="002456F3" w:rsidRDefault="002456F3" w:rsidP="006A7681">
      <w:pPr>
        <w:rPr>
          <w:u w:val="single"/>
        </w:rPr>
      </w:pPr>
      <w:r w:rsidRPr="002456F3">
        <w:rPr>
          <w:u w:val="single"/>
        </w:rPr>
        <w:t>Пациенти с раково заболяване</w:t>
      </w:r>
    </w:p>
    <w:p w14:paraId="5C4AF8C5" w14:textId="77777777" w:rsidR="002456F3" w:rsidRDefault="002456F3" w:rsidP="002456F3">
      <w:r>
        <w:t>Пациентите със злокачествено заболяване може едновременно да са изложени и на по-висок риск от кървене и тромбоза. Индивидуалната полза от антитромботичното лечение трябва да се прецени спрямо риска от кървене при пациенти с активно раково заболяване в зависимост от локацията на тумора, антинеопластичната терапия и стадия на заболяването. Туморите, разположени в стомашно-чревния или пикочно-половия тракт, са свързани с повишен риск от кървене по време на терапията с ривароксабан.</w:t>
      </w:r>
    </w:p>
    <w:p w14:paraId="767FEFBE" w14:textId="1CC6147D" w:rsidR="006A7681" w:rsidRDefault="002456F3" w:rsidP="002456F3">
      <w:r>
        <w:t>При пациенти със злокачествени новообразувания с висок риск от кървене, употребата на ривароксабан е противопоказана (вж. точка 4.3).</w:t>
      </w:r>
    </w:p>
    <w:p w14:paraId="760CC1B8" w14:textId="77777777" w:rsidR="002456F3" w:rsidRPr="008104F6" w:rsidRDefault="002456F3" w:rsidP="002456F3"/>
    <w:p w14:paraId="2324FA29" w14:textId="77777777" w:rsidR="002456F3" w:rsidRDefault="002456F3" w:rsidP="004B3035">
      <w:pPr>
        <w:ind w:left="2" w:right="188"/>
        <w:rPr>
          <w:rFonts w:eastAsia="Times New Roman"/>
          <w:u w:val="single"/>
        </w:rPr>
      </w:pPr>
      <w:r w:rsidRPr="002456F3">
        <w:rPr>
          <w:rFonts w:eastAsia="Times New Roman"/>
          <w:u w:val="single"/>
        </w:rPr>
        <w:t>Пациенти с клапни протези</w:t>
      </w:r>
    </w:p>
    <w:p w14:paraId="5DC0F5DA" w14:textId="340090A1" w:rsidR="004762C7" w:rsidRDefault="002456F3" w:rsidP="004B3035">
      <w:pPr>
        <w:rPr>
          <w:rFonts w:eastAsia="Times New Roman"/>
        </w:rPr>
      </w:pPr>
      <w:r w:rsidRPr="002456F3">
        <w:rPr>
          <w:rFonts w:eastAsia="Times New Roman"/>
        </w:rPr>
        <w:t>Ривароксабан не трябва да се използва за тромбопрофилактика при пациенти, които наскоро са преминали транскатетърна смяна на аортната клапа (</w:t>
      </w:r>
      <w:r w:rsidR="00BD6A52">
        <w:rPr>
          <w:rFonts w:eastAsia="Times New Roman"/>
          <w:lang w:val="bg-BG"/>
        </w:rPr>
        <w:t>ТКСАК</w:t>
      </w:r>
      <w:r w:rsidRPr="002456F3">
        <w:rPr>
          <w:rFonts w:eastAsia="Times New Roman"/>
        </w:rPr>
        <w:t xml:space="preserve">). Безопасността и ефикасността на </w:t>
      </w:r>
      <w:r w:rsidR="001152A7">
        <w:rPr>
          <w:lang w:val="mk-MK"/>
        </w:rPr>
        <w:t>ривароксабан</w:t>
      </w:r>
      <w:r w:rsidRPr="002456F3">
        <w:rPr>
          <w:rFonts w:eastAsia="Times New Roman"/>
        </w:rPr>
        <w:t>не са проучени при пациенти със сърдечно клапно протезиране; по тази причина, няма данн</w:t>
      </w:r>
      <w:r>
        <w:rPr>
          <w:rFonts w:eastAsia="Times New Roman"/>
        </w:rPr>
        <w:t>и в подкрепа на това, че Руфиксало</w:t>
      </w:r>
      <w:r w:rsidRPr="002456F3">
        <w:rPr>
          <w:rFonts w:eastAsia="Times New Roman"/>
        </w:rPr>
        <w:t xml:space="preserve"> осигурява адекватна антикоагулация в тази популац</w:t>
      </w:r>
      <w:r>
        <w:rPr>
          <w:rFonts w:eastAsia="Times New Roman"/>
        </w:rPr>
        <w:t>ия пациенти. Лечението с Руфиксало</w:t>
      </w:r>
      <w:r w:rsidRPr="002456F3">
        <w:rPr>
          <w:rFonts w:eastAsia="Times New Roman"/>
        </w:rPr>
        <w:t xml:space="preserve"> не се препоръчва при тези пациенти.</w:t>
      </w:r>
    </w:p>
    <w:p w14:paraId="38EC4D6C" w14:textId="77777777" w:rsidR="002456F3" w:rsidRPr="008104F6" w:rsidRDefault="002456F3" w:rsidP="004B3035"/>
    <w:p w14:paraId="0757F201" w14:textId="77777777" w:rsidR="002456F3" w:rsidRPr="002456F3" w:rsidRDefault="002456F3" w:rsidP="004B3035">
      <w:pPr>
        <w:ind w:left="2" w:right="48"/>
        <w:rPr>
          <w:u w:val="single"/>
        </w:rPr>
      </w:pPr>
      <w:r w:rsidRPr="002456F3">
        <w:rPr>
          <w:u w:val="single"/>
        </w:rPr>
        <w:t xml:space="preserve">Пациенти с антифосфолипиден синдром </w:t>
      </w:r>
    </w:p>
    <w:p w14:paraId="792FDDA7" w14:textId="217CA02D" w:rsidR="004762C7" w:rsidRDefault="002456F3" w:rsidP="004B3035">
      <w:pPr>
        <w:rPr>
          <w:rFonts w:eastAsia="Times New Roman"/>
        </w:rPr>
      </w:pPr>
      <w:r w:rsidRPr="002456F3">
        <w:rPr>
          <w:rFonts w:eastAsia="Times New Roman"/>
        </w:rPr>
        <w:t>Директно действащи перорални антикоагуланти (</w:t>
      </w:r>
      <w:r w:rsidR="00BD6A52">
        <w:rPr>
          <w:rFonts w:eastAsia="Times New Roman"/>
          <w:lang w:val="bg-BG"/>
        </w:rPr>
        <w:t>ДДПАК</w:t>
      </w:r>
      <w:r w:rsidRPr="002456F3">
        <w:rPr>
          <w:rFonts w:eastAsia="Times New Roman"/>
        </w:rPr>
        <w:t xml:space="preserve">), включително ривароксабан, не се препоръчват при пациенти с анамнеза за тромбоза, които са диагностицирани с антифосфолипиден синдром. По-специално при тройнопозитивни пациенти (за лупусен антикоагулант, антикардиолипинови антитела и антитела срещу бета-2-гликопротеин I), лечението с </w:t>
      </w:r>
      <w:r w:rsidR="00BD6A52">
        <w:rPr>
          <w:rFonts w:eastAsia="Times New Roman"/>
          <w:lang w:val="bg-BG"/>
        </w:rPr>
        <w:t>ДДПАК</w:t>
      </w:r>
      <w:r w:rsidRPr="002456F3">
        <w:rPr>
          <w:rFonts w:eastAsia="Times New Roman"/>
        </w:rPr>
        <w:t xml:space="preserve"> може да бъде свързано с повишена честота на повтарящи се тромботични събития в сравнение с терапията с антагонист на витамин К.</w:t>
      </w:r>
    </w:p>
    <w:p w14:paraId="1619BB5B" w14:textId="77777777" w:rsidR="00A2342B" w:rsidRDefault="00A2342B" w:rsidP="004B3035">
      <w:pPr>
        <w:rPr>
          <w:rFonts w:eastAsia="Times New Roman"/>
        </w:rPr>
      </w:pPr>
    </w:p>
    <w:p w14:paraId="202EA67C" w14:textId="77777777" w:rsidR="00E96BA7" w:rsidRPr="00E96BA7" w:rsidRDefault="00E96BA7" w:rsidP="00E96BA7">
      <w:pPr>
        <w:rPr>
          <w:color w:val="000000"/>
          <w:u w:val="single"/>
          <w:lang w:val="bg-BG"/>
        </w:rPr>
      </w:pPr>
      <w:r w:rsidRPr="00E96BA7">
        <w:rPr>
          <w:color w:val="000000"/>
          <w:u w:val="single"/>
          <w:lang w:val="bg-BG"/>
        </w:rPr>
        <w:t>Пациенти с неклапно предсърдно мъждене, които подлежат на ПКИ с поставяне на стент</w:t>
      </w:r>
    </w:p>
    <w:p w14:paraId="7183DB83" w14:textId="62D9E580" w:rsidR="002456F3" w:rsidRPr="00E96BA7" w:rsidRDefault="00E96BA7" w:rsidP="00E96BA7">
      <w:pPr>
        <w:rPr>
          <w:color w:val="000000"/>
          <w:lang w:val="bg-BG"/>
        </w:rPr>
      </w:pPr>
      <w:r w:rsidRPr="00E96BA7">
        <w:rPr>
          <w:color w:val="000000"/>
          <w:lang w:val="bg-BG"/>
        </w:rPr>
        <w:t>Налични са клинични данни, получени от интервенционално проучване, с основна цел изследване на безопасността при пациентие с неклапно предсърдно мъждене, които са били подложени на ПКИ с поставяне на стент. Данните за ефикасността при тази популация са ограничени (вж. точки 4.2 и 5.1). Липсват данни за такива паценти с анамнеза за инсулт/преходен исхемичен пристъп (ПИП).</w:t>
      </w:r>
    </w:p>
    <w:p w14:paraId="5C463897" w14:textId="77777777" w:rsidR="00E96BA7" w:rsidRPr="00906E44" w:rsidRDefault="00E96BA7" w:rsidP="00E96BA7">
      <w:pPr>
        <w:rPr>
          <w:u w:val="single"/>
        </w:rPr>
      </w:pPr>
    </w:p>
    <w:p w14:paraId="67172F8C" w14:textId="77777777" w:rsidR="00B429E5" w:rsidRPr="00B429E5" w:rsidRDefault="00B429E5" w:rsidP="00B429E5">
      <w:pPr>
        <w:pStyle w:val="Default"/>
        <w:rPr>
          <w:sz w:val="22"/>
          <w:szCs w:val="22"/>
          <w:u w:val="single"/>
        </w:rPr>
      </w:pPr>
      <w:r w:rsidRPr="00B429E5">
        <w:rPr>
          <w:sz w:val="22"/>
          <w:szCs w:val="22"/>
          <w:u w:val="single"/>
        </w:rPr>
        <w:t xml:space="preserve">Хемодинамично нестабилни пациенти с БЕ или пациенти, които се нуждаят от тромболиза или белодробна емболектомия. </w:t>
      </w:r>
    </w:p>
    <w:p w14:paraId="5068FEF6" w14:textId="22F249D1" w:rsidR="006A7681" w:rsidRDefault="00277548" w:rsidP="002A5932">
      <w:pPr>
        <w:ind w:left="2" w:right="48"/>
      </w:pPr>
      <w:r>
        <w:t>Руф</w:t>
      </w:r>
      <w:r>
        <w:rPr>
          <w:lang w:val="bg-BG"/>
        </w:rPr>
        <w:t>и</w:t>
      </w:r>
      <w:r>
        <w:t>ксало</w:t>
      </w:r>
      <w:r w:rsidR="00B429E5">
        <w:t xml:space="preserve"> не се препоръчва като алтернатива на нефракционирания хепарин при пациенти с белодробен емболизъм, които са хемодинамично нестабилни или на които може да се направи тромболиза или белодробна емболектомия, тъй като безопасността и ефикасността на </w:t>
      </w:r>
      <w:r w:rsidR="002A5932">
        <w:rPr>
          <w:lang w:val="bg-BG"/>
        </w:rPr>
        <w:t>ривароксабан</w:t>
      </w:r>
      <w:r w:rsidR="00B429E5">
        <w:t xml:space="preserve"> не са установени при тези клинични ситуации. </w:t>
      </w:r>
      <w:r w:rsidR="002A5932">
        <w:t xml:space="preserve"> </w:t>
      </w:r>
    </w:p>
    <w:p w14:paraId="44068B73" w14:textId="77777777" w:rsidR="002A5932" w:rsidRPr="002A5932" w:rsidRDefault="002A5932" w:rsidP="002A5932">
      <w:pPr>
        <w:ind w:left="2" w:right="48"/>
      </w:pPr>
    </w:p>
    <w:p w14:paraId="03211B68" w14:textId="2F5D4D77" w:rsidR="00906E44" w:rsidRDefault="00906E44">
      <w:pPr>
        <w:ind w:firstLine="1"/>
        <w:rPr>
          <w:rFonts w:eastAsia="Times New Roman"/>
          <w:u w:val="single"/>
        </w:rPr>
      </w:pPr>
      <w:r w:rsidRPr="00906E44">
        <w:rPr>
          <w:rFonts w:eastAsia="Times New Roman"/>
          <w:u w:val="single"/>
        </w:rPr>
        <w:t xml:space="preserve">Спинална/епидурална анестезия или пункция </w:t>
      </w:r>
    </w:p>
    <w:p w14:paraId="3A34627A" w14:textId="25023E74" w:rsidR="00906E44" w:rsidRPr="00906E44" w:rsidRDefault="00906E44" w:rsidP="00906E44">
      <w:pPr>
        <w:ind w:right="80"/>
        <w:rPr>
          <w:rFonts w:eastAsia="Times New Roman"/>
        </w:rPr>
      </w:pPr>
      <w:r w:rsidRPr="00906E44">
        <w:rPr>
          <w:rFonts w:eastAsia="Times New Roman"/>
        </w:rPr>
        <w:t xml:space="preserve">Когато се използва невроаксиална анестезия (спинала/епидурална анестезиа) или спинална/епидурална пункция, пациентите, третирани с антиагрегантни средства за превенция на тромбоемболични усложнения, са подложени на риск от поява на епидурален или спинален хематом, който може да доведе до дългосрочна или трайна парализа. Този риск може да се повиши от постоперативната употреба на въвеждащ епидурален катетър или едновременната употреба на лекарствени продукти, повлияващи хемостазата. Рискът може да се повиши също така и от травматична или многократна епидурална или спинална пункция. Пациентите трябва често да бъдат проследявани за признаци и симптоми на неврологично увреждане (напр. </w:t>
      </w:r>
      <w:r w:rsidRPr="00906E44">
        <w:rPr>
          <w:rFonts w:eastAsia="Times New Roman"/>
        </w:rPr>
        <w:lastRenderedPageBreak/>
        <w:t xml:space="preserve">изтръпване или слабост в краката, дискомфорт в червата или пикочния мехур). Ако бъде констатиран неврологичен дефицит, са необходими спешно диагностициране и лечение. Преди невроаксиална интервенция, лекарят трябва да прецени съотношението между потенциалната полза и риска при пациенти на антикоагулантна терапия или пациенти, които ще бъдат подложени на антикоагулантна терапия, за тромбопрофилактика. </w:t>
      </w:r>
      <w:r w:rsidR="00E96BA7">
        <w:t xml:space="preserve">Няма клиничен опит с употребата на </w:t>
      </w:r>
      <w:r w:rsidR="00E96BA7">
        <w:rPr>
          <w:lang w:val="bg-BG"/>
        </w:rPr>
        <w:t xml:space="preserve">15 </w:t>
      </w:r>
      <w:r w:rsidR="00E96BA7">
        <w:t xml:space="preserve">mg </w:t>
      </w:r>
      <w:r w:rsidR="00E96BA7">
        <w:rPr>
          <w:lang w:val="bg-BG"/>
        </w:rPr>
        <w:t xml:space="preserve">или </w:t>
      </w:r>
      <w:r w:rsidR="00E96BA7">
        <w:t>20 mg ривароксабан в тези ситуации.</w:t>
      </w:r>
    </w:p>
    <w:p w14:paraId="0832809D" w14:textId="43656A50" w:rsidR="004762C7" w:rsidRPr="00E96BA7" w:rsidRDefault="00906E44" w:rsidP="00906E44">
      <w:pPr>
        <w:ind w:right="80"/>
        <w:rPr>
          <w:rFonts w:eastAsia="Times New Roman"/>
          <w:lang w:val="bg-BG"/>
        </w:rPr>
      </w:pPr>
      <w:r w:rsidRPr="00906E44">
        <w:rPr>
          <w:rFonts w:eastAsia="Times New Roman"/>
        </w:rPr>
        <w:t>За намаляване на потенциалния риск от кървене, свързано с едновременното прилагане на ривароксабан и невроаксиална (епидурална /спинална) анестезия или спинална пункция, трябва да се има предвид фармакокинетичния профил на ривароксабан. Поставянето или премахването на епидурален катетър или лумбална пункция се извършва най-добре, когато антикоагулантния ефект на ривароксабан се оценява като нисък (вж. точка 5.2</w:t>
      </w:r>
      <w:r w:rsidR="00B429E5">
        <w:rPr>
          <w:rFonts w:eastAsia="Times New Roman"/>
          <w:lang w:val="bg-BG"/>
        </w:rPr>
        <w:t>).</w:t>
      </w:r>
      <w:r w:rsidRPr="00906E44">
        <w:rPr>
          <w:rFonts w:eastAsia="Times New Roman"/>
        </w:rPr>
        <w:t xml:space="preserve"> </w:t>
      </w:r>
      <w:r w:rsidR="00E96BA7" w:rsidRPr="00E96BA7">
        <w:rPr>
          <w:rFonts w:eastAsia="Times New Roman"/>
        </w:rPr>
        <w:t>Въпреки това, точното време за постигане на достатъчно нисък антикоагулантен ефект за всеки пациент не е известно и трябва да бъде преценено спрямо спешността на диагностичната процедура</w:t>
      </w:r>
      <w:r w:rsidR="00E96BA7">
        <w:rPr>
          <w:rFonts w:eastAsia="Times New Roman"/>
          <w:lang w:val="bg-BG"/>
        </w:rPr>
        <w:t>.</w:t>
      </w:r>
    </w:p>
    <w:p w14:paraId="50A2C8BD" w14:textId="77777777" w:rsidR="00CF1E75" w:rsidRPr="00CF1E75" w:rsidRDefault="00CF1E75" w:rsidP="00CF1E75">
      <w:pPr>
        <w:rPr>
          <w:color w:val="000000"/>
          <w:lang w:val="bg-BG"/>
        </w:rPr>
      </w:pPr>
      <w:r w:rsidRPr="00CF1E75">
        <w:rPr>
          <w:color w:val="000000"/>
          <w:lang w:val="bg-BG"/>
        </w:rPr>
        <w:t>За отстраняването на епидуралния катетър и въз основа на общите фармакокинетични характеристики, поне 2x полуживота, т.е. най-малко 18 часа при млади възрастни пациенти или 26 часа при пациенти в старческа възраст, трябва да са минали след последното приложение на ривароксабан (вж. точка 5.2). След отстраняването на катетъра, трябва да изминат най-малко 6 часа преди приложение на следващата доза ривароксабан.</w:t>
      </w:r>
    </w:p>
    <w:p w14:paraId="114B16E9" w14:textId="45199B6A" w:rsidR="004762C7" w:rsidRDefault="00CF1E75" w:rsidP="00CF1E75">
      <w:r w:rsidRPr="00CF1E75">
        <w:rPr>
          <w:color w:val="000000"/>
          <w:lang w:val="bg-BG"/>
        </w:rPr>
        <w:t>При поява на травматична пункция, приложението на ривароксабан трябва да бъде отложено с 24 часа.</w:t>
      </w:r>
      <w:r w:rsidRPr="00CF1E75">
        <w:t xml:space="preserve"> </w:t>
      </w:r>
      <w:r>
        <w:t xml:space="preserve">Липсват данни относно подходящото време за поставяне или отстраняване на невроаксиален катетър при деца, докато са на лечение с </w:t>
      </w:r>
      <w:r w:rsidR="001152A7">
        <w:rPr>
          <w:lang w:val="mk-MK"/>
        </w:rPr>
        <w:t>ривароксабан</w:t>
      </w:r>
      <w:r>
        <w:t>. В такива случаи, преустановете приложението на ривароксабан и обмислете приложение на краткодействащ парентерален антикоагулант.</w:t>
      </w:r>
    </w:p>
    <w:p w14:paraId="7FC558FB" w14:textId="77777777" w:rsidR="00CF1E75" w:rsidRPr="008104F6" w:rsidRDefault="00CF1E75" w:rsidP="00CF1E75"/>
    <w:p w14:paraId="3DB082EE" w14:textId="77777777" w:rsidR="00E21592" w:rsidRPr="00E21592" w:rsidRDefault="00E21592" w:rsidP="00E21592">
      <w:pPr>
        <w:pStyle w:val="Default"/>
        <w:rPr>
          <w:sz w:val="22"/>
          <w:szCs w:val="22"/>
          <w:u w:val="single"/>
        </w:rPr>
      </w:pPr>
      <w:r w:rsidRPr="00E21592">
        <w:rPr>
          <w:sz w:val="22"/>
          <w:szCs w:val="22"/>
          <w:u w:val="single"/>
        </w:rPr>
        <w:t xml:space="preserve">Препоръки за дозирането преди и след инвазивни процедури и хирургични интервенции, различни от планово ставно протезиране на тазобедрената или на колянната става </w:t>
      </w:r>
    </w:p>
    <w:p w14:paraId="75B2A32A" w14:textId="77777777" w:rsidR="00CF1E75" w:rsidRDefault="00E21592" w:rsidP="00E21592">
      <w:pPr>
        <w:pStyle w:val="Default"/>
        <w:rPr>
          <w:sz w:val="22"/>
          <w:szCs w:val="22"/>
        </w:rPr>
      </w:pPr>
      <w:r>
        <w:rPr>
          <w:sz w:val="22"/>
          <w:szCs w:val="22"/>
        </w:rPr>
        <w:t xml:space="preserve">Ако се налага провеждане на инвазивна процедура или хирургична интервенция, </w:t>
      </w:r>
      <w:r w:rsidR="00277548" w:rsidRPr="00CF1E75">
        <w:rPr>
          <w:sz w:val="22"/>
          <w:szCs w:val="22"/>
        </w:rPr>
        <w:t>Руфиксало</w:t>
      </w:r>
      <w:r w:rsidR="00CF1E75">
        <w:rPr>
          <w:sz w:val="22"/>
          <w:szCs w:val="22"/>
        </w:rPr>
        <w:t xml:space="preserve"> 15</w:t>
      </w:r>
      <w:r>
        <w:rPr>
          <w:sz w:val="22"/>
          <w:szCs w:val="22"/>
        </w:rPr>
        <w:t xml:space="preserve"> mg </w:t>
      </w:r>
      <w:r w:rsidR="00CF1E75">
        <w:rPr>
          <w:sz w:val="22"/>
          <w:szCs w:val="22"/>
        </w:rPr>
        <w:t xml:space="preserve">или 20 </w:t>
      </w:r>
      <w:r w:rsidR="00CF1E75">
        <w:rPr>
          <w:sz w:val="22"/>
          <w:szCs w:val="22"/>
          <w:lang w:val="en-US"/>
        </w:rPr>
        <w:t xml:space="preserve">mg </w:t>
      </w:r>
      <w:r>
        <w:rPr>
          <w:sz w:val="22"/>
          <w:szCs w:val="22"/>
        </w:rPr>
        <w:t xml:space="preserve">трябва да бъде спрян по възможност поне 24 часа преди интервенцията и въз основа на клиничната преценка на лекуващия лекар. </w:t>
      </w:r>
    </w:p>
    <w:p w14:paraId="379BC3D8" w14:textId="0FEC4228" w:rsidR="00E21592" w:rsidRDefault="00E21592" w:rsidP="00E21592">
      <w:pPr>
        <w:pStyle w:val="Default"/>
        <w:rPr>
          <w:sz w:val="22"/>
          <w:szCs w:val="22"/>
        </w:rPr>
      </w:pPr>
      <w:r>
        <w:rPr>
          <w:sz w:val="22"/>
          <w:szCs w:val="22"/>
        </w:rPr>
        <w:t xml:space="preserve">Ако процедурата не може да бъде отложена, трябва да се прецени повишеният риск от кървене спрямо спешността на интервенцията. </w:t>
      </w:r>
    </w:p>
    <w:p w14:paraId="6E4CC46C" w14:textId="0FA2D595" w:rsidR="00E21592" w:rsidRDefault="00E21592" w:rsidP="00E21592">
      <w:pPr>
        <w:ind w:right="80"/>
      </w:pPr>
      <w:r>
        <w:t xml:space="preserve">Приемът на </w:t>
      </w:r>
      <w:r w:rsidR="00277548">
        <w:t>Руфиксало</w:t>
      </w:r>
      <w:r>
        <w:t xml:space="preserve"> трябва да се възобнови възможно най-скоро след инвазивната процедура или хирургичната интервенция, ако клиничната ситуация позволява и е постигната адекватна хемостаза, както е определено от ле</w:t>
      </w:r>
      <w:r w:rsidR="00A74373">
        <w:t xml:space="preserve">куващия лекар (вж. точка 5.2). </w:t>
      </w:r>
    </w:p>
    <w:p w14:paraId="4FA0E1D7" w14:textId="77777777" w:rsidR="00906E44" w:rsidRDefault="00906E44">
      <w:pPr>
        <w:rPr>
          <w:rFonts w:eastAsia="Times New Roman"/>
          <w:u w:val="single"/>
        </w:rPr>
      </w:pPr>
    </w:p>
    <w:p w14:paraId="68338626" w14:textId="3C30B898" w:rsidR="004762C7" w:rsidRPr="008104F6" w:rsidRDefault="00906E44">
      <w:r w:rsidRPr="00906E44">
        <w:rPr>
          <w:rFonts w:eastAsia="Times New Roman"/>
          <w:u w:val="single"/>
        </w:rPr>
        <w:t>Популация в старческа възраст</w:t>
      </w:r>
    </w:p>
    <w:p w14:paraId="1BAE4110" w14:textId="6D54BE25" w:rsidR="004762C7" w:rsidRPr="008104F6" w:rsidRDefault="00906E44">
      <w:r w:rsidRPr="00906E44">
        <w:rPr>
          <w:rFonts w:eastAsia="Times New Roman"/>
        </w:rPr>
        <w:t>С увеличаването на възрастта може да се увеличи риск</w:t>
      </w:r>
      <w:r w:rsidR="00A74373">
        <w:rPr>
          <w:rFonts w:eastAsia="Times New Roman"/>
        </w:rPr>
        <w:t>ът от хеморагия (вж. точкa</w:t>
      </w:r>
      <w:r w:rsidRPr="00906E44">
        <w:rPr>
          <w:rFonts w:eastAsia="Times New Roman"/>
        </w:rPr>
        <w:t xml:space="preserve"> 5.2).</w:t>
      </w:r>
    </w:p>
    <w:p w14:paraId="0702D3D0" w14:textId="77777777" w:rsidR="004762C7" w:rsidRPr="008104F6" w:rsidRDefault="004762C7" w:rsidP="004B3035"/>
    <w:p w14:paraId="534A2E9E" w14:textId="5F42B733" w:rsidR="00906E44" w:rsidRDefault="00906E44" w:rsidP="004B3035">
      <w:pPr>
        <w:ind w:right="60"/>
        <w:rPr>
          <w:rFonts w:eastAsia="Times New Roman"/>
          <w:u w:val="single"/>
        </w:rPr>
      </w:pPr>
      <w:r w:rsidRPr="00906E44">
        <w:rPr>
          <w:rFonts w:eastAsia="Times New Roman"/>
          <w:u w:val="single"/>
        </w:rPr>
        <w:t xml:space="preserve">Дерматологични реакции </w:t>
      </w:r>
    </w:p>
    <w:p w14:paraId="031F47E7" w14:textId="1C0A64AD" w:rsidR="004762C7" w:rsidRPr="008104F6" w:rsidRDefault="00906E44" w:rsidP="004B3035">
      <w:pPr>
        <w:ind w:right="60"/>
      </w:pPr>
      <w:r w:rsidRPr="00906E44">
        <w:rPr>
          <w:rFonts w:eastAsia="Times New Roman"/>
        </w:rPr>
        <w:t>По време на постмаркетингово наблюдение във връзка с употребата на ривароксабан се съобщава за сериозни кожни реакции, включително синдром на Stevens-Johnson/токсична епидермална некролиза и DRESS синдром (вж. точка 4.8). Изглежда, че пациентите са изложени на най-голям риск от тези реакции в началото на терапията: в повечето случаи началото на реакцията се проявява през първите седмици от лечението. Ривароксабан трябва да се преустанови при първа поява на тежък кожен обрив (напр. разпространяващ се, интензивен и/или свързан с образуването на мехури) или друг признак на свръхчувствителност, свързан с лезии на лигавицата.</w:t>
      </w:r>
    </w:p>
    <w:p w14:paraId="62160AEF" w14:textId="77777777" w:rsidR="004762C7" w:rsidRPr="008104F6" w:rsidRDefault="004762C7" w:rsidP="004B3035"/>
    <w:p w14:paraId="2746821A" w14:textId="4E19BFFC" w:rsidR="00906E44" w:rsidRDefault="00906E44" w:rsidP="004B3035">
      <w:pPr>
        <w:ind w:right="180"/>
        <w:rPr>
          <w:rFonts w:eastAsia="Times New Roman"/>
          <w:u w:val="single"/>
        </w:rPr>
      </w:pPr>
      <w:r w:rsidRPr="00906E44">
        <w:rPr>
          <w:rFonts w:eastAsia="Times New Roman"/>
          <w:u w:val="single"/>
        </w:rPr>
        <w:t xml:space="preserve">Информация за помощните вещества </w:t>
      </w:r>
    </w:p>
    <w:p w14:paraId="3F6F1C67" w14:textId="5E1631E0" w:rsidR="00906E44" w:rsidRDefault="00906E44" w:rsidP="00906E44">
      <w:pPr>
        <w:ind w:right="180"/>
        <w:rPr>
          <w:rFonts w:eastAsia="Times New Roman"/>
        </w:rPr>
      </w:pPr>
      <w:r>
        <w:rPr>
          <w:rFonts w:eastAsia="Times New Roman"/>
        </w:rPr>
        <w:lastRenderedPageBreak/>
        <w:t>Руфиксало</w:t>
      </w:r>
      <w:r w:rsidRPr="00906E44">
        <w:rPr>
          <w:rFonts w:eastAsia="Times New Roman"/>
        </w:rPr>
        <w:t xml:space="preserve"> съдържа лактоза.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14844388" w14:textId="77777777" w:rsidR="00CF1E75" w:rsidRPr="00906E44" w:rsidRDefault="00CF1E75" w:rsidP="00906E44">
      <w:pPr>
        <w:ind w:right="180"/>
        <w:rPr>
          <w:rFonts w:eastAsia="Times New Roman"/>
        </w:rPr>
      </w:pPr>
    </w:p>
    <w:p w14:paraId="47790589" w14:textId="77D49726" w:rsidR="006E76CC" w:rsidRPr="00566CE6" w:rsidRDefault="001152A7" w:rsidP="00906E44">
      <w:pPr>
        <w:ind w:right="180"/>
      </w:pPr>
      <w:r>
        <w:rPr>
          <w:rFonts w:eastAsia="Times New Roman"/>
          <w:lang w:val="mk-MK"/>
        </w:rPr>
        <w:t>Руфиксал</w:t>
      </w:r>
      <w:r w:rsidR="00250E86">
        <w:rPr>
          <w:rFonts w:eastAsia="Times New Roman"/>
          <w:lang w:val="mk-MK"/>
        </w:rPr>
        <w:t xml:space="preserve"> </w:t>
      </w:r>
      <w:r>
        <w:rPr>
          <w:rFonts w:eastAsia="Times New Roman"/>
          <w:lang w:val="mk-MK"/>
        </w:rPr>
        <w:t>о</w:t>
      </w:r>
      <w:r w:rsidR="00906E44" w:rsidRPr="00906E44">
        <w:rPr>
          <w:rFonts w:eastAsia="Times New Roman"/>
        </w:rPr>
        <w:t>съдържа по-малко от 1 mmol натрий (23 mg) на дозова единица, т.е. може да се каже, че практически не съдържа натрий.</w:t>
      </w:r>
    </w:p>
    <w:p w14:paraId="2D072AA1" w14:textId="77777777" w:rsidR="004762C7" w:rsidRDefault="004762C7" w:rsidP="004B3035"/>
    <w:p w14:paraId="6D3B0BB9" w14:textId="656A9D45" w:rsidR="001D2093" w:rsidRPr="008104F6" w:rsidRDefault="00030E48" w:rsidP="004B3035">
      <w:pPr>
        <w:tabs>
          <w:tab w:val="left" w:pos="567"/>
          <w:tab w:val="left" w:pos="993"/>
          <w:tab w:val="left" w:pos="1276"/>
        </w:tabs>
        <w:ind w:right="109"/>
        <w:rPr>
          <w:rFonts w:eastAsia="Times New Roman"/>
          <w:b/>
          <w:bCs/>
        </w:rPr>
      </w:pPr>
      <w:r w:rsidRPr="008104F6">
        <w:rPr>
          <w:rFonts w:eastAsia="Times New Roman"/>
          <w:b/>
          <w:bCs/>
        </w:rPr>
        <w:t>4.</w:t>
      </w:r>
      <w:r w:rsidR="001D2093" w:rsidRPr="008104F6">
        <w:rPr>
          <w:rFonts w:eastAsia="Times New Roman"/>
          <w:b/>
          <w:bCs/>
        </w:rPr>
        <w:t>5</w:t>
      </w:r>
      <w:r w:rsidR="001D2093" w:rsidRPr="008104F6">
        <w:rPr>
          <w:rFonts w:eastAsia="Times New Roman"/>
          <w:b/>
          <w:bCs/>
        </w:rPr>
        <w:tab/>
      </w:r>
      <w:r w:rsidR="00906E44" w:rsidRPr="00906E44">
        <w:rPr>
          <w:rFonts w:eastAsia="Times New Roman"/>
          <w:b/>
          <w:bCs/>
        </w:rPr>
        <w:t>Взаимодействие с други лекарствени продукти и други форми на взаимодействие</w:t>
      </w:r>
    </w:p>
    <w:p w14:paraId="0D3DA6BB" w14:textId="722F77C9" w:rsidR="008104F6" w:rsidRDefault="008104F6" w:rsidP="004B3035">
      <w:pPr>
        <w:tabs>
          <w:tab w:val="left" w:pos="993"/>
        </w:tabs>
        <w:ind w:right="1660"/>
        <w:rPr>
          <w:rFonts w:eastAsia="Times New Roman"/>
          <w:u w:val="single"/>
        </w:rPr>
      </w:pPr>
    </w:p>
    <w:p w14:paraId="221357FA" w14:textId="5D51FD4F" w:rsidR="00CF1E75" w:rsidRDefault="00CF1E75" w:rsidP="004B3035">
      <w:pPr>
        <w:tabs>
          <w:tab w:val="left" w:pos="993"/>
        </w:tabs>
        <w:ind w:right="1660"/>
      </w:pPr>
      <w:r>
        <w:t xml:space="preserve">Обхватът на взаимодействията при педиатричната популация не е известен. Долупосочените данни за взаимодействията, получени при възрастни, и </w:t>
      </w:r>
      <w:r>
        <w:rPr>
          <w:lang w:val="bg-BG"/>
        </w:rPr>
        <w:t>п</w:t>
      </w:r>
      <w:r>
        <w:t>редупрежденията в точка 4.4 трябва да се имат предвид при педиатричната популация.</w:t>
      </w:r>
    </w:p>
    <w:p w14:paraId="1C8BEA51" w14:textId="77777777" w:rsidR="00CF1E75" w:rsidRDefault="00CF1E75" w:rsidP="004B3035">
      <w:pPr>
        <w:tabs>
          <w:tab w:val="left" w:pos="993"/>
        </w:tabs>
        <w:ind w:right="1660"/>
        <w:rPr>
          <w:rFonts w:eastAsia="Times New Roman"/>
          <w:u w:val="single"/>
        </w:rPr>
      </w:pPr>
    </w:p>
    <w:p w14:paraId="1EF9D993" w14:textId="4D63B56D" w:rsidR="00906E44" w:rsidRPr="00906E44" w:rsidRDefault="00906E44" w:rsidP="004B3035">
      <w:pPr>
        <w:ind w:right="28"/>
        <w:rPr>
          <w:u w:val="single"/>
        </w:rPr>
      </w:pPr>
      <w:bookmarkStart w:id="3" w:name="page8"/>
      <w:bookmarkEnd w:id="3"/>
      <w:r w:rsidRPr="00906E44">
        <w:rPr>
          <w:u w:val="single"/>
        </w:rPr>
        <w:t xml:space="preserve">Инхибитори на CYP3A4 и P-gp </w:t>
      </w:r>
    </w:p>
    <w:p w14:paraId="688178F4" w14:textId="22A49521" w:rsidR="001D2093" w:rsidRDefault="00906E44" w:rsidP="004B3035">
      <w:pPr>
        <w:ind w:right="28"/>
      </w:pPr>
      <w:r>
        <w:t>Едновременното приложение на ривароксабан и кетоконазол (400 mg един път дневно) или ритонавир (600 mg два пъти дневно) води до 2,6 пъти / 2,5 пъти по-висока средна AUC на ривароксабан и 1,7 пъти / 1,6 пъти по-висока средна C</w:t>
      </w:r>
      <w:r>
        <w:rPr>
          <w:rFonts w:ascii="ZWAdobeF" w:hAnsi="ZWAdobeF" w:cs="ZWAdobeF"/>
          <w:sz w:val="2"/>
          <w:szCs w:val="2"/>
        </w:rPr>
        <w:t>R</w:t>
      </w:r>
      <w:r>
        <w:rPr>
          <w:sz w:val="14"/>
          <w:szCs w:val="14"/>
        </w:rPr>
        <w:t>max</w:t>
      </w:r>
      <w:r>
        <w:rPr>
          <w:rFonts w:ascii="ZWAdobeF" w:hAnsi="ZWAdobeF" w:cs="ZWAdobeF"/>
          <w:sz w:val="2"/>
          <w:szCs w:val="2"/>
        </w:rPr>
        <w:t xml:space="preserve">R </w:t>
      </w:r>
      <w:r>
        <w:t>със значително повишаване на фармакодинамичните ефекти, което може да доведе до повишен риск от кървене. По тази причина не се препоръчва употребата на Руфиксало при пациенти, които получават едновременно системно лечение с азолови антимикотици като кетоконазол, итраконазол, вориконазол и посаконазол, или с HIV-протеазни инхибитори. Тези активни вещества са мощни инхибитори на CYP3A4 и P-gp (вж. точка 4.4).</w:t>
      </w:r>
    </w:p>
    <w:p w14:paraId="51AD5113" w14:textId="77777777" w:rsidR="00906E44" w:rsidRPr="008104F6" w:rsidRDefault="00906E44" w:rsidP="004B3035">
      <w:pPr>
        <w:ind w:right="28"/>
        <w:rPr>
          <w:rFonts w:eastAsia="Times New Roman"/>
        </w:rPr>
      </w:pPr>
    </w:p>
    <w:p w14:paraId="4A0A0B52" w14:textId="665A86E1" w:rsidR="004762C7" w:rsidRPr="008104F6" w:rsidRDefault="00906E44" w:rsidP="004B3035">
      <w:pPr>
        <w:ind w:right="28"/>
      </w:pPr>
      <w:r w:rsidRPr="00906E44">
        <w:rPr>
          <w:rFonts w:eastAsia="Times New Roman"/>
        </w:rPr>
        <w:t>Очаква се активни вещества, които силно инхибират само един от пътищата на елиминиране на ривароксабан или CYP3A4 или P-gp да повишат в по-малка степен плазмените концентрации на ривароксабан. Например, кларитромицин (500 mg два пъти дневно), който се приема за силен инхибитор на CYP3A4 и умерен инхибитор на P-gp, води до повишаване на средната AUC на</w:t>
      </w:r>
      <w:r w:rsidR="00396F96">
        <w:rPr>
          <w:rFonts w:eastAsia="Times New Roman"/>
        </w:rPr>
        <w:t xml:space="preserve"> ривароксабан с 1,5 пъти и на C</w:t>
      </w:r>
      <w:r w:rsidR="00396F96" w:rsidRPr="00396F96">
        <w:rPr>
          <w:rFonts w:eastAsia="Times New Roman"/>
          <w:vertAlign w:val="subscript"/>
        </w:rPr>
        <w:t>max</w:t>
      </w:r>
      <w:r w:rsidRPr="00906E44">
        <w:rPr>
          <w:rFonts w:eastAsia="Times New Roman"/>
        </w:rPr>
        <w:t xml:space="preserve"> – с 1,4 пъти. Взаимодействието с кларитромицин вероятно не е клинично значимо при повечето пациенти, но може да бъде потенциално значимо при високорискови пациенти. (За пациенти с бъбречно увреждане: вж. точка 4.4).</w:t>
      </w:r>
    </w:p>
    <w:p w14:paraId="7E612B17" w14:textId="77777777" w:rsidR="004762C7" w:rsidRPr="008104F6" w:rsidRDefault="004762C7" w:rsidP="004B3035"/>
    <w:p w14:paraId="7A79C08A" w14:textId="65F637DC" w:rsidR="00396F96" w:rsidRDefault="00396F96" w:rsidP="00396F96">
      <w:pPr>
        <w:rPr>
          <w:rFonts w:eastAsia="Times New Roman"/>
        </w:rPr>
      </w:pPr>
      <w:r w:rsidRPr="00396F96">
        <w:rPr>
          <w:rFonts w:eastAsia="Times New Roman"/>
        </w:rPr>
        <w:t>Еритромицин (500 mg три пъти дневно), който инхибира умерено CYP3A4 и P-gp, води до 1,3 пъти повишение на средната AUC и C</w:t>
      </w:r>
      <w:r w:rsidRPr="00396F96">
        <w:rPr>
          <w:rFonts w:eastAsia="Times New Roman"/>
          <w:vertAlign w:val="subscript"/>
        </w:rPr>
        <w:t>max</w:t>
      </w:r>
      <w:r w:rsidRPr="00396F96">
        <w:rPr>
          <w:rFonts w:eastAsia="Times New Roman"/>
        </w:rPr>
        <w:t xml:space="preserve"> на ривароксабан. Взаимодействието с еритромицин вероятно не е клинично значимо при повечето пациенти, но може да бъде потенциално значимо при високорискови пациенти.</w:t>
      </w:r>
    </w:p>
    <w:p w14:paraId="31C9EBDB" w14:textId="77777777" w:rsidR="00CF1E75" w:rsidRPr="00396F96" w:rsidRDefault="00CF1E75" w:rsidP="00396F96">
      <w:pPr>
        <w:rPr>
          <w:rFonts w:eastAsia="Times New Roman"/>
        </w:rPr>
      </w:pPr>
    </w:p>
    <w:p w14:paraId="7A78B5AB" w14:textId="0D7C87FA" w:rsidR="004762C7" w:rsidRDefault="00396F96" w:rsidP="00396F96">
      <w:pPr>
        <w:rPr>
          <w:rFonts w:eastAsia="Times New Roman"/>
        </w:rPr>
      </w:pPr>
      <w:r w:rsidRPr="00396F96">
        <w:rPr>
          <w:rFonts w:eastAsia="Times New Roman"/>
        </w:rPr>
        <w:t>При лица с лека степен на бъбречно увреждане еритромицин (500 mg три пъти дневно) води до 1,8-кратно повишаване на средната AUC на риварок</w:t>
      </w:r>
      <w:r>
        <w:rPr>
          <w:rFonts w:eastAsia="Times New Roman"/>
        </w:rPr>
        <w:t>сабан и 1,6 пъти повишение на C</w:t>
      </w:r>
      <w:r w:rsidRPr="00396F96">
        <w:rPr>
          <w:rFonts w:eastAsia="Times New Roman"/>
          <w:vertAlign w:val="subscript"/>
        </w:rPr>
        <w:t>max</w:t>
      </w:r>
      <w:r w:rsidRPr="00396F96">
        <w:rPr>
          <w:rFonts w:eastAsia="Times New Roman"/>
        </w:rPr>
        <w:t xml:space="preserve"> в сравнение с индивиди с нормална бъбречна функция. При лица с умерена степен на бъбречно увреждане еритромицин е довел до 2,0 пъти повишение на средната AUC на риварок</w:t>
      </w:r>
      <w:r>
        <w:rPr>
          <w:rFonts w:eastAsia="Times New Roman"/>
        </w:rPr>
        <w:t>сабан и 1,6 пъти повишение на C</w:t>
      </w:r>
      <w:r w:rsidRPr="00396F96">
        <w:rPr>
          <w:rFonts w:eastAsia="Times New Roman"/>
          <w:vertAlign w:val="subscript"/>
        </w:rPr>
        <w:t>max</w:t>
      </w:r>
      <w:r w:rsidRPr="00396F96">
        <w:rPr>
          <w:rFonts w:eastAsia="Times New Roman"/>
        </w:rPr>
        <w:t xml:space="preserve"> в сравнение с индивиди с нормална бъбречна функция. Ефектът на еритромицин е адитивен към този на бъбречното увреждане (вж. точка 4.4).</w:t>
      </w:r>
    </w:p>
    <w:p w14:paraId="7D792841" w14:textId="77777777" w:rsidR="00396F96" w:rsidRDefault="00396F96" w:rsidP="00396F96">
      <w:pPr>
        <w:rPr>
          <w:rFonts w:eastAsia="Times New Roman"/>
        </w:rPr>
      </w:pPr>
    </w:p>
    <w:p w14:paraId="09367298" w14:textId="4A073B0A" w:rsidR="00396F96" w:rsidRDefault="00396F96" w:rsidP="00396F96">
      <w:pPr>
        <w:pStyle w:val="Default"/>
        <w:rPr>
          <w:sz w:val="22"/>
          <w:szCs w:val="22"/>
        </w:rPr>
      </w:pPr>
      <w:r>
        <w:rPr>
          <w:sz w:val="22"/>
          <w:szCs w:val="22"/>
        </w:rPr>
        <w:t>Флуконазол (400 mg един път дневно), който се смята за умерен инхибитор на CYP3A4, води до повишаване с 1,4 пъти на средната AUC на ривароксабан и 1,3 пъти на средната C</w:t>
      </w:r>
      <w:r>
        <w:rPr>
          <w:rFonts w:ascii="ZWAdobeF" w:hAnsi="ZWAdobeF" w:cs="ZWAdobeF"/>
          <w:sz w:val="2"/>
          <w:szCs w:val="2"/>
        </w:rPr>
        <w:t>R</w:t>
      </w:r>
      <w:r>
        <w:rPr>
          <w:sz w:val="14"/>
          <w:szCs w:val="14"/>
        </w:rPr>
        <w:t>max</w:t>
      </w:r>
      <w:r>
        <w:rPr>
          <w:rFonts w:ascii="ZWAdobeF" w:hAnsi="ZWAdobeF" w:cs="ZWAdobeF"/>
          <w:sz w:val="2"/>
          <w:szCs w:val="2"/>
        </w:rPr>
        <w:t>R</w:t>
      </w:r>
      <w:r>
        <w:rPr>
          <w:sz w:val="22"/>
          <w:szCs w:val="22"/>
        </w:rPr>
        <w:t xml:space="preserve">. Взаимодействието с флуконазол вероятно не е клинично значимо при повечето пациенти, но може да бъде потенциално значимо при високорискови пациенти. (За пациенти с бъбречно увреждане: вж. точка 4.4). </w:t>
      </w:r>
    </w:p>
    <w:p w14:paraId="1270D3DD" w14:textId="77777777" w:rsidR="00396F96" w:rsidRDefault="00396F96" w:rsidP="00396F96">
      <w:pPr>
        <w:pStyle w:val="Default"/>
        <w:rPr>
          <w:sz w:val="22"/>
          <w:szCs w:val="22"/>
        </w:rPr>
      </w:pPr>
    </w:p>
    <w:p w14:paraId="4EFC810B" w14:textId="3A29AEA5" w:rsidR="004762C7" w:rsidRDefault="00396F96" w:rsidP="00396F96">
      <w:r>
        <w:lastRenderedPageBreak/>
        <w:t>Като се имат предвид ограничените клинични данни с дронедарон, едновременното приложение с ривароксабан трябва да се избягва.</w:t>
      </w:r>
    </w:p>
    <w:p w14:paraId="6C1DB074" w14:textId="77777777" w:rsidR="00396F96" w:rsidRPr="008104F6" w:rsidRDefault="00396F96" w:rsidP="00396F96"/>
    <w:p w14:paraId="25E75A0A" w14:textId="77777777" w:rsidR="00396F96" w:rsidRDefault="00396F96" w:rsidP="004B3035">
      <w:pPr>
        <w:ind w:right="448"/>
        <w:jc w:val="both"/>
        <w:rPr>
          <w:rFonts w:eastAsia="Times New Roman"/>
          <w:u w:val="single"/>
        </w:rPr>
      </w:pPr>
      <w:r w:rsidRPr="00396F96">
        <w:rPr>
          <w:rFonts w:eastAsia="Times New Roman"/>
          <w:u w:val="single"/>
        </w:rPr>
        <w:t>Антикоагуланти</w:t>
      </w:r>
    </w:p>
    <w:p w14:paraId="4D6A8E0B" w14:textId="77777777" w:rsidR="00396F96" w:rsidRPr="00396F96" w:rsidRDefault="00396F96" w:rsidP="00396F96">
      <w:pPr>
        <w:ind w:right="448"/>
        <w:jc w:val="both"/>
        <w:rPr>
          <w:rFonts w:eastAsia="Times New Roman"/>
        </w:rPr>
      </w:pPr>
      <w:r w:rsidRPr="00396F96">
        <w:rPr>
          <w:rFonts w:eastAsia="Times New Roman"/>
        </w:rPr>
        <w:t>След комбинирано приложение на еноксапарин (еднократна доза от 40 mg) и ривароксабан (еднократна доза от 10 mg) е наблюдаван адитивен ефект върху активността на антифактор Xa, без никакви допълнителни ефекти по отношение на коагулационните тестове (PT, aPTT). Еноксапарин не е повлиял фармакокинетиката на ривароксабан.</w:t>
      </w:r>
    </w:p>
    <w:p w14:paraId="36C0C17B" w14:textId="1327A506" w:rsidR="004762C7" w:rsidRPr="008104F6" w:rsidRDefault="00396F96" w:rsidP="00396F96">
      <w:pPr>
        <w:ind w:right="448"/>
        <w:jc w:val="both"/>
      </w:pPr>
      <w:r w:rsidRPr="00396F96">
        <w:rPr>
          <w:rFonts w:eastAsia="Times New Roman"/>
        </w:rPr>
        <w:t xml:space="preserve">Поради повишения риск от кървене е необходимо внимание при пациенти, които са на едновременно лечение с други антикоагуланти (вж. точки 4.3 и 4.4). </w:t>
      </w:r>
    </w:p>
    <w:p w14:paraId="656FD26F" w14:textId="77777777" w:rsidR="004762C7" w:rsidRPr="008104F6" w:rsidRDefault="004762C7" w:rsidP="004B3035"/>
    <w:p w14:paraId="5809FA5B" w14:textId="77777777" w:rsidR="00396F96" w:rsidRPr="00396F96" w:rsidRDefault="00396F96" w:rsidP="004B3035">
      <w:pPr>
        <w:ind w:right="48"/>
        <w:rPr>
          <w:u w:val="single"/>
        </w:rPr>
      </w:pPr>
      <w:r w:rsidRPr="00396F96">
        <w:rPr>
          <w:sz w:val="2"/>
          <w:szCs w:val="2"/>
          <w:u w:val="single"/>
        </w:rPr>
        <w:t>U</w:t>
      </w:r>
      <w:r w:rsidRPr="00396F96">
        <w:rPr>
          <w:u w:val="single"/>
        </w:rPr>
        <w:t xml:space="preserve">НСПВС/инхибитори на тромбоцитната агрегация </w:t>
      </w:r>
    </w:p>
    <w:p w14:paraId="759DF49F" w14:textId="0C256118" w:rsidR="00396F96" w:rsidRDefault="00396F96" w:rsidP="004B3035">
      <w:pPr>
        <w:rPr>
          <w:rFonts w:eastAsia="Times New Roman"/>
        </w:rPr>
      </w:pPr>
      <w:r w:rsidRPr="00396F96">
        <w:rPr>
          <w:rFonts w:eastAsia="Times New Roman"/>
        </w:rPr>
        <w:t>Не е наблюдавано клинично значимо удължаване на времето на кървене след едновременно приложение на ривароксабан (15 mg) и 500 mg напроксен. Въпреки това е възможно да има пациенти с по-изразен фармакодинамичен отговор.</w:t>
      </w:r>
    </w:p>
    <w:p w14:paraId="110A7E7C" w14:textId="77777777" w:rsidR="00CF1E75" w:rsidRPr="00686DAD" w:rsidRDefault="00CF1E75" w:rsidP="004B3035">
      <w:pPr>
        <w:rPr>
          <w:rFonts w:eastAsia="Times New Roman"/>
        </w:rPr>
      </w:pPr>
    </w:p>
    <w:p w14:paraId="3D794881" w14:textId="61FB28EF" w:rsidR="004762C7" w:rsidRPr="008104F6" w:rsidRDefault="00396F96">
      <w:pPr>
        <w:ind w:right="548"/>
      </w:pPr>
      <w:r w:rsidRPr="00396F96">
        <w:rPr>
          <w:rFonts w:eastAsia="Times New Roman"/>
        </w:rPr>
        <w:t>Не са наблюдавани клинично значими фармакокинетични или фармакодинамични взаимодействия при едновременно приложение на ривароксабан и 500 mg ацетилсалицилова киселина.</w:t>
      </w:r>
    </w:p>
    <w:p w14:paraId="6B06CE14" w14:textId="68C5211D" w:rsidR="00396F96" w:rsidRPr="008104F6" w:rsidRDefault="00396F96" w:rsidP="004B3035">
      <w:r>
        <w:t>Клопидогрел (300 mg начална доза, последвана от 75 mg поддържаща доза) не е показал фармакокинетично взаимодействие с ривароксабан (15 mg), но е наблюдавано значимо удължаване на времето на кървене при една подгрупа пациенти, което не е корелирало с агрегацията на тромбоцитите, нивата на P-селектин или GPIIb/IIIa рецепторите.</w:t>
      </w:r>
    </w:p>
    <w:p w14:paraId="07349A23" w14:textId="631B8DC5" w:rsidR="0070427C" w:rsidRDefault="00396F96">
      <w:pPr>
        <w:rPr>
          <w:rFonts w:eastAsia="Times New Roman"/>
          <w:u w:val="single"/>
        </w:rPr>
      </w:pPr>
      <w:r w:rsidRPr="00396F96">
        <w:rPr>
          <w:rFonts w:eastAsia="Times New Roman"/>
        </w:rPr>
        <w:t>Необходимо е внимание при пациенти, които едновременно са лекувани с НСПВС (включително ацетилсалицилова киселина) и инхибитори на тромбоцитната агрегация, понеже тези лекарствени продукти обикновено повишават риска от кървене (вж. точка 4.4).</w:t>
      </w:r>
    </w:p>
    <w:p w14:paraId="5134621E" w14:textId="77777777" w:rsidR="0038670D" w:rsidRDefault="0038670D">
      <w:pPr>
        <w:rPr>
          <w:rFonts w:eastAsia="Times New Roman"/>
          <w:u w:val="single"/>
        </w:rPr>
      </w:pPr>
    </w:p>
    <w:p w14:paraId="142A2AD1" w14:textId="034EF62E" w:rsidR="004762C7" w:rsidRPr="008104F6" w:rsidRDefault="00FA61E2">
      <w:r>
        <w:rPr>
          <w:rFonts w:eastAsia="Times New Roman"/>
          <w:u w:val="single"/>
        </w:rPr>
        <w:t>SSRI</w:t>
      </w:r>
      <w:r w:rsidR="001152A7">
        <w:rPr>
          <w:rFonts w:eastAsia="Times New Roman"/>
          <w:u w:val="single"/>
        </w:rPr>
        <w:t>s</w:t>
      </w:r>
      <w:r>
        <w:rPr>
          <w:rFonts w:eastAsia="Times New Roman"/>
          <w:u w:val="single"/>
        </w:rPr>
        <w:t>/SNRI</w:t>
      </w:r>
      <w:r w:rsidR="001152A7">
        <w:rPr>
          <w:rFonts w:eastAsia="Times New Roman"/>
          <w:u w:val="single"/>
        </w:rPr>
        <w:t>s</w:t>
      </w:r>
    </w:p>
    <w:p w14:paraId="4E7971A6" w14:textId="6F2618EE" w:rsidR="004762C7" w:rsidRDefault="00396F96" w:rsidP="004B3035">
      <w:pPr>
        <w:rPr>
          <w:rFonts w:eastAsia="Times New Roman"/>
        </w:rPr>
      </w:pPr>
      <w:r w:rsidRPr="00396F96">
        <w:rPr>
          <w:rFonts w:eastAsia="Times New Roman"/>
        </w:rPr>
        <w:t>Както при други антикоагуланти може да съществува възможност пациентите да са с повишен риск от кървене в случ</w:t>
      </w:r>
      <w:r>
        <w:rPr>
          <w:rFonts w:eastAsia="Times New Roman"/>
        </w:rPr>
        <w:t xml:space="preserve">ай на съпътстваща употреба със </w:t>
      </w:r>
      <w:r w:rsidRPr="00396F96">
        <w:rPr>
          <w:rFonts w:eastAsia="Times New Roman"/>
        </w:rPr>
        <w:t>SSRI</w:t>
      </w:r>
      <w:r w:rsidR="001152A7">
        <w:rPr>
          <w:rFonts w:eastAsia="Times New Roman"/>
        </w:rPr>
        <w:t>s</w:t>
      </w:r>
      <w:r w:rsidRPr="00396F96">
        <w:rPr>
          <w:rFonts w:eastAsia="Times New Roman"/>
        </w:rPr>
        <w:t xml:space="preserve"> или SNRI</w:t>
      </w:r>
      <w:r w:rsidR="001152A7">
        <w:rPr>
          <w:rFonts w:eastAsia="Times New Roman"/>
        </w:rPr>
        <w:t>s</w:t>
      </w:r>
      <w:r w:rsidRPr="00396F96">
        <w:rPr>
          <w:rFonts w:eastAsia="Times New Roman"/>
        </w:rPr>
        <w:t xml:space="preserve"> поради ефекта им върху тромбоцитите, за който се съобщава. При съпътстваща употреба в клиничната програма с ривароксабан, във всички групи на лечение се наблюдава числено по-висока честота на голям или неголям клинично значим кръвоизлив.</w:t>
      </w:r>
    </w:p>
    <w:p w14:paraId="63D88220" w14:textId="77777777" w:rsidR="00396F96" w:rsidRPr="008104F6" w:rsidRDefault="00396F96" w:rsidP="004B3035"/>
    <w:p w14:paraId="2724D32C" w14:textId="77777777" w:rsidR="00396F96" w:rsidRDefault="00396F96" w:rsidP="004B3035">
      <w:pPr>
        <w:ind w:right="-3"/>
        <w:rPr>
          <w:rFonts w:eastAsia="Times New Roman"/>
          <w:u w:val="single"/>
        </w:rPr>
      </w:pPr>
      <w:r w:rsidRPr="00396F96">
        <w:rPr>
          <w:rFonts w:eastAsia="Times New Roman"/>
          <w:u w:val="single"/>
        </w:rPr>
        <w:t xml:space="preserve">Варфарин </w:t>
      </w:r>
    </w:p>
    <w:p w14:paraId="0A726DF9" w14:textId="77777777" w:rsidR="00FA61E2" w:rsidRPr="00FA61E2" w:rsidRDefault="00FA61E2" w:rsidP="00FA61E2">
      <w:pPr>
        <w:rPr>
          <w:rFonts w:eastAsia="Times New Roman"/>
        </w:rPr>
      </w:pPr>
      <w:r w:rsidRPr="00FA61E2">
        <w:rPr>
          <w:rFonts w:eastAsia="Times New Roman"/>
        </w:rPr>
        <w:t>Преминаването от лечение с антагониста на витамин К варфарин (INR 2,0 до 3,0) към лечение с ривароксабан (20 mg) или от ривароксабан (20 mg) към варфарин (INR 2,0 до 3,0) повишава съотношението протромбиново време/INR (Неопластин) повече от адитивно (възможно е да се наблюдават отделни стойности на INR до 12), докато ефектите по отношение на aPTT, инхибирането на активността на фактор Xa и потенциала на ендогенния тромбин са адитивни.</w:t>
      </w:r>
    </w:p>
    <w:p w14:paraId="62F19D9B" w14:textId="77777777" w:rsidR="00FA61E2" w:rsidRPr="00FA61E2" w:rsidRDefault="00FA61E2" w:rsidP="00FA61E2">
      <w:pPr>
        <w:rPr>
          <w:rFonts w:eastAsia="Times New Roman"/>
        </w:rPr>
      </w:pPr>
      <w:r w:rsidRPr="00FA61E2">
        <w:rPr>
          <w:rFonts w:eastAsia="Times New Roman"/>
        </w:rPr>
        <w:t>При желание да се изследват фармакодинамичните ефекти на ривароксабан в периода на смяната на терапията могат да се използват показатели като активност на анти-фактор Xa, PiCT и Heptest, понеже тези тестове не се повлияват от варфарин. На четвъртия ден след последната доза варфарин, всички показатели (вкл. PT, aPTT, инхибиране на активността на фактор Xa и ETP) отразяват единствено ефекта на ривароксабан.</w:t>
      </w:r>
    </w:p>
    <w:p w14:paraId="56C12924" w14:textId="4081BAF4" w:rsidR="00FA61E2" w:rsidRDefault="00FA61E2" w:rsidP="00FA61E2">
      <w:pPr>
        <w:rPr>
          <w:rFonts w:eastAsia="Times New Roman"/>
        </w:rPr>
      </w:pPr>
      <w:r w:rsidRPr="00FA61E2">
        <w:rPr>
          <w:rFonts w:eastAsia="Times New Roman"/>
        </w:rPr>
        <w:t>При желание да се изследват фармакодинамичните ефекти на варфарин в периода на смяна на терапията може да се използва измерването на INR при C</w:t>
      </w:r>
      <w:r w:rsidRPr="00FA61E2">
        <w:rPr>
          <w:rFonts w:eastAsia="Times New Roman"/>
          <w:vertAlign w:val="subscript"/>
        </w:rPr>
        <w:t>trough</w:t>
      </w:r>
      <w:r w:rsidRPr="00FA61E2">
        <w:rPr>
          <w:rFonts w:eastAsia="Times New Roman"/>
        </w:rPr>
        <w:t xml:space="preserve"> на ривароксабан (24 часа след предходния прием на ривароксабан), тъй като този показател се повлиява в минимална степен от ривароксабан в тази времева точка. </w:t>
      </w:r>
    </w:p>
    <w:p w14:paraId="693CE251" w14:textId="77777777" w:rsidR="00FA61E2" w:rsidRDefault="00FA61E2" w:rsidP="00FA61E2">
      <w:pPr>
        <w:pStyle w:val="Default"/>
        <w:rPr>
          <w:sz w:val="22"/>
          <w:szCs w:val="22"/>
        </w:rPr>
      </w:pPr>
      <w:r>
        <w:rPr>
          <w:sz w:val="22"/>
          <w:szCs w:val="22"/>
        </w:rPr>
        <w:t xml:space="preserve">Не е наблюдавано фармакокинетично взаимодействие между варфарин и ривароксабан. </w:t>
      </w:r>
    </w:p>
    <w:p w14:paraId="1636CFB6" w14:textId="77777777" w:rsidR="004762C7" w:rsidRPr="008104F6" w:rsidRDefault="004762C7" w:rsidP="004B3035"/>
    <w:p w14:paraId="4FB9EEBC" w14:textId="005B3335" w:rsidR="00FA61E2" w:rsidRDefault="00FA61E2" w:rsidP="004B3035">
      <w:pPr>
        <w:ind w:right="68"/>
        <w:rPr>
          <w:rFonts w:eastAsia="Times New Roman"/>
          <w:u w:val="single"/>
        </w:rPr>
      </w:pPr>
      <w:r w:rsidRPr="00FA61E2">
        <w:rPr>
          <w:rFonts w:eastAsia="Times New Roman"/>
          <w:u w:val="single"/>
        </w:rPr>
        <w:lastRenderedPageBreak/>
        <w:t xml:space="preserve">Индуктори на CYP3A4 </w:t>
      </w:r>
    </w:p>
    <w:p w14:paraId="43A8274B" w14:textId="40B4890B" w:rsidR="004762C7" w:rsidRPr="008104F6" w:rsidRDefault="00FA61E2" w:rsidP="004B3035">
      <w:pPr>
        <w:ind w:right="68"/>
      </w:pPr>
      <w:r w:rsidRPr="00FA61E2">
        <w:rPr>
          <w:rFonts w:eastAsia="Times New Roman"/>
        </w:rPr>
        <w:t>Едновременото приложение на ривароксабан и мощния индуктор на CYP3A4 рифампицин води до около 50% понижаване на средната AUC за ривароксабан с успоредно намаляване на фармакодинамичните му ефекти. Едновременната употреба на ривароксабан с други мощни индуктори на CYP3A4 (напр. фенитоин, карбамазепин, фенобарбитал или жълт кант</w:t>
      </w:r>
      <w:r>
        <w:rPr>
          <w:rFonts w:eastAsia="Times New Roman"/>
        </w:rPr>
        <w:t>арион (</w:t>
      </w:r>
      <w:r w:rsidRPr="00FA61E2">
        <w:rPr>
          <w:rFonts w:eastAsia="Times New Roman"/>
          <w:i/>
        </w:rPr>
        <w:t>Hypericum perforatum</w:t>
      </w:r>
      <w:r>
        <w:rPr>
          <w:rFonts w:eastAsia="Times New Roman"/>
        </w:rPr>
        <w:t>)</w:t>
      </w:r>
      <w:r w:rsidRPr="00FA61E2">
        <w:rPr>
          <w:rFonts w:eastAsia="Times New Roman"/>
        </w:rPr>
        <w:t>) също може да доведе до намалени плазмени концентрации на ривароксабан. Затова трябва да се избягва едновременното прилагане на мощни индуктори на CYP3A4, освен ако пациентът не се следи внимателно за белези и симптоми на тромбоза.</w:t>
      </w:r>
    </w:p>
    <w:p w14:paraId="24F84F93" w14:textId="77777777" w:rsidR="004762C7" w:rsidRPr="008104F6" w:rsidRDefault="004762C7" w:rsidP="004B3035"/>
    <w:p w14:paraId="65118062" w14:textId="48DE7733" w:rsidR="004762C7" w:rsidRPr="0040009D" w:rsidRDefault="0040009D">
      <w:pPr>
        <w:rPr>
          <w:u w:val="single"/>
        </w:rPr>
      </w:pPr>
      <w:r w:rsidRPr="0040009D">
        <w:rPr>
          <w:u w:val="single"/>
        </w:rPr>
        <w:t>Други съпътстващи терапии</w:t>
      </w:r>
    </w:p>
    <w:p w14:paraId="603B6D80" w14:textId="77777777" w:rsidR="0040009D" w:rsidRPr="0040009D" w:rsidRDefault="0040009D" w:rsidP="0040009D">
      <w:pPr>
        <w:rPr>
          <w:rFonts w:eastAsia="Times New Roman"/>
        </w:rPr>
      </w:pPr>
      <w:r w:rsidRPr="0040009D">
        <w:rPr>
          <w:rFonts w:eastAsia="Times New Roman"/>
        </w:rPr>
        <w:t>Не са наблюдавани клинично значими фармакокинетични или фармакодинамични взаимодействия при едновременно приложение на ривароксабан и мидазолам (субстрат на CYP3A4), дигоксин (субстрат на P-gp), аторвастатин (субстрат на CYP3A4 и P-gp) или омепразол (инхибитор на протонната помпа). Ривароксабан нито инхибира, нито индуцира някоя от основните изоформи на CYP, например CYP3A4.</w:t>
      </w:r>
    </w:p>
    <w:p w14:paraId="2602A4C7" w14:textId="77777777" w:rsidR="0040009D" w:rsidRDefault="0040009D">
      <w:pPr>
        <w:rPr>
          <w:rFonts w:eastAsia="Times New Roman"/>
        </w:rPr>
      </w:pPr>
    </w:p>
    <w:p w14:paraId="31B6D764" w14:textId="3FA1A86F" w:rsidR="0040009D" w:rsidRPr="0040009D" w:rsidRDefault="0040009D" w:rsidP="0040009D">
      <w:pPr>
        <w:rPr>
          <w:rFonts w:eastAsia="Times New Roman"/>
          <w:u w:val="single"/>
        </w:rPr>
      </w:pPr>
      <w:r w:rsidRPr="0040009D">
        <w:rPr>
          <w:rFonts w:eastAsia="Times New Roman"/>
          <w:u w:val="single"/>
        </w:rPr>
        <w:t>Лабораторни показатели</w:t>
      </w:r>
    </w:p>
    <w:p w14:paraId="6AE677DE" w14:textId="043AF06D" w:rsidR="004762C7" w:rsidRPr="0040009D" w:rsidRDefault="0040009D" w:rsidP="0040009D">
      <w:pPr>
        <w:rPr>
          <w:rFonts w:eastAsia="Times New Roman"/>
        </w:rPr>
      </w:pPr>
      <w:r w:rsidRPr="0040009D">
        <w:rPr>
          <w:rFonts w:eastAsia="Times New Roman"/>
        </w:rPr>
        <w:t>Коагулационните параметри (напр. PT, aPTT, HepTest) се повлияват според очакванията с оглед на механизма на действие на ривароксабан (вж. точка 5.1).</w:t>
      </w:r>
    </w:p>
    <w:p w14:paraId="64263CBE" w14:textId="77777777" w:rsidR="0040009D" w:rsidRPr="008104F6" w:rsidRDefault="0040009D" w:rsidP="0040009D"/>
    <w:p w14:paraId="26916EFE" w14:textId="3BB15F8D" w:rsidR="004762C7" w:rsidRPr="00566CE6" w:rsidRDefault="00030E48">
      <w:pPr>
        <w:tabs>
          <w:tab w:val="left" w:pos="540"/>
        </w:tabs>
      </w:pPr>
      <w:r w:rsidRPr="00566CE6">
        <w:rPr>
          <w:rFonts w:eastAsia="Times New Roman"/>
          <w:b/>
          <w:bCs/>
        </w:rPr>
        <w:t>4.6</w:t>
      </w:r>
      <w:r w:rsidRPr="00566CE6">
        <w:rPr>
          <w:rFonts w:eastAsia="Times New Roman"/>
          <w:b/>
          <w:bCs/>
        </w:rPr>
        <w:tab/>
      </w:r>
      <w:r w:rsidR="0040009D" w:rsidRPr="0040009D">
        <w:rPr>
          <w:rFonts w:eastAsia="Times New Roman"/>
          <w:b/>
          <w:bCs/>
        </w:rPr>
        <w:t>Фертилитет, бременност и кърмене</w:t>
      </w:r>
    </w:p>
    <w:p w14:paraId="345BDD1E" w14:textId="77777777" w:rsidR="004762C7" w:rsidRPr="00566CE6" w:rsidRDefault="004762C7" w:rsidP="004B3035"/>
    <w:p w14:paraId="07D48443" w14:textId="77777777" w:rsidR="0040009D" w:rsidRDefault="0040009D" w:rsidP="004B3035">
      <w:pPr>
        <w:ind w:right="-3"/>
        <w:rPr>
          <w:rFonts w:eastAsia="Times New Roman"/>
          <w:u w:val="single"/>
        </w:rPr>
      </w:pPr>
      <w:r w:rsidRPr="0040009D">
        <w:rPr>
          <w:rFonts w:eastAsia="Times New Roman"/>
          <w:u w:val="single"/>
        </w:rPr>
        <w:t xml:space="preserve">Бременност </w:t>
      </w:r>
    </w:p>
    <w:p w14:paraId="212B6337" w14:textId="0B807E74" w:rsidR="0040009D" w:rsidRPr="0040009D" w:rsidRDefault="0040009D" w:rsidP="0040009D">
      <w:pPr>
        <w:ind w:right="148"/>
        <w:rPr>
          <w:rFonts w:eastAsia="Times New Roman"/>
        </w:rPr>
      </w:pPr>
      <w:r w:rsidRPr="0040009D">
        <w:rPr>
          <w:rFonts w:eastAsia="Times New Roman"/>
        </w:rPr>
        <w:t>Безопас</w:t>
      </w:r>
      <w:r w:rsidR="00CF3066">
        <w:rPr>
          <w:rFonts w:eastAsia="Times New Roman"/>
        </w:rPr>
        <w:t>ността и ефикасността на ривароксабан</w:t>
      </w:r>
      <w:r w:rsidRPr="0040009D">
        <w:rPr>
          <w:rFonts w:eastAsia="Times New Roman"/>
        </w:rPr>
        <w:t xml:space="preserve"> при бременни жени не са установени. Проучванията при животни показват репродуктивна токсичност (вж. точка 5.3). Поради потенциалната репродуктивна токсичност, присъщия риск от кървене и данните, показващи, че ривароксабан преминава през плацентата, </w:t>
      </w:r>
      <w:r w:rsidR="00B26B2A">
        <w:rPr>
          <w:rFonts w:eastAsia="Times New Roman"/>
          <w:lang w:val="bg-BG"/>
        </w:rPr>
        <w:t>Руфиксало</w:t>
      </w:r>
      <w:r w:rsidRPr="0040009D">
        <w:rPr>
          <w:rFonts w:eastAsia="Times New Roman"/>
        </w:rPr>
        <w:t xml:space="preserve"> е противопоказан по време на бременност (вж. точка 4.3).</w:t>
      </w:r>
    </w:p>
    <w:p w14:paraId="2FBB4799" w14:textId="7F45A68D" w:rsidR="00EA4F66" w:rsidRDefault="0040009D" w:rsidP="0040009D">
      <w:pPr>
        <w:ind w:right="148"/>
        <w:rPr>
          <w:rFonts w:eastAsia="Times New Roman"/>
        </w:rPr>
      </w:pPr>
      <w:r w:rsidRPr="0040009D">
        <w:rPr>
          <w:rFonts w:eastAsia="Times New Roman"/>
        </w:rPr>
        <w:t>Жените с детероден потенциал трябва да избягват да забременяват по време на лечението с ривароксабан.</w:t>
      </w:r>
    </w:p>
    <w:p w14:paraId="2E137A4A" w14:textId="77777777" w:rsidR="0040009D" w:rsidRDefault="0040009D" w:rsidP="0040009D">
      <w:pPr>
        <w:ind w:right="148"/>
        <w:rPr>
          <w:rFonts w:eastAsia="Times New Roman"/>
        </w:rPr>
      </w:pPr>
    </w:p>
    <w:p w14:paraId="618B13AE" w14:textId="77777777" w:rsidR="0040009D" w:rsidRDefault="0040009D" w:rsidP="004B3035">
      <w:pPr>
        <w:ind w:right="-3"/>
        <w:rPr>
          <w:rFonts w:eastAsia="Times New Roman"/>
          <w:u w:val="single"/>
        </w:rPr>
      </w:pPr>
      <w:r w:rsidRPr="0040009D">
        <w:rPr>
          <w:rFonts w:eastAsia="Times New Roman"/>
          <w:u w:val="single"/>
        </w:rPr>
        <w:t xml:space="preserve">Кърмене </w:t>
      </w:r>
    </w:p>
    <w:p w14:paraId="5DB307E5" w14:textId="41906FE7" w:rsidR="004762C7" w:rsidRDefault="0040009D" w:rsidP="004B3035">
      <w:pPr>
        <w:rPr>
          <w:rFonts w:eastAsia="Times New Roman"/>
        </w:rPr>
      </w:pPr>
      <w:r w:rsidRPr="0040009D">
        <w:rPr>
          <w:rFonts w:eastAsia="Times New Roman"/>
        </w:rPr>
        <w:t xml:space="preserve">Безопасността и ефикасността на </w:t>
      </w:r>
      <w:r w:rsidR="00B26B2A">
        <w:rPr>
          <w:rFonts w:eastAsia="Times New Roman"/>
          <w:lang w:val="bg-BG"/>
        </w:rPr>
        <w:t>ривароксабан</w:t>
      </w:r>
      <w:r w:rsidRPr="0040009D">
        <w:rPr>
          <w:rFonts w:eastAsia="Times New Roman"/>
        </w:rPr>
        <w:t xml:space="preserve"> при кърмещи жени не са установени. Проучванията при животни показват, че ривароксабан се секретира в млякото. По тази причина Руфиксало е противопоказан в периода на кърмене (вж. точка 4.3). Трябва да се вземе решение дали да се преустанови кърменето или да се преустанови/да не се приложи терапията.</w:t>
      </w:r>
    </w:p>
    <w:p w14:paraId="5832F90B" w14:textId="77777777" w:rsidR="0040009D" w:rsidRPr="00566CE6" w:rsidRDefault="0040009D" w:rsidP="004B3035"/>
    <w:p w14:paraId="408148A9" w14:textId="77777777" w:rsidR="0040009D" w:rsidRPr="0040009D" w:rsidRDefault="0040009D" w:rsidP="0040009D">
      <w:pPr>
        <w:pStyle w:val="Default"/>
        <w:rPr>
          <w:sz w:val="22"/>
          <w:szCs w:val="22"/>
          <w:u w:val="single"/>
        </w:rPr>
      </w:pPr>
      <w:r w:rsidRPr="0040009D">
        <w:rPr>
          <w:sz w:val="22"/>
          <w:szCs w:val="22"/>
          <w:u w:val="single"/>
        </w:rPr>
        <w:t xml:space="preserve">Фертилитет </w:t>
      </w:r>
    </w:p>
    <w:p w14:paraId="5BE68835" w14:textId="703DA822" w:rsidR="004762C7" w:rsidRDefault="0040009D" w:rsidP="0040009D">
      <w:r>
        <w:t>Не са провеждани конкретни проучвания с ривароксабан при хора за оценка на ефектите по отношение на фертилитета. При едно проучване по отношение на фертилитета при мъжки и женски плъхове не са наблюдавани ефекти (вж. точка 5.3).</w:t>
      </w:r>
    </w:p>
    <w:p w14:paraId="086812FF" w14:textId="77777777" w:rsidR="0040009D" w:rsidRPr="00566CE6" w:rsidRDefault="0040009D" w:rsidP="0040009D"/>
    <w:p w14:paraId="36044826" w14:textId="18B2683D" w:rsidR="004762C7" w:rsidRPr="00566CE6" w:rsidRDefault="00030E48">
      <w:pPr>
        <w:tabs>
          <w:tab w:val="left" w:pos="540"/>
        </w:tabs>
      </w:pPr>
      <w:r w:rsidRPr="00566CE6">
        <w:rPr>
          <w:rFonts w:eastAsia="Times New Roman"/>
          <w:b/>
          <w:bCs/>
        </w:rPr>
        <w:t>4.7</w:t>
      </w:r>
      <w:r w:rsidRPr="00566CE6">
        <w:rPr>
          <w:rFonts w:eastAsia="Times New Roman"/>
          <w:b/>
          <w:bCs/>
        </w:rPr>
        <w:tab/>
      </w:r>
      <w:r w:rsidR="00F94B66" w:rsidRPr="00F94B66">
        <w:rPr>
          <w:rFonts w:eastAsia="Times New Roman"/>
          <w:b/>
          <w:bCs/>
        </w:rPr>
        <w:t>Ефекти върху способността за шофиране и работа с машини</w:t>
      </w:r>
    </w:p>
    <w:p w14:paraId="5D50AD0C" w14:textId="77777777" w:rsidR="004762C7" w:rsidRPr="00566CE6" w:rsidRDefault="004762C7" w:rsidP="004B3035"/>
    <w:p w14:paraId="5FDD140D" w14:textId="2286194F" w:rsidR="00FE08CF" w:rsidRDefault="00F94B66" w:rsidP="004B3035">
      <w:pPr>
        <w:rPr>
          <w:rFonts w:eastAsia="Times New Roman"/>
        </w:rPr>
      </w:pPr>
      <w:r>
        <w:rPr>
          <w:rFonts w:eastAsia="Times New Roman"/>
        </w:rPr>
        <w:t>Руфиксало</w:t>
      </w:r>
      <w:r w:rsidRPr="00F94B66">
        <w:rPr>
          <w:rFonts w:eastAsia="Times New Roman"/>
        </w:rPr>
        <w:t xml:space="preserve"> повлиява в малка степен способността за шофиране и работа с машини. Има съобщения за нежелани реакции, като синкоп (честота: нечести) и замаяност (честота: чести) (вж. точка 4.8). Пациентите, при които се развият тези нежелани реакции, не трябва да шофират или работят с машини.</w:t>
      </w:r>
    </w:p>
    <w:p w14:paraId="67F976D2" w14:textId="77777777" w:rsidR="00F94B66" w:rsidRPr="00566CE6" w:rsidRDefault="00F94B66" w:rsidP="004B3035"/>
    <w:p w14:paraId="0D333BE5" w14:textId="0420871D" w:rsidR="004762C7" w:rsidRPr="00566CE6" w:rsidRDefault="00030E48" w:rsidP="004B3035">
      <w:pPr>
        <w:tabs>
          <w:tab w:val="left" w:pos="567"/>
        </w:tabs>
      </w:pPr>
      <w:bookmarkStart w:id="4" w:name="page10"/>
      <w:bookmarkEnd w:id="4"/>
      <w:r w:rsidRPr="00566CE6">
        <w:rPr>
          <w:rFonts w:eastAsia="Times New Roman"/>
          <w:b/>
          <w:bCs/>
        </w:rPr>
        <w:t>4.8</w:t>
      </w:r>
      <w:r w:rsidRPr="00566CE6">
        <w:rPr>
          <w:rFonts w:eastAsia="Times New Roman"/>
          <w:b/>
          <w:bCs/>
        </w:rPr>
        <w:tab/>
      </w:r>
      <w:r w:rsidR="00F94B66">
        <w:rPr>
          <w:b/>
          <w:bCs/>
        </w:rPr>
        <w:t>Нежелани лекарствени реакции</w:t>
      </w:r>
    </w:p>
    <w:p w14:paraId="018D7A91" w14:textId="77777777" w:rsidR="004762C7" w:rsidRPr="00566CE6" w:rsidRDefault="004762C7" w:rsidP="004B3035"/>
    <w:p w14:paraId="30561A8D" w14:textId="1C4C4467" w:rsidR="00F94B66" w:rsidRPr="00F94B66" w:rsidRDefault="00F94B66" w:rsidP="00F94B66">
      <w:pPr>
        <w:ind w:right="640"/>
        <w:rPr>
          <w:rFonts w:eastAsia="Times New Roman"/>
          <w:u w:val="single"/>
        </w:rPr>
      </w:pPr>
      <w:r w:rsidRPr="00F94B66">
        <w:rPr>
          <w:rFonts w:eastAsia="Times New Roman"/>
          <w:u w:val="single"/>
        </w:rPr>
        <w:lastRenderedPageBreak/>
        <w:t>Резюме на профила на безопасност</w:t>
      </w:r>
    </w:p>
    <w:p w14:paraId="65044FCA" w14:textId="14B22FE7" w:rsidR="00F94B66" w:rsidRPr="00F94B66" w:rsidRDefault="00F94B66" w:rsidP="00F94B66">
      <w:pPr>
        <w:ind w:right="640"/>
        <w:rPr>
          <w:rFonts w:eastAsia="Times New Roman"/>
        </w:rPr>
      </w:pPr>
      <w:r w:rsidRPr="00F94B66">
        <w:rPr>
          <w:rFonts w:eastAsia="Times New Roman"/>
        </w:rPr>
        <w:t>Безопасността на ривароксабан е проучена в тринадесет основни проучвания фаза III (вж. Таблица 1).</w:t>
      </w:r>
    </w:p>
    <w:p w14:paraId="5B093455" w14:textId="7C9437F5" w:rsidR="004762C7" w:rsidRDefault="00F94B66" w:rsidP="004B3035">
      <w:pPr>
        <w:rPr>
          <w:rFonts w:eastAsia="Times New Roman"/>
          <w:lang w:val="bg-BG"/>
        </w:rPr>
      </w:pPr>
      <w:r w:rsidRPr="00F94B66">
        <w:rPr>
          <w:rFonts w:eastAsia="Times New Roman"/>
        </w:rPr>
        <w:t>Общо 69 608 възрастни пациенти в деветнадесет проучвания фаза III и 412 педиатрични пациенти в две проучвания фаза II и едно проучване фаза III са с експозиция на ривароксабан</w:t>
      </w:r>
      <w:r>
        <w:rPr>
          <w:rFonts w:eastAsia="Times New Roman"/>
          <w:lang w:val="bg-BG"/>
        </w:rPr>
        <w:t>.</w:t>
      </w:r>
    </w:p>
    <w:p w14:paraId="5D33B700" w14:textId="77777777" w:rsidR="00971A1D" w:rsidRPr="00566CE6" w:rsidRDefault="00971A1D" w:rsidP="004B3035"/>
    <w:p w14:paraId="0B298F67" w14:textId="429CEAD5" w:rsidR="00844A65" w:rsidRPr="00566CE6" w:rsidRDefault="00F94B66" w:rsidP="004B3035">
      <w:pPr>
        <w:ind w:right="920"/>
        <w:rPr>
          <w:rFonts w:eastAsia="Times New Roman"/>
          <w:b/>
          <w:bCs/>
        </w:rPr>
      </w:pPr>
      <w:r w:rsidRPr="00F94B66">
        <w:rPr>
          <w:rFonts w:eastAsia="Times New Roman"/>
          <w:b/>
          <w:bCs/>
        </w:rPr>
        <w:t>Таблица 1: Брой проучени пациенти, обща дневна доза и максимална продължителност на лечението при проучвания при възрастни и педиатрични пациенти фаза III</w:t>
      </w:r>
    </w:p>
    <w:tbl>
      <w:tblPr>
        <w:tblW w:w="93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29"/>
        <w:gridCol w:w="1418"/>
        <w:gridCol w:w="2698"/>
        <w:gridCol w:w="1696"/>
      </w:tblGrid>
      <w:tr w:rsidR="00BF3249" w:rsidRPr="00566CE6" w14:paraId="521C7546" w14:textId="77777777" w:rsidTr="004B3035">
        <w:trPr>
          <w:trHeight w:val="20"/>
        </w:trPr>
        <w:tc>
          <w:tcPr>
            <w:tcW w:w="3529" w:type="dxa"/>
            <w:vAlign w:val="center"/>
          </w:tcPr>
          <w:p w14:paraId="546F12D2" w14:textId="55D5983F" w:rsidR="00BF3249" w:rsidRPr="00566CE6" w:rsidRDefault="00F94B66" w:rsidP="004B3035">
            <w:pPr>
              <w:ind w:left="120"/>
            </w:pPr>
            <w:r>
              <w:rPr>
                <w:rFonts w:eastAsia="Times New Roman"/>
                <w:b/>
                <w:bCs/>
              </w:rPr>
              <w:t>Показание</w:t>
            </w:r>
          </w:p>
        </w:tc>
        <w:tc>
          <w:tcPr>
            <w:tcW w:w="1418" w:type="dxa"/>
            <w:vAlign w:val="center"/>
          </w:tcPr>
          <w:p w14:paraId="49CAD928" w14:textId="620EBDA6" w:rsidR="00BF3249" w:rsidRPr="00566CE6" w:rsidRDefault="00F94B66">
            <w:pPr>
              <w:ind w:left="80"/>
            </w:pPr>
            <w:r>
              <w:rPr>
                <w:rFonts w:eastAsia="Times New Roman"/>
                <w:b/>
                <w:bCs/>
              </w:rPr>
              <w:t>Брой пациенти</w:t>
            </w:r>
            <w:r w:rsidR="00BF3249" w:rsidRPr="00566CE6">
              <w:rPr>
                <w:rFonts w:eastAsia="Times New Roman"/>
                <w:b/>
                <w:bCs/>
              </w:rPr>
              <w:t>*</w:t>
            </w:r>
          </w:p>
        </w:tc>
        <w:tc>
          <w:tcPr>
            <w:tcW w:w="2698" w:type="dxa"/>
            <w:vAlign w:val="center"/>
          </w:tcPr>
          <w:p w14:paraId="05F9B8C3" w14:textId="61B53757" w:rsidR="00BF3249" w:rsidRPr="00566CE6" w:rsidRDefault="00F94B66" w:rsidP="004B3035">
            <w:pPr>
              <w:ind w:left="100"/>
            </w:pPr>
            <w:r>
              <w:rPr>
                <w:rFonts w:eastAsia="Times New Roman"/>
                <w:b/>
                <w:bCs/>
              </w:rPr>
              <w:t>Обща дневан доза</w:t>
            </w:r>
          </w:p>
        </w:tc>
        <w:tc>
          <w:tcPr>
            <w:tcW w:w="1696" w:type="dxa"/>
            <w:vAlign w:val="center"/>
          </w:tcPr>
          <w:p w14:paraId="0A8CAED9" w14:textId="61EB7885" w:rsidR="00BF3249" w:rsidRPr="00566CE6" w:rsidRDefault="00F94B66">
            <w:pPr>
              <w:ind w:left="100"/>
            </w:pPr>
            <w:r w:rsidRPr="00F94B66">
              <w:rPr>
                <w:rFonts w:eastAsia="Times New Roman"/>
                <w:b/>
                <w:bCs/>
              </w:rPr>
              <w:t>Максимална продължител</w:t>
            </w:r>
            <w:r>
              <w:rPr>
                <w:rFonts w:eastAsia="Times New Roman"/>
                <w:b/>
                <w:bCs/>
                <w:lang w:val="bg-BG"/>
              </w:rPr>
              <w:t>-</w:t>
            </w:r>
            <w:r w:rsidRPr="00F94B66">
              <w:rPr>
                <w:rFonts w:eastAsia="Times New Roman"/>
                <w:b/>
                <w:bCs/>
              </w:rPr>
              <w:t>ност на лечението</w:t>
            </w:r>
          </w:p>
        </w:tc>
      </w:tr>
      <w:tr w:rsidR="00BF3249" w:rsidRPr="00566CE6" w14:paraId="5335474E" w14:textId="77777777" w:rsidTr="004B3035">
        <w:trPr>
          <w:trHeight w:val="20"/>
        </w:trPr>
        <w:tc>
          <w:tcPr>
            <w:tcW w:w="3529" w:type="dxa"/>
          </w:tcPr>
          <w:p w14:paraId="5BBA6382" w14:textId="298E0234" w:rsidR="00BF3249" w:rsidRPr="00566CE6" w:rsidRDefault="00F94B66">
            <w:pPr>
              <w:ind w:left="120"/>
            </w:pPr>
            <w:r w:rsidRPr="00F94B66">
              <w:rPr>
                <w:rFonts w:eastAsia="Times New Roman"/>
              </w:rPr>
              <w:t>Профилактика на венозен тромбоемболизъм (ВТЕ) при възрастни пациенти, подложени на планово ставно протезиране на тазобедрената или на колянната става</w:t>
            </w:r>
          </w:p>
        </w:tc>
        <w:tc>
          <w:tcPr>
            <w:tcW w:w="1418" w:type="dxa"/>
          </w:tcPr>
          <w:p w14:paraId="18886671" w14:textId="77777777" w:rsidR="00BF3249" w:rsidRPr="00566CE6" w:rsidRDefault="00BF3249" w:rsidP="004B3035">
            <w:pPr>
              <w:ind w:left="80"/>
            </w:pPr>
            <w:r w:rsidRPr="00566CE6">
              <w:rPr>
                <w:rFonts w:eastAsia="Times New Roman"/>
              </w:rPr>
              <w:t>6,097</w:t>
            </w:r>
          </w:p>
        </w:tc>
        <w:tc>
          <w:tcPr>
            <w:tcW w:w="2698" w:type="dxa"/>
          </w:tcPr>
          <w:p w14:paraId="43CECC53" w14:textId="77777777" w:rsidR="00BF3249" w:rsidRPr="00566CE6" w:rsidRDefault="00BF3249" w:rsidP="004B3035">
            <w:pPr>
              <w:ind w:left="100"/>
            </w:pPr>
            <w:r w:rsidRPr="00566CE6">
              <w:rPr>
                <w:rFonts w:eastAsia="Times New Roman"/>
              </w:rPr>
              <w:t>10 mg</w:t>
            </w:r>
          </w:p>
        </w:tc>
        <w:tc>
          <w:tcPr>
            <w:tcW w:w="1696" w:type="dxa"/>
          </w:tcPr>
          <w:p w14:paraId="6F816CBB" w14:textId="247A6DC0" w:rsidR="00BF3249" w:rsidRPr="00566CE6" w:rsidRDefault="00F94B66" w:rsidP="004B3035">
            <w:pPr>
              <w:ind w:left="100"/>
            </w:pPr>
            <w:r>
              <w:rPr>
                <w:rFonts w:eastAsia="Times New Roman"/>
              </w:rPr>
              <w:t>39 дни</w:t>
            </w:r>
          </w:p>
        </w:tc>
      </w:tr>
      <w:tr w:rsidR="00BF3249" w:rsidRPr="00566CE6" w14:paraId="7E89B851" w14:textId="77777777" w:rsidTr="004B3035">
        <w:trPr>
          <w:trHeight w:val="20"/>
        </w:trPr>
        <w:tc>
          <w:tcPr>
            <w:tcW w:w="3529" w:type="dxa"/>
          </w:tcPr>
          <w:p w14:paraId="3C90DBD0" w14:textId="41FBD5DD" w:rsidR="00BF3249" w:rsidRPr="00566CE6" w:rsidRDefault="00595A73">
            <w:pPr>
              <w:ind w:left="120"/>
            </w:pPr>
            <w:r w:rsidRPr="00595A73">
              <w:rPr>
                <w:rFonts w:eastAsia="Times New Roman"/>
              </w:rPr>
              <w:t>Профилактика на ВТЕ при нехирургични пациенти</w:t>
            </w:r>
          </w:p>
        </w:tc>
        <w:tc>
          <w:tcPr>
            <w:tcW w:w="1418" w:type="dxa"/>
          </w:tcPr>
          <w:p w14:paraId="1C4D7C47" w14:textId="77777777" w:rsidR="00BF3249" w:rsidRPr="00566CE6" w:rsidRDefault="00BF3249" w:rsidP="004B3035">
            <w:pPr>
              <w:ind w:left="80"/>
            </w:pPr>
            <w:r w:rsidRPr="00566CE6">
              <w:rPr>
                <w:rFonts w:eastAsia="Times New Roman"/>
              </w:rPr>
              <w:t>3,997</w:t>
            </w:r>
          </w:p>
        </w:tc>
        <w:tc>
          <w:tcPr>
            <w:tcW w:w="2698" w:type="dxa"/>
          </w:tcPr>
          <w:p w14:paraId="63A56EBB" w14:textId="77777777" w:rsidR="00BF3249" w:rsidRPr="00566CE6" w:rsidRDefault="00BF3249" w:rsidP="004B3035">
            <w:pPr>
              <w:ind w:left="100"/>
            </w:pPr>
            <w:r w:rsidRPr="00566CE6">
              <w:rPr>
                <w:rFonts w:eastAsia="Times New Roman"/>
              </w:rPr>
              <w:t>10 mg</w:t>
            </w:r>
          </w:p>
        </w:tc>
        <w:tc>
          <w:tcPr>
            <w:tcW w:w="1696" w:type="dxa"/>
          </w:tcPr>
          <w:p w14:paraId="5C95EBF3" w14:textId="6DE53ECE" w:rsidR="00BF3249" w:rsidRPr="00595A73" w:rsidRDefault="00595A73" w:rsidP="004B3035">
            <w:pPr>
              <w:ind w:left="100"/>
              <w:rPr>
                <w:lang w:val="bg-BG"/>
              </w:rPr>
            </w:pPr>
            <w:r>
              <w:rPr>
                <w:rFonts w:eastAsia="Times New Roman"/>
              </w:rPr>
              <w:t xml:space="preserve">39 </w:t>
            </w:r>
            <w:r>
              <w:rPr>
                <w:rFonts w:eastAsia="Times New Roman"/>
                <w:lang w:val="bg-BG"/>
              </w:rPr>
              <w:t>дни</w:t>
            </w:r>
          </w:p>
        </w:tc>
      </w:tr>
      <w:tr w:rsidR="00BF3249" w:rsidRPr="00566CE6" w14:paraId="11F031F4" w14:textId="77777777" w:rsidTr="004B3035">
        <w:trPr>
          <w:trHeight w:val="20"/>
        </w:trPr>
        <w:tc>
          <w:tcPr>
            <w:tcW w:w="3529" w:type="dxa"/>
          </w:tcPr>
          <w:p w14:paraId="54280B81" w14:textId="4D3B91FF" w:rsidR="00BF3249" w:rsidRPr="00566CE6" w:rsidRDefault="00595A73">
            <w:pPr>
              <w:ind w:left="120"/>
            </w:pPr>
            <w:r w:rsidRPr="00595A73">
              <w:rPr>
                <w:rFonts w:eastAsia="Times New Roman"/>
              </w:rPr>
              <w:t>Лечение на дълбока венозна тромбоза (ДВТ), белодробен емболизъм (БЕ) и профилактика на рецидиви</w:t>
            </w:r>
          </w:p>
        </w:tc>
        <w:tc>
          <w:tcPr>
            <w:tcW w:w="1418" w:type="dxa"/>
          </w:tcPr>
          <w:p w14:paraId="1F4E4682" w14:textId="77777777" w:rsidR="00BF3249" w:rsidRPr="00566CE6" w:rsidRDefault="00BF3249" w:rsidP="004B3035">
            <w:pPr>
              <w:ind w:left="80"/>
            </w:pPr>
            <w:r w:rsidRPr="00566CE6">
              <w:rPr>
                <w:rFonts w:eastAsia="Times New Roman"/>
              </w:rPr>
              <w:t>6,790</w:t>
            </w:r>
          </w:p>
        </w:tc>
        <w:tc>
          <w:tcPr>
            <w:tcW w:w="2698" w:type="dxa"/>
          </w:tcPr>
          <w:p w14:paraId="18F39942" w14:textId="2B181114" w:rsidR="00BF3249" w:rsidRPr="00566CE6" w:rsidRDefault="00595A73" w:rsidP="004B3035">
            <w:pPr>
              <w:ind w:left="100"/>
            </w:pPr>
            <w:r>
              <w:rPr>
                <w:rFonts w:eastAsia="Times New Roman"/>
              </w:rPr>
              <w:t>Ден</w:t>
            </w:r>
            <w:r w:rsidR="00BF3249" w:rsidRPr="00566CE6">
              <w:rPr>
                <w:rFonts w:eastAsia="Times New Roman"/>
              </w:rPr>
              <w:t xml:space="preserve"> 1-21: 30 mg</w:t>
            </w:r>
          </w:p>
          <w:p w14:paraId="544B3D03" w14:textId="18A86ABD" w:rsidR="00BF3249" w:rsidRPr="00566CE6" w:rsidRDefault="00595A73">
            <w:pPr>
              <w:ind w:left="100"/>
            </w:pPr>
            <w:r>
              <w:rPr>
                <w:rFonts w:eastAsia="Times New Roman"/>
              </w:rPr>
              <w:t>Ден</w:t>
            </w:r>
            <w:r w:rsidR="002A7BFF">
              <w:rPr>
                <w:rFonts w:eastAsia="Times New Roman"/>
              </w:rPr>
              <w:t xml:space="preserve"> 22 и след това</w:t>
            </w:r>
            <w:r w:rsidR="00BF3249" w:rsidRPr="00566CE6">
              <w:rPr>
                <w:rFonts w:eastAsia="Times New Roman"/>
              </w:rPr>
              <w:t>: 20 mg</w:t>
            </w:r>
          </w:p>
          <w:p w14:paraId="6570733B" w14:textId="7AE0E846" w:rsidR="00BF3249" w:rsidRPr="00566CE6" w:rsidRDefault="00595A73">
            <w:pPr>
              <w:ind w:left="100"/>
            </w:pPr>
            <w:r>
              <w:rPr>
                <w:rFonts w:eastAsia="Times New Roman"/>
              </w:rPr>
              <w:t>След най-малко 6 месеца</w:t>
            </w:r>
            <w:r w:rsidR="00BF3249" w:rsidRPr="00566CE6">
              <w:rPr>
                <w:rFonts w:eastAsia="Times New Roman"/>
              </w:rPr>
              <w:t>:</w:t>
            </w:r>
          </w:p>
          <w:p w14:paraId="260181CA" w14:textId="44E83818" w:rsidR="00BF3249" w:rsidRPr="00566CE6" w:rsidRDefault="00595A73">
            <w:pPr>
              <w:ind w:left="100"/>
            </w:pPr>
            <w:r>
              <w:rPr>
                <w:rFonts w:eastAsia="Times New Roman"/>
              </w:rPr>
              <w:t>10 mg или</w:t>
            </w:r>
            <w:r w:rsidR="00BF3249" w:rsidRPr="00566CE6">
              <w:rPr>
                <w:rFonts w:eastAsia="Times New Roman"/>
              </w:rPr>
              <w:t xml:space="preserve"> 20 mg</w:t>
            </w:r>
          </w:p>
        </w:tc>
        <w:tc>
          <w:tcPr>
            <w:tcW w:w="1696" w:type="dxa"/>
          </w:tcPr>
          <w:p w14:paraId="22DCF6AE" w14:textId="20E83C7A" w:rsidR="00BF3249" w:rsidRPr="00566CE6" w:rsidRDefault="00595A73" w:rsidP="004B3035">
            <w:pPr>
              <w:ind w:left="100"/>
            </w:pPr>
            <w:r>
              <w:rPr>
                <w:rFonts w:eastAsia="Times New Roman"/>
              </w:rPr>
              <w:t>21 месеца</w:t>
            </w:r>
          </w:p>
        </w:tc>
      </w:tr>
      <w:tr w:rsidR="00B70CDC" w:rsidRPr="00566CE6" w14:paraId="0BCCED22" w14:textId="77777777" w:rsidTr="00B70CDC">
        <w:trPr>
          <w:trHeight w:val="20"/>
        </w:trPr>
        <w:tc>
          <w:tcPr>
            <w:tcW w:w="3529" w:type="dxa"/>
            <w:tcBorders>
              <w:top w:val="single" w:sz="4" w:space="0" w:color="000000"/>
              <w:left w:val="single" w:sz="4" w:space="0" w:color="000000"/>
              <w:bottom w:val="single" w:sz="4" w:space="0" w:color="000000"/>
              <w:right w:val="single" w:sz="4" w:space="0" w:color="000000"/>
            </w:tcBorders>
          </w:tcPr>
          <w:p w14:paraId="5858BFFD" w14:textId="3037CC80" w:rsidR="00B70CDC" w:rsidRPr="00566CE6" w:rsidRDefault="00595A73" w:rsidP="00B70CDC">
            <w:pPr>
              <w:ind w:left="120"/>
              <w:rPr>
                <w:rFonts w:eastAsia="Times New Roman"/>
              </w:rPr>
            </w:pPr>
            <w:r w:rsidRPr="00595A73">
              <w:rPr>
                <w:rFonts w:eastAsia="Times New Roman"/>
              </w:rPr>
              <w:t>Лечение на ВТЕ и профилактика на рецидиви на ВТЕ при новородени на термина и деца на възраст под 18 години след започване на стандартно антикоагулантно лечение.</w:t>
            </w:r>
          </w:p>
        </w:tc>
        <w:tc>
          <w:tcPr>
            <w:tcW w:w="1418" w:type="dxa"/>
            <w:tcBorders>
              <w:top w:val="single" w:sz="4" w:space="0" w:color="000000"/>
              <w:left w:val="single" w:sz="4" w:space="0" w:color="000000"/>
              <w:bottom w:val="single" w:sz="4" w:space="0" w:color="000000"/>
              <w:right w:val="single" w:sz="4" w:space="0" w:color="000000"/>
            </w:tcBorders>
          </w:tcPr>
          <w:p w14:paraId="5FCA20C1" w14:textId="12824515" w:rsidR="00B70CDC" w:rsidRPr="00566CE6" w:rsidRDefault="00B70CDC" w:rsidP="00B70CDC">
            <w:pPr>
              <w:ind w:left="80"/>
              <w:rPr>
                <w:rFonts w:eastAsia="Times New Roman"/>
              </w:rPr>
            </w:pPr>
            <w:r>
              <w:rPr>
                <w:rFonts w:eastAsia="Times New Roman"/>
              </w:rPr>
              <w:t>329</w:t>
            </w:r>
          </w:p>
        </w:tc>
        <w:tc>
          <w:tcPr>
            <w:tcW w:w="2698" w:type="dxa"/>
            <w:tcBorders>
              <w:top w:val="single" w:sz="4" w:space="0" w:color="000000"/>
              <w:left w:val="single" w:sz="4" w:space="0" w:color="000000"/>
              <w:bottom w:val="single" w:sz="4" w:space="0" w:color="000000"/>
              <w:right w:val="single" w:sz="4" w:space="0" w:color="000000"/>
            </w:tcBorders>
          </w:tcPr>
          <w:p w14:paraId="68576FC4" w14:textId="196919F5" w:rsidR="00B70CDC" w:rsidRPr="00566CE6" w:rsidRDefault="00595A73" w:rsidP="00B70CDC">
            <w:pPr>
              <w:ind w:left="100"/>
              <w:rPr>
                <w:rFonts w:eastAsia="Times New Roman"/>
              </w:rPr>
            </w:pPr>
            <w:r w:rsidRPr="00595A73">
              <w:rPr>
                <w:rFonts w:eastAsia="Times New Roman"/>
              </w:rPr>
              <w:t>Доза, коригирана според телесното тегло, за постигане на експозиция като тази, наблюдавана при възрастни, лекувани за ДВТ с 20 mg ривароксабан един път дневно</w:t>
            </w:r>
          </w:p>
        </w:tc>
        <w:tc>
          <w:tcPr>
            <w:tcW w:w="1696" w:type="dxa"/>
            <w:tcBorders>
              <w:top w:val="single" w:sz="4" w:space="0" w:color="000000"/>
              <w:left w:val="single" w:sz="4" w:space="0" w:color="000000"/>
              <w:bottom w:val="single" w:sz="4" w:space="0" w:color="000000"/>
              <w:right w:val="single" w:sz="4" w:space="0" w:color="000000"/>
            </w:tcBorders>
          </w:tcPr>
          <w:p w14:paraId="7D67A25E" w14:textId="0BE20044" w:rsidR="00B70CDC" w:rsidRPr="00566CE6" w:rsidRDefault="00B70CDC" w:rsidP="00B70CDC">
            <w:pPr>
              <w:ind w:left="100"/>
              <w:rPr>
                <w:rFonts w:eastAsia="Times New Roman"/>
              </w:rPr>
            </w:pPr>
            <w:r>
              <w:rPr>
                <w:rFonts w:eastAsia="Times New Roman"/>
              </w:rPr>
              <w:t>12</w:t>
            </w:r>
            <w:r>
              <w:rPr>
                <w:rFonts w:eastAsia="Times New Roman"/>
                <w:spacing w:val="-1"/>
              </w:rPr>
              <w:t xml:space="preserve"> </w:t>
            </w:r>
            <w:r w:rsidR="00595A73">
              <w:rPr>
                <w:rFonts w:eastAsia="Times New Roman"/>
              </w:rPr>
              <w:t>месеца</w:t>
            </w:r>
          </w:p>
        </w:tc>
      </w:tr>
      <w:tr w:rsidR="00BF3249" w:rsidRPr="00566CE6" w14:paraId="5BCC0F3C" w14:textId="77777777" w:rsidTr="004B3035">
        <w:trPr>
          <w:trHeight w:val="20"/>
        </w:trPr>
        <w:tc>
          <w:tcPr>
            <w:tcW w:w="3529" w:type="dxa"/>
          </w:tcPr>
          <w:p w14:paraId="115AE6EE" w14:textId="079A13BC" w:rsidR="00BF3249" w:rsidRPr="00566CE6" w:rsidRDefault="00595A73">
            <w:pPr>
              <w:ind w:left="120"/>
            </w:pPr>
            <w:r w:rsidRPr="00595A73">
              <w:rPr>
                <w:rFonts w:eastAsia="Times New Roman"/>
              </w:rPr>
              <w:t>Профилактика на инсулт и системна емболия при пациенти с неклапно предсърдно мъждене</w:t>
            </w:r>
          </w:p>
        </w:tc>
        <w:tc>
          <w:tcPr>
            <w:tcW w:w="1418" w:type="dxa"/>
          </w:tcPr>
          <w:p w14:paraId="6759FAB2" w14:textId="77777777" w:rsidR="00BF3249" w:rsidRPr="00566CE6" w:rsidRDefault="00BF3249" w:rsidP="004B3035">
            <w:pPr>
              <w:ind w:left="80"/>
            </w:pPr>
            <w:r w:rsidRPr="00566CE6">
              <w:rPr>
                <w:rFonts w:eastAsia="Times New Roman"/>
              </w:rPr>
              <w:t>7,750</w:t>
            </w:r>
          </w:p>
        </w:tc>
        <w:tc>
          <w:tcPr>
            <w:tcW w:w="2698" w:type="dxa"/>
          </w:tcPr>
          <w:p w14:paraId="01F36E63" w14:textId="77777777" w:rsidR="00BF3249" w:rsidRPr="00566CE6" w:rsidRDefault="00BF3249" w:rsidP="004B3035">
            <w:pPr>
              <w:ind w:left="100"/>
            </w:pPr>
            <w:r w:rsidRPr="00566CE6">
              <w:rPr>
                <w:rFonts w:eastAsia="Times New Roman"/>
              </w:rPr>
              <w:t>20 mg</w:t>
            </w:r>
          </w:p>
        </w:tc>
        <w:tc>
          <w:tcPr>
            <w:tcW w:w="1696" w:type="dxa"/>
          </w:tcPr>
          <w:p w14:paraId="72DE78C5" w14:textId="1ACEC326" w:rsidR="00BF3249" w:rsidRPr="00595A73" w:rsidRDefault="00BF3249" w:rsidP="00595A73">
            <w:pPr>
              <w:ind w:left="100"/>
              <w:rPr>
                <w:lang w:val="bg-BG"/>
              </w:rPr>
            </w:pPr>
            <w:r w:rsidRPr="00566CE6">
              <w:rPr>
                <w:rFonts w:eastAsia="Times New Roman"/>
              </w:rPr>
              <w:t xml:space="preserve">41 </w:t>
            </w:r>
            <w:r w:rsidR="00595A73">
              <w:rPr>
                <w:rFonts w:eastAsia="Times New Roman"/>
                <w:lang w:val="bg-BG"/>
              </w:rPr>
              <w:t>месеца</w:t>
            </w:r>
          </w:p>
        </w:tc>
      </w:tr>
      <w:tr w:rsidR="00BF3249" w:rsidRPr="00566CE6" w14:paraId="35865571" w14:textId="77777777" w:rsidTr="004B3035">
        <w:trPr>
          <w:trHeight w:val="20"/>
        </w:trPr>
        <w:tc>
          <w:tcPr>
            <w:tcW w:w="3529" w:type="dxa"/>
          </w:tcPr>
          <w:p w14:paraId="1C23970F" w14:textId="219EB844" w:rsidR="00BF3249" w:rsidRPr="00566CE6" w:rsidRDefault="00595A73">
            <w:pPr>
              <w:ind w:left="120"/>
            </w:pPr>
            <w:r w:rsidRPr="00595A73">
              <w:rPr>
                <w:rFonts w:eastAsia="Times New Roman"/>
              </w:rPr>
              <w:t>Профилактика на атеротромботични събития при пациенти след ОКС</w:t>
            </w:r>
          </w:p>
        </w:tc>
        <w:tc>
          <w:tcPr>
            <w:tcW w:w="1418" w:type="dxa"/>
          </w:tcPr>
          <w:p w14:paraId="1C66ED8C" w14:textId="77777777" w:rsidR="00BF3249" w:rsidRPr="00566CE6" w:rsidRDefault="00BF3249" w:rsidP="004B3035">
            <w:pPr>
              <w:ind w:left="80"/>
            </w:pPr>
            <w:r w:rsidRPr="00566CE6">
              <w:rPr>
                <w:rFonts w:eastAsia="Times New Roman"/>
              </w:rPr>
              <w:t>10,225</w:t>
            </w:r>
          </w:p>
        </w:tc>
        <w:tc>
          <w:tcPr>
            <w:tcW w:w="2698" w:type="dxa"/>
          </w:tcPr>
          <w:p w14:paraId="33B3D832" w14:textId="0E073913" w:rsidR="00BF3249" w:rsidRPr="00566CE6" w:rsidRDefault="00595A73" w:rsidP="004B3035">
            <w:pPr>
              <w:ind w:left="100"/>
            </w:pPr>
            <w:r>
              <w:rPr>
                <w:rFonts w:eastAsia="Times New Roman"/>
              </w:rPr>
              <w:t>5 mg или 10 mg съответно</w:t>
            </w:r>
            <w:r w:rsidR="00BF3249" w:rsidRPr="00566CE6">
              <w:rPr>
                <w:rFonts w:eastAsia="Times New Roman"/>
              </w:rPr>
              <w:t>,</w:t>
            </w:r>
          </w:p>
          <w:p w14:paraId="1579C2D2" w14:textId="3D82502F" w:rsidR="00595A73" w:rsidRPr="00566CE6" w:rsidRDefault="00595A73" w:rsidP="00595A73">
            <w:pPr>
              <w:ind w:left="100"/>
            </w:pPr>
            <w:r>
              <w:rPr>
                <w:rFonts w:eastAsia="Times New Roman"/>
                <w:lang w:val="bg-BG"/>
              </w:rPr>
              <w:t xml:space="preserve">приложени едновременно или заедно с АСК, или с АСК </w:t>
            </w:r>
            <w:r w:rsidRPr="00595A73">
              <w:rPr>
                <w:rFonts w:eastAsia="Times New Roman"/>
                <w:lang w:val="bg-BG"/>
              </w:rPr>
              <w:t xml:space="preserve">плюс клопидогрел или тиклопидин </w:t>
            </w:r>
          </w:p>
          <w:p w14:paraId="065FCDE8" w14:textId="2F63878D" w:rsidR="00BF3249" w:rsidRPr="00566CE6" w:rsidRDefault="00BF3249">
            <w:pPr>
              <w:ind w:left="100"/>
            </w:pPr>
          </w:p>
        </w:tc>
        <w:tc>
          <w:tcPr>
            <w:tcW w:w="1696" w:type="dxa"/>
          </w:tcPr>
          <w:p w14:paraId="246AF002" w14:textId="20B73A33" w:rsidR="00BF3249" w:rsidRPr="00566CE6" w:rsidRDefault="00BF3249" w:rsidP="004B3035">
            <w:pPr>
              <w:ind w:left="100"/>
            </w:pPr>
            <w:r w:rsidRPr="00566CE6">
              <w:rPr>
                <w:rFonts w:eastAsia="Times New Roman"/>
              </w:rPr>
              <w:t xml:space="preserve">31 </w:t>
            </w:r>
            <w:r w:rsidR="00595A73">
              <w:rPr>
                <w:rFonts w:eastAsia="Times New Roman"/>
                <w:lang w:val="bg-BG"/>
              </w:rPr>
              <w:t>месеца</w:t>
            </w:r>
          </w:p>
        </w:tc>
      </w:tr>
      <w:tr w:rsidR="00194E9B" w:rsidRPr="00566CE6" w14:paraId="5ECEE365" w14:textId="77777777" w:rsidTr="004B3035">
        <w:trPr>
          <w:trHeight w:val="20"/>
        </w:trPr>
        <w:tc>
          <w:tcPr>
            <w:tcW w:w="3529" w:type="dxa"/>
            <w:vMerge w:val="restart"/>
          </w:tcPr>
          <w:p w14:paraId="7F465D5C" w14:textId="0015A129" w:rsidR="00194E9B" w:rsidRPr="00566CE6" w:rsidRDefault="002A7BFF">
            <w:pPr>
              <w:ind w:left="120"/>
            </w:pPr>
            <w:r w:rsidRPr="002A7BFF">
              <w:rPr>
                <w:rFonts w:eastAsia="Times New Roman"/>
              </w:rPr>
              <w:t>Профилактика на атеротромботични събития при пациенти с КАБ/ПАБ</w:t>
            </w:r>
          </w:p>
        </w:tc>
        <w:tc>
          <w:tcPr>
            <w:tcW w:w="1418" w:type="dxa"/>
          </w:tcPr>
          <w:p w14:paraId="4978818A" w14:textId="77777777" w:rsidR="00194E9B" w:rsidRPr="00566CE6" w:rsidRDefault="00194E9B" w:rsidP="004B3035">
            <w:pPr>
              <w:ind w:left="80"/>
            </w:pPr>
            <w:r w:rsidRPr="00566CE6">
              <w:rPr>
                <w:rFonts w:eastAsia="Times New Roman"/>
              </w:rPr>
              <w:t>18,244</w:t>
            </w:r>
          </w:p>
        </w:tc>
        <w:tc>
          <w:tcPr>
            <w:tcW w:w="2698" w:type="dxa"/>
          </w:tcPr>
          <w:p w14:paraId="586C5D4C" w14:textId="609F6EAB" w:rsidR="00194E9B" w:rsidRPr="00566CE6" w:rsidRDefault="002A7BFF">
            <w:pPr>
              <w:ind w:left="100"/>
            </w:pPr>
            <w:r w:rsidRPr="002A7BFF">
              <w:rPr>
                <w:rFonts w:eastAsia="Times New Roman"/>
              </w:rPr>
              <w:t>5 mg, приложени едновременно с АСК или 10 mg самостоятелно</w:t>
            </w:r>
          </w:p>
        </w:tc>
        <w:tc>
          <w:tcPr>
            <w:tcW w:w="1696" w:type="dxa"/>
          </w:tcPr>
          <w:p w14:paraId="50441462" w14:textId="0FEB4795" w:rsidR="00194E9B" w:rsidRPr="00566CE6" w:rsidRDefault="00194E9B" w:rsidP="004B3035">
            <w:pPr>
              <w:ind w:left="100"/>
            </w:pPr>
            <w:r w:rsidRPr="00566CE6">
              <w:rPr>
                <w:rFonts w:eastAsia="Times New Roman"/>
              </w:rPr>
              <w:t xml:space="preserve">47 </w:t>
            </w:r>
            <w:r w:rsidR="00595A73">
              <w:rPr>
                <w:rFonts w:eastAsia="Times New Roman"/>
                <w:lang w:val="bg-BG"/>
              </w:rPr>
              <w:t>месеца</w:t>
            </w:r>
          </w:p>
        </w:tc>
      </w:tr>
      <w:tr w:rsidR="00194E9B" w:rsidRPr="00566CE6" w14:paraId="4508FFE4" w14:textId="77777777" w:rsidTr="004B3035">
        <w:trPr>
          <w:trHeight w:val="20"/>
        </w:trPr>
        <w:tc>
          <w:tcPr>
            <w:tcW w:w="3529" w:type="dxa"/>
            <w:vMerge/>
          </w:tcPr>
          <w:p w14:paraId="64A2A0BD" w14:textId="77777777" w:rsidR="00194E9B" w:rsidRPr="00566CE6" w:rsidRDefault="00194E9B" w:rsidP="00194E9B">
            <w:pPr>
              <w:ind w:left="120"/>
              <w:rPr>
                <w:rFonts w:eastAsia="Times New Roman"/>
              </w:rPr>
            </w:pPr>
          </w:p>
        </w:tc>
        <w:tc>
          <w:tcPr>
            <w:tcW w:w="1418" w:type="dxa"/>
          </w:tcPr>
          <w:p w14:paraId="783B31EB" w14:textId="77777777" w:rsidR="00194E9B" w:rsidRDefault="00194E9B" w:rsidP="00194E9B">
            <w:pPr>
              <w:ind w:left="80"/>
            </w:pPr>
            <w:r>
              <w:t>3,256**</w:t>
            </w:r>
          </w:p>
          <w:p w14:paraId="4DFD721D" w14:textId="77777777" w:rsidR="00194E9B" w:rsidRPr="00566CE6" w:rsidRDefault="00194E9B" w:rsidP="00194E9B">
            <w:pPr>
              <w:ind w:left="80"/>
              <w:rPr>
                <w:rFonts w:eastAsia="Times New Roman"/>
              </w:rPr>
            </w:pPr>
          </w:p>
        </w:tc>
        <w:tc>
          <w:tcPr>
            <w:tcW w:w="2698" w:type="dxa"/>
          </w:tcPr>
          <w:p w14:paraId="0F0F9B41" w14:textId="641B1B29" w:rsidR="00194E9B" w:rsidRPr="00566CE6" w:rsidRDefault="002A7BFF" w:rsidP="00194E9B">
            <w:pPr>
              <w:ind w:left="100"/>
              <w:rPr>
                <w:rFonts w:eastAsia="Times New Roman"/>
              </w:rPr>
            </w:pPr>
            <w:r w:rsidRPr="002A7BFF">
              <w:t>5 mg, приложени едновременно с АСК</w:t>
            </w:r>
          </w:p>
        </w:tc>
        <w:tc>
          <w:tcPr>
            <w:tcW w:w="1696" w:type="dxa"/>
          </w:tcPr>
          <w:p w14:paraId="6CB8D3F1" w14:textId="54416AAC" w:rsidR="00194E9B" w:rsidRDefault="00194E9B" w:rsidP="00194E9B">
            <w:pPr>
              <w:ind w:left="80"/>
            </w:pPr>
            <w:r>
              <w:t xml:space="preserve">42 </w:t>
            </w:r>
            <w:r w:rsidR="00595A73">
              <w:rPr>
                <w:rFonts w:eastAsia="Times New Roman"/>
                <w:lang w:val="bg-BG"/>
              </w:rPr>
              <w:t>месеца</w:t>
            </w:r>
          </w:p>
          <w:p w14:paraId="64C3C27C" w14:textId="77777777" w:rsidR="00194E9B" w:rsidRPr="00566CE6" w:rsidRDefault="00194E9B" w:rsidP="00194E9B">
            <w:pPr>
              <w:ind w:left="100"/>
              <w:rPr>
                <w:rFonts w:eastAsia="Times New Roman"/>
              </w:rPr>
            </w:pPr>
          </w:p>
        </w:tc>
      </w:tr>
    </w:tbl>
    <w:p w14:paraId="41F673D5" w14:textId="294EAF3C" w:rsidR="004762C7" w:rsidRDefault="00194E9B" w:rsidP="00194E9B">
      <w:pPr>
        <w:tabs>
          <w:tab w:val="left" w:pos="680"/>
        </w:tabs>
        <w:ind w:left="118"/>
        <w:rPr>
          <w:rFonts w:eastAsia="Times New Roman"/>
        </w:rPr>
      </w:pPr>
      <w:r w:rsidRPr="00194E9B">
        <w:rPr>
          <w:rFonts w:eastAsia="Times New Roman"/>
        </w:rPr>
        <w:t>*</w:t>
      </w:r>
      <w:r>
        <w:rPr>
          <w:rFonts w:eastAsia="Times New Roman"/>
        </w:rPr>
        <w:t xml:space="preserve"> </w:t>
      </w:r>
      <w:r w:rsidR="00971A1D">
        <w:rPr>
          <w:rFonts w:eastAsia="Times New Roman"/>
        </w:rPr>
        <w:tab/>
      </w:r>
      <w:r w:rsidR="002A7BFF" w:rsidRPr="002A7BFF">
        <w:rPr>
          <w:rFonts w:eastAsia="Times New Roman"/>
        </w:rPr>
        <w:t>Пациенти, които са били експонирани на поне една доза ривароксабан</w:t>
      </w:r>
    </w:p>
    <w:p w14:paraId="0B96F412" w14:textId="14251DD1" w:rsidR="00194E9B" w:rsidRPr="00194E9B" w:rsidRDefault="00194E9B" w:rsidP="00194E9B">
      <w:pPr>
        <w:tabs>
          <w:tab w:val="left" w:pos="680"/>
        </w:tabs>
        <w:ind w:left="118"/>
        <w:rPr>
          <w:rFonts w:eastAsia="Times New Roman"/>
        </w:rPr>
      </w:pPr>
      <w:r w:rsidRPr="00194E9B">
        <w:rPr>
          <w:rFonts w:eastAsia="Times New Roman"/>
        </w:rPr>
        <w:t xml:space="preserve">** </w:t>
      </w:r>
      <w:r w:rsidR="00971A1D">
        <w:rPr>
          <w:rFonts w:eastAsia="Times New Roman"/>
        </w:rPr>
        <w:tab/>
      </w:r>
      <w:r w:rsidR="002A7BFF" w:rsidRPr="002A7BFF">
        <w:rPr>
          <w:rFonts w:eastAsia="Times New Roman"/>
        </w:rPr>
        <w:t>От проучването VOYAGER PAD</w:t>
      </w:r>
    </w:p>
    <w:p w14:paraId="26C67990" w14:textId="77777777" w:rsidR="004762C7" w:rsidRPr="00566CE6" w:rsidRDefault="004762C7" w:rsidP="004B3035"/>
    <w:p w14:paraId="1B1F0EFF" w14:textId="627E0EAF" w:rsidR="008104F6" w:rsidRDefault="002A7BFF" w:rsidP="004B3035">
      <w:pPr>
        <w:rPr>
          <w:rFonts w:eastAsia="Times New Roman"/>
        </w:rPr>
      </w:pPr>
      <w:r w:rsidRPr="002A7BFF">
        <w:rPr>
          <w:rFonts w:eastAsia="Times New Roman"/>
        </w:rPr>
        <w:t xml:space="preserve">Най-често съобщаваните нежелани реакции при пациенти, които получават ривароксабан, са били хеморагии (вж. точка 4.4 и „Описание на избрани нежелани реакции“ по-долу) (Таблица 2). </w:t>
      </w:r>
      <w:r w:rsidRPr="002A7BFF">
        <w:rPr>
          <w:rFonts w:eastAsia="Times New Roman"/>
        </w:rPr>
        <w:lastRenderedPageBreak/>
        <w:t>Най-често съобщаваните хеморагии са епистаксис (4,5%) и кървене в стомашно-чревния тракт (3,8%).</w:t>
      </w:r>
    </w:p>
    <w:p w14:paraId="190630AF" w14:textId="77777777" w:rsidR="002A7BFF" w:rsidRPr="00566CE6" w:rsidRDefault="002A7BFF" w:rsidP="004B3035"/>
    <w:p w14:paraId="118F13BF" w14:textId="7EDBD910" w:rsidR="004762C7" w:rsidRPr="00566CE6" w:rsidRDefault="002A7BFF" w:rsidP="004B3035">
      <w:pPr>
        <w:ind w:left="40" w:right="-3"/>
      </w:pPr>
      <w:bookmarkStart w:id="5" w:name="page11"/>
      <w:bookmarkEnd w:id="5"/>
      <w:r w:rsidRPr="002A7BFF">
        <w:rPr>
          <w:rFonts w:eastAsia="Times New Roman"/>
          <w:b/>
          <w:bCs/>
        </w:rPr>
        <w:t>Таблица 2: Честота на събитията на кървене* и анемия при пациенти с експозиция на ривароксабан в завършилите проучвания при възрастни и педиатрични пациенти фаза III</w:t>
      </w:r>
    </w:p>
    <w:tbl>
      <w:tblPr>
        <w:tblW w:w="930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98"/>
        <w:gridCol w:w="2410"/>
        <w:gridCol w:w="2693"/>
      </w:tblGrid>
      <w:tr w:rsidR="004762C7" w:rsidRPr="00566CE6" w14:paraId="11DB7C0E" w14:textId="77777777" w:rsidTr="004B3035">
        <w:trPr>
          <w:trHeight w:val="20"/>
        </w:trPr>
        <w:tc>
          <w:tcPr>
            <w:tcW w:w="4198" w:type="dxa"/>
          </w:tcPr>
          <w:p w14:paraId="38F54853" w14:textId="4EAD2F00" w:rsidR="004762C7" w:rsidRPr="00566CE6" w:rsidRDefault="002A7BFF" w:rsidP="004B3035">
            <w:pPr>
              <w:ind w:left="100"/>
            </w:pPr>
            <w:r w:rsidRPr="002A7BFF">
              <w:rPr>
                <w:rFonts w:eastAsia="Times New Roman"/>
                <w:b/>
                <w:bCs/>
              </w:rPr>
              <w:t>Показание</w:t>
            </w:r>
          </w:p>
        </w:tc>
        <w:tc>
          <w:tcPr>
            <w:tcW w:w="2410" w:type="dxa"/>
          </w:tcPr>
          <w:p w14:paraId="34E46C00" w14:textId="0DA14935" w:rsidR="004762C7" w:rsidRPr="002A7BFF" w:rsidRDefault="002A7BFF" w:rsidP="004B3035">
            <w:pPr>
              <w:ind w:left="100"/>
              <w:rPr>
                <w:lang w:val="bg-BG"/>
              </w:rPr>
            </w:pPr>
            <w:r>
              <w:rPr>
                <w:rFonts w:eastAsia="Times New Roman"/>
                <w:b/>
                <w:bCs/>
                <w:lang w:val="bg-BG"/>
              </w:rPr>
              <w:t>Всякакъв тип кървене</w:t>
            </w:r>
          </w:p>
        </w:tc>
        <w:tc>
          <w:tcPr>
            <w:tcW w:w="2693" w:type="dxa"/>
          </w:tcPr>
          <w:p w14:paraId="3A0FF94B" w14:textId="68CA4759" w:rsidR="004762C7" w:rsidRPr="00566CE6" w:rsidRDefault="002A7BFF" w:rsidP="004B3035">
            <w:pPr>
              <w:ind w:left="100"/>
            </w:pPr>
            <w:r>
              <w:rPr>
                <w:rFonts w:eastAsia="Times New Roman"/>
                <w:b/>
                <w:bCs/>
              </w:rPr>
              <w:t>Aнемия</w:t>
            </w:r>
          </w:p>
        </w:tc>
      </w:tr>
      <w:tr w:rsidR="00F615D5" w:rsidRPr="00566CE6" w14:paraId="5159518E" w14:textId="77777777" w:rsidTr="004B3035">
        <w:trPr>
          <w:trHeight w:val="20"/>
        </w:trPr>
        <w:tc>
          <w:tcPr>
            <w:tcW w:w="4198" w:type="dxa"/>
          </w:tcPr>
          <w:p w14:paraId="1D3A7DB2" w14:textId="548C348B" w:rsidR="00F615D5" w:rsidRPr="00566CE6" w:rsidRDefault="002A7BFF">
            <w:pPr>
              <w:ind w:left="100"/>
            </w:pPr>
            <w:r w:rsidRPr="002A7BFF">
              <w:rPr>
                <w:rFonts w:eastAsia="Times New Roman"/>
              </w:rPr>
              <w:t>Профилактика на ВТЕ при възрастни пациенти, подложени на планово ставно протезиране на тазобедрената или на колянната става</w:t>
            </w:r>
          </w:p>
        </w:tc>
        <w:tc>
          <w:tcPr>
            <w:tcW w:w="2410" w:type="dxa"/>
          </w:tcPr>
          <w:p w14:paraId="67F4DF77" w14:textId="3FFA9AE3" w:rsidR="00F615D5" w:rsidRPr="00566CE6" w:rsidRDefault="002A7BFF" w:rsidP="004B3035">
            <w:pPr>
              <w:ind w:left="100"/>
            </w:pPr>
            <w:r>
              <w:rPr>
                <w:rFonts w:eastAsia="Times New Roman"/>
              </w:rPr>
              <w:t>6,</w:t>
            </w:r>
            <w:r w:rsidR="00F615D5" w:rsidRPr="00566CE6">
              <w:rPr>
                <w:rFonts w:eastAsia="Times New Roman"/>
              </w:rPr>
              <w:t xml:space="preserve">8% </w:t>
            </w:r>
            <w:r w:rsidRPr="002A7BFF">
              <w:rPr>
                <w:rFonts w:eastAsia="Times New Roman"/>
              </w:rPr>
              <w:t>от пациентите</w:t>
            </w:r>
          </w:p>
        </w:tc>
        <w:tc>
          <w:tcPr>
            <w:tcW w:w="2693" w:type="dxa"/>
          </w:tcPr>
          <w:p w14:paraId="382DD536" w14:textId="4A0A372B" w:rsidR="00F615D5" w:rsidRPr="00566CE6" w:rsidRDefault="002A7BFF" w:rsidP="004B3035">
            <w:pPr>
              <w:ind w:left="100"/>
            </w:pPr>
            <w:r>
              <w:rPr>
                <w:rFonts w:eastAsia="Times New Roman"/>
              </w:rPr>
              <w:t>5,</w:t>
            </w:r>
            <w:r w:rsidR="00F615D5" w:rsidRPr="00566CE6">
              <w:rPr>
                <w:rFonts w:eastAsia="Times New Roman"/>
              </w:rPr>
              <w:t xml:space="preserve">9% </w:t>
            </w:r>
            <w:r w:rsidRPr="002A7BFF">
              <w:rPr>
                <w:rFonts w:eastAsia="Times New Roman"/>
              </w:rPr>
              <w:t>от пациентите</w:t>
            </w:r>
          </w:p>
        </w:tc>
      </w:tr>
      <w:tr w:rsidR="00F615D5" w:rsidRPr="00566CE6" w14:paraId="7E5B3233" w14:textId="77777777" w:rsidTr="004B3035">
        <w:trPr>
          <w:trHeight w:val="20"/>
        </w:trPr>
        <w:tc>
          <w:tcPr>
            <w:tcW w:w="4198" w:type="dxa"/>
          </w:tcPr>
          <w:p w14:paraId="00327D75" w14:textId="00D4A28D" w:rsidR="00F615D5" w:rsidRPr="00566CE6" w:rsidRDefault="002A7BFF">
            <w:pPr>
              <w:ind w:left="100"/>
            </w:pPr>
            <w:r w:rsidRPr="002A7BFF">
              <w:rPr>
                <w:rFonts w:eastAsia="Times New Roman"/>
              </w:rPr>
              <w:t>Профилактика на ВТЕ при нехирургични пациенти</w:t>
            </w:r>
          </w:p>
        </w:tc>
        <w:tc>
          <w:tcPr>
            <w:tcW w:w="2410" w:type="dxa"/>
          </w:tcPr>
          <w:p w14:paraId="2C039ACA" w14:textId="6CF2A6E5" w:rsidR="00F615D5" w:rsidRPr="00566CE6" w:rsidRDefault="002A7BFF" w:rsidP="004B3035">
            <w:pPr>
              <w:ind w:left="100"/>
            </w:pPr>
            <w:r>
              <w:rPr>
                <w:rFonts w:eastAsia="Times New Roman"/>
              </w:rPr>
              <w:t>12,</w:t>
            </w:r>
            <w:r w:rsidR="00F615D5" w:rsidRPr="00566CE6">
              <w:rPr>
                <w:rFonts w:eastAsia="Times New Roman"/>
              </w:rPr>
              <w:t xml:space="preserve">6% </w:t>
            </w:r>
            <w:r w:rsidRPr="002A7BFF">
              <w:rPr>
                <w:rFonts w:eastAsia="Times New Roman"/>
              </w:rPr>
              <w:t>от пациентите</w:t>
            </w:r>
          </w:p>
        </w:tc>
        <w:tc>
          <w:tcPr>
            <w:tcW w:w="2693" w:type="dxa"/>
          </w:tcPr>
          <w:p w14:paraId="21561473" w14:textId="672BDBC9" w:rsidR="00F615D5" w:rsidRPr="00566CE6" w:rsidRDefault="002A7BFF" w:rsidP="004B3035">
            <w:pPr>
              <w:ind w:left="100"/>
            </w:pPr>
            <w:r>
              <w:rPr>
                <w:rFonts w:eastAsia="Times New Roman"/>
              </w:rPr>
              <w:t>2,</w:t>
            </w:r>
            <w:r w:rsidR="00F615D5" w:rsidRPr="00566CE6">
              <w:rPr>
                <w:rFonts w:eastAsia="Times New Roman"/>
              </w:rPr>
              <w:t xml:space="preserve">1% </w:t>
            </w:r>
            <w:r w:rsidRPr="002A7BFF">
              <w:rPr>
                <w:rFonts w:eastAsia="Times New Roman"/>
              </w:rPr>
              <w:t>от пациентите</w:t>
            </w:r>
          </w:p>
        </w:tc>
      </w:tr>
      <w:tr w:rsidR="00F615D5" w:rsidRPr="00566CE6" w14:paraId="33047B7E" w14:textId="77777777" w:rsidTr="004B3035">
        <w:trPr>
          <w:trHeight w:val="20"/>
        </w:trPr>
        <w:tc>
          <w:tcPr>
            <w:tcW w:w="4198" w:type="dxa"/>
          </w:tcPr>
          <w:p w14:paraId="5AEBFD70" w14:textId="66D791AB" w:rsidR="00F615D5" w:rsidRPr="00566CE6" w:rsidRDefault="002A7BFF">
            <w:pPr>
              <w:ind w:left="100"/>
            </w:pPr>
            <w:r w:rsidRPr="002A7BFF">
              <w:rPr>
                <w:rFonts w:eastAsia="Times New Roman"/>
              </w:rPr>
              <w:t>Лечение на ДВТ, БЕ и профилактика на рецидиви</w:t>
            </w:r>
          </w:p>
        </w:tc>
        <w:tc>
          <w:tcPr>
            <w:tcW w:w="2410" w:type="dxa"/>
          </w:tcPr>
          <w:p w14:paraId="2A66A108" w14:textId="5093718E" w:rsidR="00F615D5" w:rsidRPr="00566CE6" w:rsidRDefault="00F615D5" w:rsidP="004B3035">
            <w:pPr>
              <w:ind w:left="100"/>
            </w:pPr>
            <w:r w:rsidRPr="00566CE6">
              <w:rPr>
                <w:rFonts w:eastAsia="Times New Roman"/>
              </w:rPr>
              <w:t xml:space="preserve">23% </w:t>
            </w:r>
            <w:r w:rsidR="002A7BFF" w:rsidRPr="002A7BFF">
              <w:rPr>
                <w:rFonts w:eastAsia="Times New Roman"/>
              </w:rPr>
              <w:t>от пациентите</w:t>
            </w:r>
          </w:p>
        </w:tc>
        <w:tc>
          <w:tcPr>
            <w:tcW w:w="2693" w:type="dxa"/>
          </w:tcPr>
          <w:p w14:paraId="3E3C8699" w14:textId="302C0A20" w:rsidR="00F615D5" w:rsidRPr="00566CE6" w:rsidRDefault="002A7BFF" w:rsidP="004B3035">
            <w:pPr>
              <w:ind w:left="100"/>
            </w:pPr>
            <w:r>
              <w:rPr>
                <w:rFonts w:eastAsia="Times New Roman"/>
              </w:rPr>
              <w:t>1,</w:t>
            </w:r>
            <w:r w:rsidR="00F615D5" w:rsidRPr="00566CE6">
              <w:rPr>
                <w:rFonts w:eastAsia="Times New Roman"/>
              </w:rPr>
              <w:t xml:space="preserve">6% </w:t>
            </w:r>
            <w:r w:rsidRPr="002A7BFF">
              <w:rPr>
                <w:rFonts w:eastAsia="Times New Roman"/>
              </w:rPr>
              <w:t>от пациентите</w:t>
            </w:r>
          </w:p>
        </w:tc>
      </w:tr>
      <w:tr w:rsidR="00B70CDC" w:rsidRPr="00566CE6" w14:paraId="4B4D8424" w14:textId="77777777" w:rsidTr="00D131B4">
        <w:trPr>
          <w:trHeight w:val="20"/>
        </w:trPr>
        <w:tc>
          <w:tcPr>
            <w:tcW w:w="4198" w:type="dxa"/>
            <w:tcBorders>
              <w:top w:val="single" w:sz="4" w:space="0" w:color="000000"/>
              <w:left w:val="single" w:sz="4" w:space="0" w:color="000000"/>
              <w:bottom w:val="single" w:sz="4" w:space="0" w:color="000000"/>
              <w:right w:val="single" w:sz="4" w:space="0" w:color="000000"/>
            </w:tcBorders>
          </w:tcPr>
          <w:p w14:paraId="4385E3FA" w14:textId="6F3B1122" w:rsidR="00B70CDC" w:rsidRPr="00566CE6" w:rsidRDefault="002A7BFF" w:rsidP="00B70CDC">
            <w:pPr>
              <w:ind w:left="100"/>
              <w:rPr>
                <w:rFonts w:eastAsia="Times New Roman"/>
              </w:rPr>
            </w:pPr>
            <w:r w:rsidRPr="002A7BFF">
              <w:rPr>
                <w:rFonts w:eastAsia="Times New Roman"/>
              </w:rPr>
              <w:t>Лечение на ВТЕ и профилактика на рецидиви на ВТЕ при новородени на термина и деца на възраст под 18 години след започване на стандартно антикоагулантно лечение.</w:t>
            </w:r>
          </w:p>
        </w:tc>
        <w:tc>
          <w:tcPr>
            <w:tcW w:w="2410" w:type="dxa"/>
            <w:tcBorders>
              <w:top w:val="single" w:sz="4" w:space="0" w:color="000000"/>
              <w:left w:val="single" w:sz="4" w:space="0" w:color="000000"/>
              <w:bottom w:val="single" w:sz="4" w:space="0" w:color="000000"/>
              <w:right w:val="single" w:sz="4" w:space="0" w:color="000000"/>
            </w:tcBorders>
          </w:tcPr>
          <w:p w14:paraId="0287BF0C" w14:textId="61626242" w:rsidR="00B70CDC" w:rsidRPr="00566CE6" w:rsidRDefault="002A7BFF" w:rsidP="00B70CDC">
            <w:pPr>
              <w:ind w:left="100"/>
              <w:rPr>
                <w:rFonts w:eastAsia="Times New Roman"/>
              </w:rPr>
            </w:pPr>
            <w:r>
              <w:rPr>
                <w:rFonts w:eastAsia="Times New Roman"/>
              </w:rPr>
              <w:t>39,</w:t>
            </w:r>
            <w:r w:rsidR="00B70CDC">
              <w:rPr>
                <w:rFonts w:eastAsia="Times New Roman"/>
              </w:rPr>
              <w:t>5%</w:t>
            </w:r>
            <w:r w:rsidR="00B70CDC">
              <w:rPr>
                <w:rFonts w:eastAsia="Times New Roman"/>
                <w:spacing w:val="-6"/>
              </w:rPr>
              <w:t xml:space="preserve"> </w:t>
            </w:r>
            <w:r w:rsidRPr="002A7BFF">
              <w:rPr>
                <w:rFonts w:eastAsia="Times New Roman"/>
              </w:rPr>
              <w:t>от пациентите</w:t>
            </w:r>
          </w:p>
        </w:tc>
        <w:tc>
          <w:tcPr>
            <w:tcW w:w="2693" w:type="dxa"/>
            <w:tcBorders>
              <w:top w:val="single" w:sz="4" w:space="0" w:color="000000"/>
              <w:left w:val="single" w:sz="4" w:space="0" w:color="000000"/>
              <w:bottom w:val="single" w:sz="4" w:space="0" w:color="000000"/>
              <w:right w:val="single" w:sz="4" w:space="0" w:color="000000"/>
            </w:tcBorders>
          </w:tcPr>
          <w:p w14:paraId="2CB8DEF1" w14:textId="7A03EFC4" w:rsidR="00B70CDC" w:rsidRPr="00566CE6" w:rsidRDefault="002A7BFF" w:rsidP="00B70CDC">
            <w:pPr>
              <w:ind w:left="100"/>
              <w:rPr>
                <w:rFonts w:eastAsia="Times New Roman"/>
              </w:rPr>
            </w:pPr>
            <w:r>
              <w:rPr>
                <w:rFonts w:eastAsia="Times New Roman"/>
              </w:rPr>
              <w:t>4,</w:t>
            </w:r>
            <w:r w:rsidR="00B70CDC">
              <w:rPr>
                <w:rFonts w:eastAsia="Times New Roman"/>
              </w:rPr>
              <w:t>6%</w:t>
            </w:r>
            <w:r w:rsidR="00B70CDC">
              <w:rPr>
                <w:rFonts w:eastAsia="Times New Roman"/>
                <w:spacing w:val="-5"/>
              </w:rPr>
              <w:t xml:space="preserve"> </w:t>
            </w:r>
            <w:r w:rsidRPr="002A7BFF">
              <w:rPr>
                <w:rFonts w:eastAsia="Times New Roman"/>
              </w:rPr>
              <w:t>от пациентите</w:t>
            </w:r>
          </w:p>
        </w:tc>
      </w:tr>
      <w:tr w:rsidR="00F615D5" w:rsidRPr="00566CE6" w14:paraId="62DC89F9" w14:textId="77777777" w:rsidTr="004B3035">
        <w:trPr>
          <w:trHeight w:val="20"/>
        </w:trPr>
        <w:tc>
          <w:tcPr>
            <w:tcW w:w="4198" w:type="dxa"/>
          </w:tcPr>
          <w:p w14:paraId="34294722" w14:textId="1B4A509E" w:rsidR="00F615D5" w:rsidRPr="00566CE6" w:rsidRDefault="002A7BFF">
            <w:pPr>
              <w:ind w:left="100"/>
            </w:pPr>
            <w:r w:rsidRPr="002A7BFF">
              <w:rPr>
                <w:rFonts w:eastAsia="Times New Roman"/>
              </w:rPr>
              <w:t>Профилактика на инсулт и системна емболия при пациенти с неклапно предсърдно мъждене</w:t>
            </w:r>
          </w:p>
        </w:tc>
        <w:tc>
          <w:tcPr>
            <w:tcW w:w="2410" w:type="dxa"/>
          </w:tcPr>
          <w:p w14:paraId="027B256A" w14:textId="4F376BD5" w:rsidR="00F615D5" w:rsidRPr="00566CE6" w:rsidRDefault="00F615D5">
            <w:pPr>
              <w:ind w:left="100"/>
            </w:pPr>
            <w:r w:rsidRPr="00566CE6">
              <w:rPr>
                <w:rFonts w:eastAsia="Times New Roman"/>
              </w:rPr>
              <w:t xml:space="preserve">28 </w:t>
            </w:r>
            <w:r w:rsidR="00F24D41" w:rsidRPr="00F24D41">
              <w:rPr>
                <w:rFonts w:eastAsia="Times New Roman"/>
              </w:rPr>
              <w:t>на</w:t>
            </w:r>
            <w:r w:rsidRPr="00566CE6">
              <w:rPr>
                <w:rFonts w:eastAsia="Times New Roman"/>
              </w:rPr>
              <w:t xml:space="preserve"> 100 </w:t>
            </w:r>
            <w:r w:rsidR="002A7BFF" w:rsidRPr="002A7BFF">
              <w:rPr>
                <w:rFonts w:eastAsia="Times New Roman"/>
              </w:rPr>
              <w:t>пациентогодини</w:t>
            </w:r>
          </w:p>
        </w:tc>
        <w:tc>
          <w:tcPr>
            <w:tcW w:w="2693" w:type="dxa"/>
          </w:tcPr>
          <w:p w14:paraId="2B7FDA0A" w14:textId="4082730F" w:rsidR="00F615D5" w:rsidRPr="00566CE6" w:rsidRDefault="002A7BFF">
            <w:pPr>
              <w:ind w:left="100"/>
            </w:pPr>
            <w:r>
              <w:rPr>
                <w:rFonts w:eastAsia="Times New Roman"/>
              </w:rPr>
              <w:t>2,</w:t>
            </w:r>
            <w:r w:rsidR="00F24D41">
              <w:rPr>
                <w:rFonts w:eastAsia="Times New Roman"/>
              </w:rPr>
              <w:t>5 на</w:t>
            </w:r>
            <w:r w:rsidR="00F615D5" w:rsidRPr="00566CE6">
              <w:rPr>
                <w:rFonts w:eastAsia="Times New Roman"/>
              </w:rPr>
              <w:t xml:space="preserve"> 100 </w:t>
            </w:r>
            <w:r w:rsidRPr="002A7BFF">
              <w:rPr>
                <w:rFonts w:eastAsia="Times New Roman"/>
              </w:rPr>
              <w:t>пациентогодини</w:t>
            </w:r>
          </w:p>
        </w:tc>
      </w:tr>
      <w:tr w:rsidR="00F615D5" w:rsidRPr="00566CE6" w14:paraId="339EDCC3" w14:textId="77777777" w:rsidTr="004B3035">
        <w:trPr>
          <w:trHeight w:val="20"/>
        </w:trPr>
        <w:tc>
          <w:tcPr>
            <w:tcW w:w="4198" w:type="dxa"/>
          </w:tcPr>
          <w:p w14:paraId="16BD1E11" w14:textId="1CD05FD2" w:rsidR="00F615D5" w:rsidRPr="00566CE6" w:rsidRDefault="00F24D41">
            <w:pPr>
              <w:ind w:left="100"/>
            </w:pPr>
            <w:r w:rsidRPr="00F24D41">
              <w:rPr>
                <w:rFonts w:eastAsia="Times New Roman"/>
              </w:rPr>
              <w:t>Профилактика на атеротромботични събития при пациенти след ОКС</w:t>
            </w:r>
          </w:p>
        </w:tc>
        <w:tc>
          <w:tcPr>
            <w:tcW w:w="2410" w:type="dxa"/>
          </w:tcPr>
          <w:p w14:paraId="118F081B" w14:textId="105DF26D" w:rsidR="00F615D5" w:rsidRPr="00566CE6" w:rsidRDefault="00F615D5">
            <w:pPr>
              <w:ind w:left="100"/>
            </w:pPr>
            <w:r w:rsidRPr="00566CE6">
              <w:rPr>
                <w:rFonts w:eastAsia="Times New Roman"/>
              </w:rPr>
              <w:t xml:space="preserve">22 </w:t>
            </w:r>
            <w:r w:rsidR="00F24D41">
              <w:rPr>
                <w:rFonts w:eastAsia="Times New Roman"/>
              </w:rPr>
              <w:t>на</w:t>
            </w:r>
            <w:r w:rsidRPr="00566CE6">
              <w:rPr>
                <w:rFonts w:eastAsia="Times New Roman"/>
              </w:rPr>
              <w:t xml:space="preserve"> 100 </w:t>
            </w:r>
            <w:r w:rsidR="002A7BFF" w:rsidRPr="002A7BFF">
              <w:rPr>
                <w:rFonts w:eastAsia="Times New Roman"/>
              </w:rPr>
              <w:t>пациентогодини</w:t>
            </w:r>
          </w:p>
        </w:tc>
        <w:tc>
          <w:tcPr>
            <w:tcW w:w="2693" w:type="dxa"/>
          </w:tcPr>
          <w:p w14:paraId="48EFD3D8" w14:textId="7BFBCEF7" w:rsidR="00F615D5" w:rsidRPr="00566CE6" w:rsidRDefault="00F24D41">
            <w:pPr>
              <w:ind w:left="100"/>
            </w:pPr>
            <w:r>
              <w:rPr>
                <w:rFonts w:eastAsia="Times New Roman"/>
              </w:rPr>
              <w:t>1,</w:t>
            </w:r>
            <w:r w:rsidR="00F615D5" w:rsidRPr="00566CE6">
              <w:rPr>
                <w:rFonts w:eastAsia="Times New Roman"/>
              </w:rPr>
              <w:t xml:space="preserve">4 </w:t>
            </w:r>
            <w:r>
              <w:rPr>
                <w:rFonts w:eastAsia="Times New Roman"/>
              </w:rPr>
              <w:t>на</w:t>
            </w:r>
            <w:r w:rsidRPr="00566CE6">
              <w:rPr>
                <w:rFonts w:eastAsia="Times New Roman"/>
              </w:rPr>
              <w:t xml:space="preserve"> </w:t>
            </w:r>
            <w:r w:rsidR="00F615D5" w:rsidRPr="00566CE6">
              <w:rPr>
                <w:rFonts w:eastAsia="Times New Roman"/>
              </w:rPr>
              <w:t xml:space="preserve">100 </w:t>
            </w:r>
            <w:r w:rsidRPr="002A7BFF">
              <w:rPr>
                <w:rFonts w:eastAsia="Times New Roman"/>
              </w:rPr>
              <w:t>пациентогодини</w:t>
            </w:r>
          </w:p>
        </w:tc>
      </w:tr>
      <w:tr w:rsidR="00194E9B" w:rsidRPr="00566CE6" w14:paraId="79EDBFDE" w14:textId="77777777" w:rsidTr="004B3035">
        <w:trPr>
          <w:trHeight w:val="20"/>
        </w:trPr>
        <w:tc>
          <w:tcPr>
            <w:tcW w:w="4198" w:type="dxa"/>
            <w:vMerge w:val="restart"/>
          </w:tcPr>
          <w:p w14:paraId="2A06249F" w14:textId="5239E72A" w:rsidR="00194E9B" w:rsidRPr="00566CE6" w:rsidRDefault="00F24D41">
            <w:pPr>
              <w:ind w:left="100"/>
            </w:pPr>
            <w:r w:rsidRPr="00F24D41">
              <w:rPr>
                <w:rFonts w:eastAsia="Times New Roman"/>
              </w:rPr>
              <w:t>Профилактика на атеротромботични събития при пациенти с КАБ/ПАБ</w:t>
            </w:r>
          </w:p>
        </w:tc>
        <w:tc>
          <w:tcPr>
            <w:tcW w:w="2410" w:type="dxa"/>
          </w:tcPr>
          <w:p w14:paraId="48E7AC85" w14:textId="397CA8E2" w:rsidR="00194E9B" w:rsidRPr="00566CE6" w:rsidRDefault="00F24D41">
            <w:pPr>
              <w:ind w:left="100"/>
            </w:pPr>
            <w:r>
              <w:rPr>
                <w:rFonts w:eastAsia="Times New Roman"/>
              </w:rPr>
              <w:t>6,7 на</w:t>
            </w:r>
            <w:r w:rsidR="00194E9B" w:rsidRPr="00566CE6">
              <w:rPr>
                <w:rFonts w:eastAsia="Times New Roman"/>
              </w:rPr>
              <w:t xml:space="preserve"> 100 </w:t>
            </w:r>
            <w:r w:rsidR="002A7BFF" w:rsidRPr="002A7BFF">
              <w:rPr>
                <w:rFonts w:eastAsia="Times New Roman"/>
              </w:rPr>
              <w:t>пациентогодини</w:t>
            </w:r>
          </w:p>
        </w:tc>
        <w:tc>
          <w:tcPr>
            <w:tcW w:w="2693" w:type="dxa"/>
          </w:tcPr>
          <w:p w14:paraId="6E5CD1E9" w14:textId="0E2C9CC0" w:rsidR="00194E9B" w:rsidRPr="00566CE6" w:rsidRDefault="00F24D41">
            <w:pPr>
              <w:ind w:left="100"/>
            </w:pPr>
            <w:r>
              <w:rPr>
                <w:rFonts w:eastAsia="Times New Roman"/>
              </w:rPr>
              <w:t>0,</w:t>
            </w:r>
            <w:r w:rsidR="00194E9B" w:rsidRPr="00566CE6">
              <w:rPr>
                <w:rFonts w:eastAsia="Times New Roman"/>
              </w:rPr>
              <w:t xml:space="preserve">15 </w:t>
            </w:r>
            <w:r>
              <w:rPr>
                <w:rFonts w:eastAsia="Times New Roman"/>
              </w:rPr>
              <w:t>на</w:t>
            </w:r>
            <w:r w:rsidR="00194E9B" w:rsidRPr="00566CE6">
              <w:rPr>
                <w:rFonts w:eastAsia="Times New Roman"/>
              </w:rPr>
              <w:t xml:space="preserve"> 100 </w:t>
            </w:r>
            <w:r w:rsidR="002A7BFF" w:rsidRPr="002A7BFF">
              <w:rPr>
                <w:rFonts w:eastAsia="Times New Roman"/>
              </w:rPr>
              <w:t xml:space="preserve">пациентогодини </w:t>
            </w:r>
            <w:r w:rsidR="00194E9B" w:rsidRPr="00566CE6">
              <w:rPr>
                <w:rFonts w:eastAsia="Times New Roman"/>
              </w:rPr>
              <w:t>**</w:t>
            </w:r>
          </w:p>
        </w:tc>
      </w:tr>
      <w:tr w:rsidR="00194E9B" w:rsidRPr="00566CE6" w14:paraId="25312A3C" w14:textId="77777777" w:rsidTr="004B3035">
        <w:trPr>
          <w:trHeight w:val="20"/>
        </w:trPr>
        <w:tc>
          <w:tcPr>
            <w:tcW w:w="4198" w:type="dxa"/>
            <w:vMerge/>
          </w:tcPr>
          <w:p w14:paraId="47432237" w14:textId="77777777" w:rsidR="00194E9B" w:rsidRPr="00566CE6" w:rsidRDefault="00194E9B" w:rsidP="00194E9B">
            <w:pPr>
              <w:ind w:left="100"/>
              <w:rPr>
                <w:rFonts w:eastAsia="Times New Roman"/>
              </w:rPr>
            </w:pPr>
          </w:p>
        </w:tc>
        <w:tc>
          <w:tcPr>
            <w:tcW w:w="2410" w:type="dxa"/>
          </w:tcPr>
          <w:p w14:paraId="75848140" w14:textId="57150F93" w:rsidR="00194E9B" w:rsidRPr="00566CE6" w:rsidRDefault="00F24D41" w:rsidP="00194E9B">
            <w:pPr>
              <w:ind w:left="100"/>
              <w:rPr>
                <w:rFonts w:eastAsia="Times New Roman"/>
              </w:rPr>
            </w:pPr>
            <w:r>
              <w:rPr>
                <w:rFonts w:eastAsia="Times New Roman"/>
              </w:rPr>
              <w:t>8,38 на</w:t>
            </w:r>
            <w:r w:rsidR="00194E9B" w:rsidRPr="002E2F19">
              <w:rPr>
                <w:rFonts w:eastAsia="Times New Roman"/>
              </w:rPr>
              <w:t xml:space="preserve"> 100 </w:t>
            </w:r>
            <w:r w:rsidR="002A7BFF" w:rsidRPr="002A7BFF">
              <w:rPr>
                <w:rFonts w:eastAsia="Times New Roman"/>
              </w:rPr>
              <w:t xml:space="preserve">пациентогодини </w:t>
            </w:r>
            <w:r w:rsidR="000326A8" w:rsidRPr="000326A8">
              <w:rPr>
                <w:rFonts w:eastAsia="Times New Roman"/>
                <w:vertAlign w:val="superscript"/>
              </w:rPr>
              <w:t>#</w:t>
            </w:r>
          </w:p>
        </w:tc>
        <w:tc>
          <w:tcPr>
            <w:tcW w:w="2693" w:type="dxa"/>
          </w:tcPr>
          <w:p w14:paraId="775F7C51" w14:textId="26CE4EF9" w:rsidR="00194E9B" w:rsidRPr="00566CE6" w:rsidRDefault="00F24D41" w:rsidP="00194E9B">
            <w:pPr>
              <w:ind w:left="100"/>
              <w:rPr>
                <w:rFonts w:eastAsia="Times New Roman"/>
              </w:rPr>
            </w:pPr>
            <w:r>
              <w:rPr>
                <w:rFonts w:eastAsia="Times New Roman"/>
              </w:rPr>
              <w:t>0,74 на</w:t>
            </w:r>
            <w:r w:rsidR="00194E9B" w:rsidRPr="002E2F19">
              <w:rPr>
                <w:rFonts w:eastAsia="Times New Roman"/>
              </w:rPr>
              <w:t xml:space="preserve"> 100 </w:t>
            </w:r>
            <w:r w:rsidR="002A7BFF" w:rsidRPr="002A7BFF">
              <w:rPr>
                <w:rFonts w:eastAsia="Times New Roman"/>
              </w:rPr>
              <w:t xml:space="preserve">пациентогодини </w:t>
            </w:r>
            <w:r w:rsidR="00194E9B">
              <w:rPr>
                <w:rFonts w:eastAsia="Times New Roman"/>
              </w:rPr>
              <w:t xml:space="preserve">*** </w:t>
            </w:r>
            <w:r w:rsidR="00194E9B">
              <w:rPr>
                <w:rFonts w:eastAsia="Times New Roman"/>
                <w:vertAlign w:val="superscript"/>
              </w:rPr>
              <w:t>#</w:t>
            </w:r>
          </w:p>
        </w:tc>
      </w:tr>
    </w:tbl>
    <w:p w14:paraId="30E69AF7" w14:textId="4400B801" w:rsidR="004762C7" w:rsidRPr="00971A1D" w:rsidRDefault="00194E9B" w:rsidP="00F24D41">
      <w:pPr>
        <w:tabs>
          <w:tab w:val="left" w:pos="708"/>
        </w:tabs>
        <w:ind w:left="708" w:right="-3" w:hanging="562"/>
        <w:rPr>
          <w:rFonts w:eastAsia="Times New Roman"/>
        </w:rPr>
      </w:pPr>
      <w:r w:rsidRPr="00194E9B">
        <w:rPr>
          <w:rFonts w:eastAsia="Times New Roman"/>
        </w:rPr>
        <w:t>*</w:t>
      </w:r>
      <w:r w:rsidR="00F24D41">
        <w:rPr>
          <w:rFonts w:eastAsia="Times New Roman"/>
        </w:rPr>
        <w:tab/>
      </w:r>
      <w:r w:rsidR="00F24D41" w:rsidRPr="00971A1D">
        <w:rPr>
          <w:rFonts w:eastAsia="Times New Roman"/>
        </w:rPr>
        <w:t xml:space="preserve">Всички събития на кървене от всички проучвания с ривароксабан са събрани, докладвани и </w:t>
      </w:r>
      <w:r w:rsidR="00F24D41" w:rsidRPr="00971A1D">
        <w:rPr>
          <w:rFonts w:eastAsia="Times New Roman"/>
          <w:lang w:val="bg-BG"/>
        </w:rPr>
        <w:t xml:space="preserve"> </w:t>
      </w:r>
      <w:r w:rsidR="00F24D41" w:rsidRPr="00971A1D">
        <w:rPr>
          <w:rFonts w:eastAsia="Times New Roman"/>
        </w:rPr>
        <w:t>оценени.</w:t>
      </w:r>
    </w:p>
    <w:p w14:paraId="19D3BE30" w14:textId="0D9B660D" w:rsidR="004762C7" w:rsidRPr="00971A1D" w:rsidRDefault="00194E9B" w:rsidP="00F24D41">
      <w:pPr>
        <w:tabs>
          <w:tab w:val="left" w:pos="707"/>
        </w:tabs>
        <w:ind w:left="706" w:right="-3" w:hanging="560"/>
        <w:rPr>
          <w:rFonts w:eastAsia="Times New Roman"/>
        </w:rPr>
      </w:pPr>
      <w:r w:rsidRPr="00971A1D">
        <w:rPr>
          <w:rFonts w:eastAsia="Times New Roman"/>
        </w:rPr>
        <w:t xml:space="preserve">** </w:t>
      </w:r>
      <w:r w:rsidR="00F24D41" w:rsidRPr="00971A1D">
        <w:rPr>
          <w:rFonts w:eastAsia="Times New Roman"/>
        </w:rPr>
        <w:tab/>
        <w:t>В проучването COMPASS се наблюдава ниска честота на анемия, тъй като е приложен селективен подход за събиране на нежелани събития.</w:t>
      </w:r>
    </w:p>
    <w:p w14:paraId="4BE2E772" w14:textId="1DA6C609" w:rsidR="00194E9B" w:rsidRPr="00971A1D" w:rsidRDefault="00194E9B" w:rsidP="00F75C5C">
      <w:pPr>
        <w:tabs>
          <w:tab w:val="left" w:pos="707"/>
        </w:tabs>
        <w:ind w:left="146" w:right="-3"/>
        <w:rPr>
          <w:rFonts w:eastAsia="Times New Roman"/>
        </w:rPr>
      </w:pPr>
      <w:r w:rsidRPr="00971A1D">
        <w:rPr>
          <w:rFonts w:eastAsia="Times New Roman"/>
        </w:rPr>
        <w:t xml:space="preserve">*** </w:t>
      </w:r>
      <w:r w:rsidR="00F24D41" w:rsidRPr="00971A1D">
        <w:rPr>
          <w:rFonts w:eastAsia="Times New Roman"/>
        </w:rPr>
        <w:tab/>
        <w:t>Приложен е селективен подход за събиране нежелани събития</w:t>
      </w:r>
    </w:p>
    <w:p w14:paraId="6E074880" w14:textId="607D604E" w:rsidR="00194E9B" w:rsidRPr="00971A1D" w:rsidRDefault="00194E9B" w:rsidP="00F75C5C">
      <w:pPr>
        <w:tabs>
          <w:tab w:val="left" w:pos="707"/>
        </w:tabs>
        <w:ind w:left="146" w:right="-3"/>
        <w:rPr>
          <w:rFonts w:eastAsia="Times New Roman"/>
        </w:rPr>
      </w:pPr>
      <w:r w:rsidRPr="00971A1D">
        <w:rPr>
          <w:rFonts w:eastAsia="Times New Roman"/>
          <w:vertAlign w:val="superscript"/>
        </w:rPr>
        <w:t xml:space="preserve"># </w:t>
      </w:r>
      <w:r w:rsidR="00F24D41" w:rsidRPr="00971A1D">
        <w:rPr>
          <w:rFonts w:eastAsia="Times New Roman"/>
        </w:rPr>
        <w:tab/>
      </w:r>
      <w:r w:rsidR="00F24D41" w:rsidRPr="00971A1D">
        <w:t>От проучването VOYAGER PAD</w:t>
      </w:r>
    </w:p>
    <w:p w14:paraId="6B3403B6" w14:textId="77777777" w:rsidR="004762C7" w:rsidRPr="00566CE6" w:rsidRDefault="004762C7" w:rsidP="004B3035"/>
    <w:p w14:paraId="3508A441" w14:textId="77777777" w:rsidR="00F24D41" w:rsidRPr="00F24D41" w:rsidRDefault="00F24D41" w:rsidP="00F24D41">
      <w:pPr>
        <w:autoSpaceDE w:val="0"/>
        <w:autoSpaceDN w:val="0"/>
        <w:adjustRightInd w:val="0"/>
        <w:rPr>
          <w:rFonts w:ascii="ZWAdobeF" w:hAnsi="ZWAdobeF" w:cs="ZWAdobeF"/>
          <w:color w:val="000000"/>
          <w:u w:val="single"/>
          <w:lang w:val="bg-BG"/>
        </w:rPr>
      </w:pPr>
      <w:r w:rsidRPr="00F24D41">
        <w:rPr>
          <w:rFonts w:ascii="ZWAdobeF" w:hAnsi="ZWAdobeF" w:cs="ZWAdobeF"/>
          <w:color w:val="000000"/>
          <w:sz w:val="2"/>
          <w:szCs w:val="2"/>
          <w:u w:val="single"/>
          <w:lang w:val="bg-BG"/>
        </w:rPr>
        <w:t>U</w:t>
      </w:r>
      <w:r w:rsidRPr="00F24D41">
        <w:rPr>
          <w:color w:val="000000"/>
          <w:u w:val="single"/>
          <w:lang w:val="bg-BG"/>
        </w:rPr>
        <w:t xml:space="preserve">Списък на нежелани реакции в табличен вид </w:t>
      </w:r>
    </w:p>
    <w:p w14:paraId="27921C9E" w14:textId="21FF3C96" w:rsidR="00F24D41" w:rsidRDefault="00F24D41" w:rsidP="00F24D41">
      <w:pPr>
        <w:autoSpaceDE w:val="0"/>
        <w:autoSpaceDN w:val="0"/>
        <w:adjustRightInd w:val="0"/>
        <w:rPr>
          <w:color w:val="000000"/>
          <w:lang w:val="bg-BG"/>
        </w:rPr>
      </w:pPr>
      <w:r w:rsidRPr="00F24D41">
        <w:rPr>
          <w:color w:val="000000"/>
          <w:lang w:val="bg-BG"/>
        </w:rPr>
        <w:t xml:space="preserve">Честотите на нежеланите реакции, свързани с </w:t>
      </w:r>
      <w:r w:rsidR="00971A1D">
        <w:rPr>
          <w:lang w:val="bg-BG"/>
        </w:rPr>
        <w:t>ривароксабан</w:t>
      </w:r>
      <w:r w:rsidRPr="00F24D41">
        <w:rPr>
          <w:color w:val="000000"/>
          <w:lang w:val="bg-BG"/>
        </w:rPr>
        <w:t xml:space="preserve">, при възрастни и педиатрични пациенти са обобщени в Таблица 3 по-долу по системно-органни класове (по MedDRA) и по честота. </w:t>
      </w:r>
    </w:p>
    <w:p w14:paraId="75F00754" w14:textId="77777777" w:rsidR="00F24D41" w:rsidRPr="00F24D41" w:rsidRDefault="00F24D41" w:rsidP="00F24D41">
      <w:pPr>
        <w:autoSpaceDE w:val="0"/>
        <w:autoSpaceDN w:val="0"/>
        <w:adjustRightInd w:val="0"/>
        <w:rPr>
          <w:color w:val="000000"/>
        </w:rPr>
      </w:pPr>
    </w:p>
    <w:p w14:paraId="2B60AC6C" w14:textId="77777777" w:rsidR="00F24D41" w:rsidRPr="00F24D41" w:rsidRDefault="00F24D41" w:rsidP="00F24D41">
      <w:pPr>
        <w:autoSpaceDE w:val="0"/>
        <w:autoSpaceDN w:val="0"/>
        <w:adjustRightInd w:val="0"/>
        <w:rPr>
          <w:color w:val="000000"/>
          <w:lang w:val="bg-BG"/>
        </w:rPr>
      </w:pPr>
      <w:r w:rsidRPr="00F24D41">
        <w:rPr>
          <w:color w:val="000000"/>
          <w:lang w:val="bg-BG"/>
        </w:rPr>
        <w:t xml:space="preserve">В зависимост от честотата те се определят като: </w:t>
      </w:r>
    </w:p>
    <w:p w14:paraId="36C3689A" w14:textId="77777777" w:rsidR="00F24D41" w:rsidRPr="00F24D41" w:rsidRDefault="00F24D41" w:rsidP="00F24D41">
      <w:pPr>
        <w:autoSpaceDE w:val="0"/>
        <w:autoSpaceDN w:val="0"/>
        <w:adjustRightInd w:val="0"/>
        <w:rPr>
          <w:color w:val="000000"/>
          <w:lang w:val="bg-BG"/>
        </w:rPr>
      </w:pPr>
      <w:r w:rsidRPr="00F24D41">
        <w:rPr>
          <w:color w:val="000000"/>
          <w:lang w:val="bg-BG"/>
        </w:rPr>
        <w:t xml:space="preserve">много чести (≥ 1/10) </w:t>
      </w:r>
    </w:p>
    <w:p w14:paraId="0190ACB9" w14:textId="77777777" w:rsidR="00F24D41" w:rsidRPr="00F24D41" w:rsidRDefault="00F24D41" w:rsidP="00F24D41">
      <w:pPr>
        <w:autoSpaceDE w:val="0"/>
        <w:autoSpaceDN w:val="0"/>
        <w:adjustRightInd w:val="0"/>
        <w:rPr>
          <w:color w:val="000000"/>
          <w:lang w:val="bg-BG"/>
        </w:rPr>
      </w:pPr>
      <w:r w:rsidRPr="00F24D41">
        <w:rPr>
          <w:color w:val="000000"/>
          <w:lang w:val="bg-BG"/>
        </w:rPr>
        <w:t xml:space="preserve">чести (≥ 1/100 до &lt; 1/10) </w:t>
      </w:r>
    </w:p>
    <w:p w14:paraId="263EE157" w14:textId="77777777" w:rsidR="00F24D41" w:rsidRPr="00F24D41" w:rsidRDefault="00F24D41" w:rsidP="00F24D41">
      <w:pPr>
        <w:autoSpaceDE w:val="0"/>
        <w:autoSpaceDN w:val="0"/>
        <w:adjustRightInd w:val="0"/>
        <w:rPr>
          <w:color w:val="000000"/>
          <w:lang w:val="bg-BG"/>
        </w:rPr>
      </w:pPr>
      <w:r w:rsidRPr="00F24D41">
        <w:rPr>
          <w:color w:val="000000"/>
          <w:lang w:val="bg-BG"/>
        </w:rPr>
        <w:t xml:space="preserve">нечести (≥ 1/1 000 до &lt; 1/100) </w:t>
      </w:r>
    </w:p>
    <w:p w14:paraId="72268972" w14:textId="77777777" w:rsidR="00B13A76" w:rsidRDefault="00F24D41" w:rsidP="00F24D41">
      <w:pPr>
        <w:ind w:left="40"/>
        <w:rPr>
          <w:color w:val="000000"/>
          <w:lang w:val="bg-BG"/>
        </w:rPr>
      </w:pPr>
      <w:r w:rsidRPr="00F24D41">
        <w:rPr>
          <w:color w:val="000000"/>
          <w:lang w:val="bg-BG"/>
        </w:rPr>
        <w:t>редки (≥ 1/10 000 до &lt; 1 /1 000)</w:t>
      </w:r>
    </w:p>
    <w:p w14:paraId="7B4A938C" w14:textId="77777777" w:rsidR="00B13A76" w:rsidRDefault="00B13A76" w:rsidP="00B13A76">
      <w:pPr>
        <w:pStyle w:val="Default"/>
        <w:rPr>
          <w:sz w:val="22"/>
          <w:szCs w:val="22"/>
        </w:rPr>
      </w:pPr>
      <w:r>
        <w:rPr>
          <w:sz w:val="22"/>
          <w:szCs w:val="22"/>
        </w:rPr>
        <w:t xml:space="preserve">много редки (&lt; 1/10 000) </w:t>
      </w:r>
    </w:p>
    <w:p w14:paraId="457F59DF" w14:textId="0B140DAF" w:rsidR="004762C7" w:rsidRPr="00566CE6" w:rsidRDefault="00B13A76" w:rsidP="00B13A76">
      <w:r>
        <w:t>с неизвестна честота (от наличните данни не може да бъде направена оценка)</w:t>
      </w:r>
      <w:r w:rsidR="00F24D41" w:rsidRPr="00F24D41">
        <w:rPr>
          <w:color w:val="000000"/>
          <w:lang w:val="bg-BG"/>
        </w:rPr>
        <w:t xml:space="preserve"> </w:t>
      </w:r>
    </w:p>
    <w:p w14:paraId="2AA2B9EF" w14:textId="1B5DA41B" w:rsidR="004762C7" w:rsidRPr="00566CE6" w:rsidRDefault="004762C7">
      <w:pPr>
        <w:ind w:left="40"/>
      </w:pPr>
    </w:p>
    <w:p w14:paraId="53B104BF" w14:textId="77777777" w:rsidR="00FE08CF" w:rsidRDefault="00FE08CF" w:rsidP="004B3035">
      <w:pPr>
        <w:ind w:left="40" w:right="380"/>
        <w:rPr>
          <w:rFonts w:eastAsia="Times New Roman"/>
          <w:b/>
          <w:bCs/>
        </w:rPr>
      </w:pPr>
    </w:p>
    <w:p w14:paraId="450AC8C2" w14:textId="65ED965D" w:rsidR="00B13A76" w:rsidRDefault="00B13A76" w:rsidP="00971A1D">
      <w:pPr>
        <w:ind w:left="40" w:right="-304"/>
        <w:rPr>
          <w:rFonts w:eastAsia="Times New Roman"/>
          <w:b/>
          <w:bCs/>
        </w:rPr>
      </w:pPr>
      <w:r w:rsidRPr="00B13A76">
        <w:rPr>
          <w:rFonts w:eastAsia="Times New Roman"/>
          <w:b/>
          <w:bCs/>
        </w:rPr>
        <w:lastRenderedPageBreak/>
        <w:t>Таблица 3: Всички нежелани реакции, съобщени при възрастни пациенти в клинични проучвания фаза ІІІ или при постмаркетингова употреба* и в две проучвания фаза II и едно проучване фаза III при педиатрични пациенти</w:t>
      </w:r>
    </w:p>
    <w:p w14:paraId="66AE6452" w14:textId="77777777" w:rsidR="00971A1D" w:rsidRPr="00971A1D" w:rsidRDefault="00971A1D" w:rsidP="00971A1D">
      <w:pPr>
        <w:ind w:left="40" w:right="-304"/>
        <w:rPr>
          <w:rFonts w:eastAsia="Times New Roman"/>
          <w:b/>
          <w:bCs/>
        </w:rPr>
      </w:pPr>
    </w:p>
    <w:tbl>
      <w:tblPr>
        <w:tblW w:w="9356" w:type="dxa"/>
        <w:tblInd w:w="-10" w:type="dxa"/>
        <w:tblLayout w:type="fixed"/>
        <w:tblCellMar>
          <w:left w:w="0" w:type="dxa"/>
          <w:right w:w="0" w:type="dxa"/>
        </w:tblCellMar>
        <w:tblLook w:val="04A0" w:firstRow="1" w:lastRow="0" w:firstColumn="1" w:lastColumn="0" w:noHBand="0" w:noVBand="1"/>
      </w:tblPr>
      <w:tblGrid>
        <w:gridCol w:w="1859"/>
        <w:gridCol w:w="79"/>
        <w:gridCol w:w="46"/>
        <w:gridCol w:w="1702"/>
        <w:gridCol w:w="1838"/>
        <w:gridCol w:w="1818"/>
        <w:gridCol w:w="22"/>
        <w:gridCol w:w="1992"/>
      </w:tblGrid>
      <w:tr w:rsidR="00ED2002" w:rsidRPr="00566CE6" w14:paraId="7EC20315" w14:textId="77777777" w:rsidTr="00F5692F">
        <w:trPr>
          <w:trHeight w:val="223"/>
        </w:trPr>
        <w:tc>
          <w:tcPr>
            <w:tcW w:w="1859" w:type="dxa"/>
            <w:tcBorders>
              <w:top w:val="single" w:sz="8" w:space="0" w:color="auto"/>
              <w:left w:val="single" w:sz="8" w:space="0" w:color="auto"/>
              <w:bottom w:val="single" w:sz="8" w:space="0" w:color="auto"/>
              <w:right w:val="single" w:sz="8" w:space="0" w:color="auto"/>
            </w:tcBorders>
          </w:tcPr>
          <w:p w14:paraId="5899F782" w14:textId="7B16AA34" w:rsidR="00ED2002" w:rsidRPr="00B13A76" w:rsidRDefault="00B13A76" w:rsidP="004B3035">
            <w:pPr>
              <w:ind w:left="40"/>
              <w:rPr>
                <w:lang w:val="bg-BG"/>
              </w:rPr>
            </w:pPr>
            <w:r>
              <w:rPr>
                <w:rFonts w:eastAsia="Times New Roman"/>
                <w:b/>
                <w:bCs/>
                <w:lang w:val="bg-BG"/>
              </w:rPr>
              <w:t>Чести</w:t>
            </w:r>
          </w:p>
        </w:tc>
        <w:tc>
          <w:tcPr>
            <w:tcW w:w="1827" w:type="dxa"/>
            <w:gridSpan w:val="3"/>
            <w:tcBorders>
              <w:top w:val="single" w:sz="8" w:space="0" w:color="auto"/>
              <w:bottom w:val="single" w:sz="8" w:space="0" w:color="auto"/>
              <w:right w:val="single" w:sz="8" w:space="0" w:color="auto"/>
            </w:tcBorders>
          </w:tcPr>
          <w:p w14:paraId="25B918AF" w14:textId="51F55501" w:rsidR="00ED2002" w:rsidRPr="00566CE6" w:rsidRDefault="00B13A76" w:rsidP="004B3035">
            <w:pPr>
              <w:ind w:left="20"/>
            </w:pPr>
            <w:r>
              <w:rPr>
                <w:rFonts w:eastAsia="Times New Roman"/>
                <w:b/>
                <w:bCs/>
              </w:rPr>
              <w:t>Нечести</w:t>
            </w:r>
          </w:p>
        </w:tc>
        <w:tc>
          <w:tcPr>
            <w:tcW w:w="1838" w:type="dxa"/>
            <w:tcBorders>
              <w:top w:val="single" w:sz="8" w:space="0" w:color="auto"/>
              <w:bottom w:val="single" w:sz="8" w:space="0" w:color="auto"/>
              <w:right w:val="single" w:sz="8" w:space="0" w:color="auto"/>
            </w:tcBorders>
          </w:tcPr>
          <w:p w14:paraId="48F4BEFA" w14:textId="472C3BA9" w:rsidR="00ED2002" w:rsidRPr="00B13A76" w:rsidRDefault="00B13A76">
            <w:pPr>
              <w:rPr>
                <w:lang w:val="bg-BG"/>
              </w:rPr>
            </w:pPr>
            <w:r>
              <w:rPr>
                <w:rFonts w:eastAsia="Times New Roman"/>
                <w:b/>
                <w:bCs/>
                <w:lang w:val="bg-BG"/>
              </w:rPr>
              <w:t>Редки</w:t>
            </w:r>
          </w:p>
        </w:tc>
        <w:tc>
          <w:tcPr>
            <w:tcW w:w="1818" w:type="dxa"/>
            <w:tcBorders>
              <w:top w:val="single" w:sz="8" w:space="0" w:color="auto"/>
              <w:bottom w:val="single" w:sz="8" w:space="0" w:color="auto"/>
              <w:right w:val="single" w:sz="8" w:space="0" w:color="auto"/>
            </w:tcBorders>
          </w:tcPr>
          <w:p w14:paraId="704F48A5" w14:textId="16DAB448" w:rsidR="00ED2002" w:rsidRPr="00B13A76" w:rsidRDefault="00B13A76" w:rsidP="004B3035">
            <w:pPr>
              <w:ind w:left="20"/>
              <w:rPr>
                <w:lang w:val="bg-BG"/>
              </w:rPr>
            </w:pPr>
            <w:r>
              <w:rPr>
                <w:rFonts w:eastAsia="Times New Roman"/>
                <w:b/>
                <w:bCs/>
                <w:lang w:val="bg-BG"/>
              </w:rPr>
              <w:t>Много редки</w:t>
            </w:r>
          </w:p>
        </w:tc>
        <w:tc>
          <w:tcPr>
            <w:tcW w:w="2014" w:type="dxa"/>
            <w:gridSpan w:val="2"/>
            <w:tcBorders>
              <w:top w:val="single" w:sz="8" w:space="0" w:color="auto"/>
              <w:bottom w:val="single" w:sz="8" w:space="0" w:color="auto"/>
              <w:right w:val="single" w:sz="8" w:space="0" w:color="auto"/>
            </w:tcBorders>
          </w:tcPr>
          <w:p w14:paraId="2CA2DB40" w14:textId="08F7158E" w:rsidR="00ED2002" w:rsidRPr="00B13A76" w:rsidRDefault="00B13A76" w:rsidP="004B3035">
            <w:pPr>
              <w:ind w:left="20"/>
              <w:rPr>
                <w:lang w:val="bg-BG"/>
              </w:rPr>
            </w:pPr>
            <w:r>
              <w:rPr>
                <w:rFonts w:eastAsia="Times New Roman"/>
                <w:b/>
                <w:bCs/>
                <w:lang w:val="bg-BG"/>
              </w:rPr>
              <w:t>С неизвестна честота</w:t>
            </w:r>
          </w:p>
        </w:tc>
      </w:tr>
      <w:tr w:rsidR="008104F6" w:rsidRPr="00566CE6" w14:paraId="0AF07BFB" w14:textId="77777777" w:rsidTr="004B3035">
        <w:trPr>
          <w:trHeight w:val="243"/>
        </w:trPr>
        <w:tc>
          <w:tcPr>
            <w:tcW w:w="9356" w:type="dxa"/>
            <w:gridSpan w:val="8"/>
            <w:tcBorders>
              <w:left w:val="single" w:sz="8" w:space="0" w:color="auto"/>
              <w:bottom w:val="single" w:sz="8" w:space="0" w:color="auto"/>
              <w:right w:val="single" w:sz="8" w:space="0" w:color="auto"/>
            </w:tcBorders>
          </w:tcPr>
          <w:p w14:paraId="3A8FB77D" w14:textId="77777777" w:rsidR="00B13A76" w:rsidRDefault="00B13A76" w:rsidP="00B13A76">
            <w:pPr>
              <w:pStyle w:val="Default"/>
            </w:pPr>
            <w:r>
              <w:rPr>
                <w:b/>
                <w:bCs/>
                <w:sz w:val="22"/>
                <w:szCs w:val="22"/>
              </w:rPr>
              <w:t xml:space="preserve">Нарушения на кръвта и лимфната система </w:t>
            </w:r>
          </w:p>
          <w:p w14:paraId="556125B5" w14:textId="511B3612" w:rsidR="008104F6" w:rsidRPr="00566CE6" w:rsidRDefault="008104F6" w:rsidP="004B3035">
            <w:pPr>
              <w:ind w:left="40"/>
            </w:pPr>
          </w:p>
        </w:tc>
      </w:tr>
      <w:tr w:rsidR="00ED2002" w:rsidRPr="00566CE6" w14:paraId="5C2AC109" w14:textId="77777777" w:rsidTr="00F5692F">
        <w:trPr>
          <w:trHeight w:val="1197"/>
        </w:trPr>
        <w:tc>
          <w:tcPr>
            <w:tcW w:w="1859" w:type="dxa"/>
            <w:tcBorders>
              <w:left w:val="single" w:sz="8" w:space="0" w:color="auto"/>
              <w:bottom w:val="single" w:sz="4" w:space="0" w:color="auto"/>
              <w:right w:val="single" w:sz="8" w:space="0" w:color="auto"/>
            </w:tcBorders>
          </w:tcPr>
          <w:p w14:paraId="2A41AA66" w14:textId="5CA5C200" w:rsidR="00ED2002" w:rsidRPr="00566CE6" w:rsidRDefault="00B13A76">
            <w:pPr>
              <w:ind w:left="40"/>
            </w:pPr>
            <w:r w:rsidRPr="00B13A76">
              <w:rPr>
                <w:rFonts w:eastAsia="Times New Roman"/>
              </w:rPr>
              <w:t>Анемия (вкл. съответни лабораторни параметри)</w:t>
            </w:r>
          </w:p>
        </w:tc>
        <w:tc>
          <w:tcPr>
            <w:tcW w:w="1827" w:type="dxa"/>
            <w:gridSpan w:val="3"/>
            <w:tcBorders>
              <w:bottom w:val="single" w:sz="4" w:space="0" w:color="auto"/>
              <w:right w:val="single" w:sz="8" w:space="0" w:color="auto"/>
            </w:tcBorders>
          </w:tcPr>
          <w:p w14:paraId="67877658" w14:textId="1289EF34" w:rsidR="00B13A76" w:rsidRDefault="00B13A76" w:rsidP="00B13A76">
            <w:pPr>
              <w:pStyle w:val="Default"/>
            </w:pPr>
            <w:r>
              <w:rPr>
                <w:sz w:val="22"/>
                <w:szCs w:val="22"/>
              </w:rPr>
              <w:t>Тромбоцитоза (вкл. повишаване на броя на тромбоцитите)</w:t>
            </w:r>
            <w:r>
              <w:rPr>
                <w:rFonts w:ascii="ZWAdobeF" w:hAnsi="ZWAdobeF" w:cs="ZWAdobeF"/>
                <w:sz w:val="2"/>
                <w:szCs w:val="2"/>
              </w:rPr>
              <w:t>P</w:t>
            </w:r>
            <w:r w:rsidRPr="00B13A76">
              <w:rPr>
                <w:sz w:val="14"/>
                <w:szCs w:val="14"/>
                <w:vertAlign w:val="superscript"/>
              </w:rPr>
              <w:t>A</w:t>
            </w:r>
            <w:r>
              <w:rPr>
                <w:sz w:val="22"/>
                <w:szCs w:val="22"/>
              </w:rPr>
              <w:t xml:space="preserve">, тромбоцитопения </w:t>
            </w:r>
          </w:p>
          <w:p w14:paraId="34364F1E" w14:textId="59CB8913" w:rsidR="00ED2002" w:rsidRPr="00566CE6" w:rsidRDefault="00ED2002">
            <w:pPr>
              <w:ind w:left="20"/>
            </w:pPr>
          </w:p>
        </w:tc>
        <w:tc>
          <w:tcPr>
            <w:tcW w:w="1838" w:type="dxa"/>
            <w:tcBorders>
              <w:bottom w:val="single" w:sz="4" w:space="0" w:color="auto"/>
              <w:right w:val="single" w:sz="8" w:space="0" w:color="auto"/>
            </w:tcBorders>
          </w:tcPr>
          <w:p w14:paraId="2285EF31" w14:textId="77777777" w:rsidR="00ED2002" w:rsidRPr="00566CE6" w:rsidRDefault="00ED2002"/>
        </w:tc>
        <w:tc>
          <w:tcPr>
            <w:tcW w:w="1818" w:type="dxa"/>
            <w:tcBorders>
              <w:left w:val="single" w:sz="8" w:space="0" w:color="auto"/>
              <w:bottom w:val="single" w:sz="4" w:space="0" w:color="auto"/>
              <w:right w:val="single" w:sz="8" w:space="0" w:color="auto"/>
            </w:tcBorders>
          </w:tcPr>
          <w:p w14:paraId="0735F49C" w14:textId="77777777" w:rsidR="00ED2002" w:rsidRPr="00566CE6" w:rsidRDefault="00ED2002"/>
        </w:tc>
        <w:tc>
          <w:tcPr>
            <w:tcW w:w="2014" w:type="dxa"/>
            <w:gridSpan w:val="2"/>
            <w:tcBorders>
              <w:bottom w:val="single" w:sz="4" w:space="0" w:color="auto"/>
              <w:right w:val="single" w:sz="8" w:space="0" w:color="auto"/>
            </w:tcBorders>
          </w:tcPr>
          <w:p w14:paraId="3BF5B4ED" w14:textId="77777777" w:rsidR="00ED2002" w:rsidRPr="00566CE6" w:rsidRDefault="00ED2002"/>
        </w:tc>
      </w:tr>
      <w:tr w:rsidR="00ED2002" w:rsidRPr="00566CE6" w14:paraId="7B580B9F" w14:textId="77777777" w:rsidTr="004B3035">
        <w:trPr>
          <w:trHeight w:val="243"/>
        </w:trPr>
        <w:tc>
          <w:tcPr>
            <w:tcW w:w="9356" w:type="dxa"/>
            <w:gridSpan w:val="8"/>
            <w:tcBorders>
              <w:top w:val="single" w:sz="4" w:space="0" w:color="auto"/>
              <w:left w:val="single" w:sz="8" w:space="0" w:color="auto"/>
              <w:bottom w:val="single" w:sz="8" w:space="0" w:color="auto"/>
              <w:right w:val="single" w:sz="8" w:space="0" w:color="auto"/>
            </w:tcBorders>
          </w:tcPr>
          <w:p w14:paraId="6F3C6769" w14:textId="0DFF23F6" w:rsidR="00ED2002" w:rsidRPr="00566CE6" w:rsidRDefault="00B13A76">
            <w:r w:rsidRPr="00B13A76">
              <w:rPr>
                <w:rFonts w:eastAsia="Times New Roman"/>
                <w:b/>
                <w:bCs/>
              </w:rPr>
              <w:t>Нарушения на имунната система</w:t>
            </w:r>
          </w:p>
        </w:tc>
      </w:tr>
      <w:tr w:rsidR="00ED2002" w:rsidRPr="00566CE6" w14:paraId="2A711666" w14:textId="77777777" w:rsidTr="00F5692F">
        <w:trPr>
          <w:trHeight w:val="1275"/>
        </w:trPr>
        <w:tc>
          <w:tcPr>
            <w:tcW w:w="1859" w:type="dxa"/>
            <w:tcBorders>
              <w:left w:val="single" w:sz="8" w:space="0" w:color="auto"/>
              <w:bottom w:val="single" w:sz="4" w:space="0" w:color="auto"/>
              <w:right w:val="single" w:sz="8" w:space="0" w:color="auto"/>
            </w:tcBorders>
          </w:tcPr>
          <w:p w14:paraId="7BC2C2ED" w14:textId="77777777" w:rsidR="00ED2002" w:rsidRPr="00566CE6" w:rsidRDefault="00ED2002"/>
        </w:tc>
        <w:tc>
          <w:tcPr>
            <w:tcW w:w="1827" w:type="dxa"/>
            <w:gridSpan w:val="3"/>
            <w:tcBorders>
              <w:bottom w:val="single" w:sz="4" w:space="0" w:color="auto"/>
              <w:right w:val="single" w:sz="8" w:space="0" w:color="auto"/>
            </w:tcBorders>
          </w:tcPr>
          <w:p w14:paraId="6ADC7496" w14:textId="77777777" w:rsidR="00B13A76" w:rsidRDefault="00B13A76" w:rsidP="00B13A76">
            <w:pPr>
              <w:pStyle w:val="Default"/>
            </w:pPr>
            <w:r>
              <w:rPr>
                <w:sz w:val="22"/>
                <w:szCs w:val="22"/>
              </w:rPr>
              <w:t xml:space="preserve">Алергична реакция, алергичен дерматит, ангиоедем и алергичен оток </w:t>
            </w:r>
          </w:p>
          <w:p w14:paraId="76C57C59" w14:textId="22B0B474" w:rsidR="00ED2002" w:rsidRPr="00566CE6" w:rsidRDefault="00ED2002">
            <w:pPr>
              <w:ind w:left="20"/>
            </w:pPr>
          </w:p>
        </w:tc>
        <w:tc>
          <w:tcPr>
            <w:tcW w:w="1838" w:type="dxa"/>
            <w:tcBorders>
              <w:bottom w:val="single" w:sz="4" w:space="0" w:color="auto"/>
              <w:right w:val="single" w:sz="8" w:space="0" w:color="auto"/>
            </w:tcBorders>
          </w:tcPr>
          <w:p w14:paraId="11404B29" w14:textId="77777777" w:rsidR="00ED2002" w:rsidRPr="00566CE6" w:rsidRDefault="00ED2002"/>
        </w:tc>
        <w:tc>
          <w:tcPr>
            <w:tcW w:w="1818" w:type="dxa"/>
            <w:tcBorders>
              <w:left w:val="single" w:sz="8" w:space="0" w:color="auto"/>
              <w:bottom w:val="single" w:sz="4" w:space="0" w:color="auto"/>
              <w:right w:val="single" w:sz="8" w:space="0" w:color="auto"/>
            </w:tcBorders>
          </w:tcPr>
          <w:p w14:paraId="241BFF47" w14:textId="77777777" w:rsidR="00B13A76" w:rsidRDefault="00B13A76" w:rsidP="00B13A76">
            <w:pPr>
              <w:pStyle w:val="Default"/>
            </w:pPr>
            <w:r>
              <w:rPr>
                <w:sz w:val="22"/>
                <w:szCs w:val="22"/>
              </w:rPr>
              <w:t xml:space="preserve">Анафилактични реакции, включително анафилактичен шок </w:t>
            </w:r>
          </w:p>
          <w:p w14:paraId="0599DAE8" w14:textId="6BF41125" w:rsidR="00ED2002" w:rsidRPr="00566CE6" w:rsidRDefault="00ED2002">
            <w:pPr>
              <w:ind w:left="20"/>
            </w:pPr>
          </w:p>
        </w:tc>
        <w:tc>
          <w:tcPr>
            <w:tcW w:w="2014" w:type="dxa"/>
            <w:gridSpan w:val="2"/>
            <w:tcBorders>
              <w:bottom w:val="single" w:sz="4" w:space="0" w:color="auto"/>
              <w:right w:val="single" w:sz="8" w:space="0" w:color="auto"/>
            </w:tcBorders>
          </w:tcPr>
          <w:p w14:paraId="7A6FB49E" w14:textId="77777777" w:rsidR="00ED2002" w:rsidRPr="00566CE6" w:rsidRDefault="00ED2002"/>
        </w:tc>
      </w:tr>
      <w:tr w:rsidR="00ED2002" w:rsidRPr="00566CE6" w14:paraId="581D69A9" w14:textId="77777777" w:rsidTr="004B3035">
        <w:trPr>
          <w:trHeight w:val="243"/>
        </w:trPr>
        <w:tc>
          <w:tcPr>
            <w:tcW w:w="9356" w:type="dxa"/>
            <w:gridSpan w:val="8"/>
            <w:tcBorders>
              <w:top w:val="single" w:sz="4" w:space="0" w:color="auto"/>
              <w:left w:val="single" w:sz="8" w:space="0" w:color="auto"/>
              <w:bottom w:val="single" w:sz="4" w:space="0" w:color="auto"/>
              <w:right w:val="single" w:sz="8" w:space="0" w:color="auto"/>
            </w:tcBorders>
          </w:tcPr>
          <w:p w14:paraId="4F750A6A" w14:textId="21F7DC86" w:rsidR="00ED2002" w:rsidRPr="00566CE6" w:rsidRDefault="00B13A76">
            <w:r w:rsidRPr="00B13A76">
              <w:rPr>
                <w:rFonts w:eastAsia="Times New Roman"/>
                <w:b/>
                <w:bCs/>
              </w:rPr>
              <w:t>Нарушения на нервната система</w:t>
            </w:r>
          </w:p>
        </w:tc>
      </w:tr>
      <w:tr w:rsidR="00ED2002" w:rsidRPr="00566CE6" w14:paraId="245EF845" w14:textId="77777777" w:rsidTr="00F5692F">
        <w:trPr>
          <w:trHeight w:val="1177"/>
        </w:trPr>
        <w:tc>
          <w:tcPr>
            <w:tcW w:w="1859" w:type="dxa"/>
            <w:tcBorders>
              <w:top w:val="single" w:sz="4" w:space="0" w:color="auto"/>
              <w:left w:val="single" w:sz="8" w:space="0" w:color="auto"/>
              <w:bottom w:val="single" w:sz="4" w:space="0" w:color="auto"/>
              <w:right w:val="single" w:sz="8" w:space="0" w:color="auto"/>
            </w:tcBorders>
          </w:tcPr>
          <w:p w14:paraId="2B5544DA" w14:textId="77777777" w:rsidR="00B13A76" w:rsidRDefault="00B13A76" w:rsidP="00B13A76">
            <w:pPr>
              <w:pStyle w:val="Default"/>
            </w:pPr>
            <w:r>
              <w:rPr>
                <w:sz w:val="22"/>
                <w:szCs w:val="22"/>
              </w:rPr>
              <w:t xml:space="preserve">Замаяност, главоболие </w:t>
            </w:r>
          </w:p>
          <w:p w14:paraId="607ACB3E" w14:textId="0DCE839A" w:rsidR="00ED2002" w:rsidRPr="00566CE6" w:rsidRDefault="00ED2002">
            <w:pPr>
              <w:ind w:left="40"/>
            </w:pPr>
          </w:p>
        </w:tc>
        <w:tc>
          <w:tcPr>
            <w:tcW w:w="1827" w:type="dxa"/>
            <w:gridSpan w:val="3"/>
            <w:tcBorders>
              <w:top w:val="single" w:sz="4" w:space="0" w:color="auto"/>
              <w:bottom w:val="single" w:sz="4" w:space="0" w:color="auto"/>
              <w:right w:val="single" w:sz="8" w:space="0" w:color="auto"/>
            </w:tcBorders>
          </w:tcPr>
          <w:p w14:paraId="2CD3E643" w14:textId="0EC02F7C" w:rsidR="00ED2002" w:rsidRPr="00566CE6" w:rsidRDefault="002150D1">
            <w:pPr>
              <w:ind w:left="20"/>
            </w:pPr>
            <w:r w:rsidRPr="002150D1">
              <w:rPr>
                <w:rFonts w:eastAsia="Times New Roman"/>
              </w:rPr>
              <w:t>Мозъчен и вътречерепен кръвоизлив, синкоп</w:t>
            </w:r>
          </w:p>
        </w:tc>
        <w:tc>
          <w:tcPr>
            <w:tcW w:w="1838" w:type="dxa"/>
            <w:tcBorders>
              <w:top w:val="single" w:sz="4" w:space="0" w:color="auto"/>
              <w:bottom w:val="single" w:sz="4" w:space="0" w:color="auto"/>
              <w:right w:val="single" w:sz="8" w:space="0" w:color="auto"/>
            </w:tcBorders>
          </w:tcPr>
          <w:p w14:paraId="58356118" w14:textId="77777777" w:rsidR="00ED2002" w:rsidRPr="00566CE6" w:rsidRDefault="00ED2002"/>
        </w:tc>
        <w:tc>
          <w:tcPr>
            <w:tcW w:w="1818" w:type="dxa"/>
            <w:tcBorders>
              <w:top w:val="single" w:sz="4" w:space="0" w:color="auto"/>
              <w:left w:val="single" w:sz="8" w:space="0" w:color="auto"/>
              <w:bottom w:val="single" w:sz="4" w:space="0" w:color="auto"/>
              <w:right w:val="single" w:sz="8" w:space="0" w:color="auto"/>
            </w:tcBorders>
          </w:tcPr>
          <w:p w14:paraId="12DABDDF" w14:textId="77777777" w:rsidR="00ED2002" w:rsidRPr="00566CE6" w:rsidRDefault="00ED2002"/>
        </w:tc>
        <w:tc>
          <w:tcPr>
            <w:tcW w:w="2014" w:type="dxa"/>
            <w:gridSpan w:val="2"/>
            <w:tcBorders>
              <w:top w:val="single" w:sz="4" w:space="0" w:color="auto"/>
              <w:bottom w:val="single" w:sz="4" w:space="0" w:color="auto"/>
              <w:right w:val="single" w:sz="8" w:space="0" w:color="auto"/>
            </w:tcBorders>
          </w:tcPr>
          <w:p w14:paraId="6CB2D9EB" w14:textId="77777777" w:rsidR="00ED2002" w:rsidRPr="00566CE6" w:rsidRDefault="00ED2002"/>
        </w:tc>
      </w:tr>
      <w:tr w:rsidR="003460EC" w:rsidRPr="00566CE6" w14:paraId="0D7BC378" w14:textId="77777777" w:rsidTr="00302AEB">
        <w:trPr>
          <w:trHeight w:val="210"/>
        </w:trPr>
        <w:tc>
          <w:tcPr>
            <w:tcW w:w="9356" w:type="dxa"/>
            <w:gridSpan w:val="8"/>
            <w:tcBorders>
              <w:top w:val="single" w:sz="4" w:space="0" w:color="auto"/>
              <w:left w:val="single" w:sz="4" w:space="0" w:color="auto"/>
              <w:bottom w:val="single" w:sz="4" w:space="0" w:color="auto"/>
              <w:right w:val="single" w:sz="4" w:space="0" w:color="auto"/>
            </w:tcBorders>
          </w:tcPr>
          <w:p w14:paraId="1DE24B9F" w14:textId="5AB81EE8" w:rsidR="003460EC" w:rsidRPr="00566CE6" w:rsidRDefault="002150D1">
            <w:bookmarkStart w:id="6" w:name="page12"/>
            <w:bookmarkEnd w:id="6"/>
            <w:r w:rsidRPr="002150D1">
              <w:rPr>
                <w:rFonts w:eastAsia="Times New Roman"/>
                <w:b/>
                <w:bCs/>
              </w:rPr>
              <w:t>Нарушения на очите</w:t>
            </w:r>
          </w:p>
        </w:tc>
      </w:tr>
      <w:tr w:rsidR="008104F6" w:rsidRPr="00566CE6" w14:paraId="278EA0A4" w14:textId="77777777" w:rsidTr="00F5692F">
        <w:trPr>
          <w:trHeight w:val="964"/>
        </w:trPr>
        <w:tc>
          <w:tcPr>
            <w:tcW w:w="1938" w:type="dxa"/>
            <w:gridSpan w:val="2"/>
            <w:tcBorders>
              <w:top w:val="single" w:sz="4" w:space="0" w:color="auto"/>
              <w:left w:val="single" w:sz="8" w:space="0" w:color="auto"/>
              <w:bottom w:val="single" w:sz="4" w:space="0" w:color="auto"/>
              <w:right w:val="single" w:sz="8" w:space="0" w:color="auto"/>
            </w:tcBorders>
          </w:tcPr>
          <w:p w14:paraId="12B72B4B" w14:textId="63257647" w:rsidR="003460EC" w:rsidRPr="00566CE6" w:rsidRDefault="002150D1">
            <w:pPr>
              <w:ind w:left="40"/>
            </w:pPr>
            <w:r w:rsidRPr="002150D1">
              <w:rPr>
                <w:rFonts w:eastAsia="Times New Roman"/>
              </w:rPr>
              <w:t>Очен кръвоизлив (вкл. конюнктивален кръвоизлив)</w:t>
            </w:r>
          </w:p>
        </w:tc>
        <w:tc>
          <w:tcPr>
            <w:tcW w:w="1748" w:type="dxa"/>
            <w:gridSpan w:val="2"/>
            <w:tcBorders>
              <w:top w:val="single" w:sz="4" w:space="0" w:color="auto"/>
              <w:bottom w:val="single" w:sz="4" w:space="0" w:color="auto"/>
              <w:right w:val="single" w:sz="8" w:space="0" w:color="auto"/>
            </w:tcBorders>
          </w:tcPr>
          <w:p w14:paraId="180490EC" w14:textId="77777777" w:rsidR="003460EC" w:rsidRPr="00566CE6" w:rsidRDefault="003460EC"/>
        </w:tc>
        <w:tc>
          <w:tcPr>
            <w:tcW w:w="1838" w:type="dxa"/>
            <w:tcBorders>
              <w:top w:val="single" w:sz="4" w:space="0" w:color="auto"/>
              <w:bottom w:val="single" w:sz="4" w:space="0" w:color="auto"/>
              <w:right w:val="single" w:sz="8" w:space="0" w:color="auto"/>
            </w:tcBorders>
          </w:tcPr>
          <w:p w14:paraId="02387BD0" w14:textId="77777777" w:rsidR="003460EC" w:rsidRPr="00566CE6" w:rsidRDefault="003460EC"/>
        </w:tc>
        <w:tc>
          <w:tcPr>
            <w:tcW w:w="1840" w:type="dxa"/>
            <w:gridSpan w:val="2"/>
            <w:tcBorders>
              <w:top w:val="single" w:sz="4" w:space="0" w:color="auto"/>
              <w:bottom w:val="single" w:sz="4" w:space="0" w:color="auto"/>
              <w:right w:val="single" w:sz="8" w:space="0" w:color="auto"/>
            </w:tcBorders>
          </w:tcPr>
          <w:p w14:paraId="4BF29861" w14:textId="77777777" w:rsidR="003460EC" w:rsidRPr="00566CE6" w:rsidRDefault="003460EC"/>
        </w:tc>
        <w:tc>
          <w:tcPr>
            <w:tcW w:w="1992" w:type="dxa"/>
            <w:tcBorders>
              <w:top w:val="single" w:sz="4" w:space="0" w:color="auto"/>
              <w:bottom w:val="single" w:sz="4" w:space="0" w:color="auto"/>
              <w:right w:val="single" w:sz="8" w:space="0" w:color="auto"/>
            </w:tcBorders>
          </w:tcPr>
          <w:p w14:paraId="34CC9576" w14:textId="77777777" w:rsidR="003460EC" w:rsidRPr="00566CE6" w:rsidRDefault="003460EC"/>
        </w:tc>
      </w:tr>
      <w:tr w:rsidR="003460EC" w:rsidRPr="00566CE6" w14:paraId="3FE56038" w14:textId="77777777" w:rsidTr="004B3035">
        <w:trPr>
          <w:trHeight w:val="210"/>
        </w:trPr>
        <w:tc>
          <w:tcPr>
            <w:tcW w:w="9356" w:type="dxa"/>
            <w:gridSpan w:val="8"/>
            <w:tcBorders>
              <w:top w:val="single" w:sz="4" w:space="0" w:color="auto"/>
              <w:left w:val="single" w:sz="8" w:space="0" w:color="auto"/>
              <w:bottom w:val="single" w:sz="8" w:space="0" w:color="auto"/>
              <w:right w:val="single" w:sz="8" w:space="0" w:color="auto"/>
            </w:tcBorders>
          </w:tcPr>
          <w:p w14:paraId="25B58613" w14:textId="55D5D0BB" w:rsidR="003460EC" w:rsidRPr="00566CE6" w:rsidRDefault="002150D1">
            <w:r w:rsidRPr="002150D1">
              <w:rPr>
                <w:rFonts w:eastAsia="Times New Roman"/>
                <w:b/>
                <w:bCs/>
              </w:rPr>
              <w:t>Сърдечни нарушения</w:t>
            </w:r>
          </w:p>
        </w:tc>
      </w:tr>
      <w:tr w:rsidR="008104F6" w:rsidRPr="00566CE6" w14:paraId="14F899B9" w14:textId="77777777" w:rsidTr="00F5692F">
        <w:trPr>
          <w:trHeight w:val="424"/>
        </w:trPr>
        <w:tc>
          <w:tcPr>
            <w:tcW w:w="1938" w:type="dxa"/>
            <w:gridSpan w:val="2"/>
            <w:tcBorders>
              <w:left w:val="single" w:sz="8" w:space="0" w:color="auto"/>
              <w:bottom w:val="single" w:sz="8" w:space="0" w:color="auto"/>
              <w:right w:val="single" w:sz="8" w:space="0" w:color="auto"/>
            </w:tcBorders>
          </w:tcPr>
          <w:p w14:paraId="5DA90B99" w14:textId="77777777" w:rsidR="003460EC" w:rsidRPr="00566CE6" w:rsidRDefault="003460EC"/>
        </w:tc>
        <w:tc>
          <w:tcPr>
            <w:tcW w:w="1748" w:type="dxa"/>
            <w:gridSpan w:val="2"/>
            <w:tcBorders>
              <w:bottom w:val="single" w:sz="8" w:space="0" w:color="auto"/>
              <w:right w:val="single" w:sz="8" w:space="0" w:color="auto"/>
            </w:tcBorders>
          </w:tcPr>
          <w:p w14:paraId="392EE2D2" w14:textId="08427020" w:rsidR="003460EC" w:rsidRPr="00566CE6" w:rsidRDefault="002150D1" w:rsidP="004B3035">
            <w:pPr>
              <w:ind w:left="20"/>
            </w:pPr>
            <w:r>
              <w:rPr>
                <w:rFonts w:eastAsia="Times New Roman"/>
              </w:rPr>
              <w:t>Тахикардия</w:t>
            </w:r>
          </w:p>
        </w:tc>
        <w:tc>
          <w:tcPr>
            <w:tcW w:w="1838" w:type="dxa"/>
            <w:tcBorders>
              <w:bottom w:val="single" w:sz="8" w:space="0" w:color="auto"/>
              <w:right w:val="single" w:sz="8" w:space="0" w:color="auto"/>
            </w:tcBorders>
          </w:tcPr>
          <w:p w14:paraId="56C05DE4" w14:textId="77777777" w:rsidR="003460EC" w:rsidRPr="00566CE6" w:rsidRDefault="003460EC"/>
        </w:tc>
        <w:tc>
          <w:tcPr>
            <w:tcW w:w="1840" w:type="dxa"/>
            <w:gridSpan w:val="2"/>
            <w:tcBorders>
              <w:bottom w:val="single" w:sz="8" w:space="0" w:color="auto"/>
              <w:right w:val="single" w:sz="8" w:space="0" w:color="auto"/>
            </w:tcBorders>
          </w:tcPr>
          <w:p w14:paraId="2CDED83C" w14:textId="77777777" w:rsidR="003460EC" w:rsidRPr="00566CE6" w:rsidRDefault="003460EC"/>
        </w:tc>
        <w:tc>
          <w:tcPr>
            <w:tcW w:w="1992" w:type="dxa"/>
            <w:tcBorders>
              <w:bottom w:val="single" w:sz="8" w:space="0" w:color="auto"/>
              <w:right w:val="single" w:sz="8" w:space="0" w:color="auto"/>
            </w:tcBorders>
          </w:tcPr>
          <w:p w14:paraId="7C1A388E" w14:textId="77777777" w:rsidR="003460EC" w:rsidRPr="00566CE6" w:rsidRDefault="003460EC"/>
        </w:tc>
      </w:tr>
      <w:tr w:rsidR="003460EC" w:rsidRPr="00566CE6" w14:paraId="20766313" w14:textId="77777777" w:rsidTr="004B3035">
        <w:trPr>
          <w:trHeight w:val="211"/>
        </w:trPr>
        <w:tc>
          <w:tcPr>
            <w:tcW w:w="9356" w:type="dxa"/>
            <w:gridSpan w:val="8"/>
            <w:tcBorders>
              <w:left w:val="single" w:sz="8" w:space="0" w:color="auto"/>
              <w:bottom w:val="single" w:sz="8" w:space="0" w:color="auto"/>
              <w:right w:val="single" w:sz="8" w:space="0" w:color="auto"/>
            </w:tcBorders>
          </w:tcPr>
          <w:p w14:paraId="202E04AF" w14:textId="3300CC60" w:rsidR="003460EC" w:rsidRPr="00566CE6" w:rsidRDefault="002150D1">
            <w:r>
              <w:rPr>
                <w:rFonts w:eastAsia="Times New Roman"/>
                <w:b/>
                <w:bCs/>
                <w:w w:val="98"/>
              </w:rPr>
              <w:t>Съдови нарушения</w:t>
            </w:r>
          </w:p>
        </w:tc>
      </w:tr>
      <w:tr w:rsidR="008104F6" w:rsidRPr="00566CE6" w14:paraId="11C06366" w14:textId="77777777" w:rsidTr="00F5692F">
        <w:trPr>
          <w:trHeight w:val="597"/>
        </w:trPr>
        <w:tc>
          <w:tcPr>
            <w:tcW w:w="1938" w:type="dxa"/>
            <w:gridSpan w:val="2"/>
            <w:tcBorders>
              <w:left w:val="single" w:sz="8" w:space="0" w:color="auto"/>
              <w:bottom w:val="single" w:sz="4" w:space="0" w:color="auto"/>
              <w:right w:val="single" w:sz="8" w:space="0" w:color="auto"/>
            </w:tcBorders>
          </w:tcPr>
          <w:p w14:paraId="038D8422" w14:textId="4411FF08" w:rsidR="003460EC" w:rsidRPr="00566CE6" w:rsidRDefault="002150D1">
            <w:pPr>
              <w:ind w:left="40"/>
            </w:pPr>
            <w:r w:rsidRPr="002150D1">
              <w:rPr>
                <w:rFonts w:eastAsia="Times New Roman"/>
              </w:rPr>
              <w:t>Хипотония, хематом</w:t>
            </w:r>
          </w:p>
        </w:tc>
        <w:tc>
          <w:tcPr>
            <w:tcW w:w="1748" w:type="dxa"/>
            <w:gridSpan w:val="2"/>
            <w:tcBorders>
              <w:bottom w:val="single" w:sz="4" w:space="0" w:color="auto"/>
              <w:right w:val="single" w:sz="8" w:space="0" w:color="auto"/>
            </w:tcBorders>
          </w:tcPr>
          <w:p w14:paraId="6712BE54" w14:textId="77777777" w:rsidR="003460EC" w:rsidRPr="00566CE6" w:rsidRDefault="003460EC"/>
        </w:tc>
        <w:tc>
          <w:tcPr>
            <w:tcW w:w="1838" w:type="dxa"/>
            <w:tcBorders>
              <w:bottom w:val="single" w:sz="4" w:space="0" w:color="auto"/>
              <w:right w:val="single" w:sz="8" w:space="0" w:color="auto"/>
            </w:tcBorders>
          </w:tcPr>
          <w:p w14:paraId="551C7C46" w14:textId="77777777" w:rsidR="003460EC" w:rsidRPr="00566CE6" w:rsidRDefault="003460EC"/>
        </w:tc>
        <w:tc>
          <w:tcPr>
            <w:tcW w:w="1840" w:type="dxa"/>
            <w:gridSpan w:val="2"/>
            <w:tcBorders>
              <w:bottom w:val="single" w:sz="4" w:space="0" w:color="auto"/>
              <w:right w:val="single" w:sz="8" w:space="0" w:color="auto"/>
            </w:tcBorders>
          </w:tcPr>
          <w:p w14:paraId="40D86884" w14:textId="77777777" w:rsidR="003460EC" w:rsidRPr="00566CE6" w:rsidRDefault="003460EC"/>
        </w:tc>
        <w:tc>
          <w:tcPr>
            <w:tcW w:w="1992" w:type="dxa"/>
            <w:tcBorders>
              <w:bottom w:val="single" w:sz="4" w:space="0" w:color="auto"/>
              <w:right w:val="single" w:sz="8" w:space="0" w:color="auto"/>
            </w:tcBorders>
          </w:tcPr>
          <w:p w14:paraId="492E56AF" w14:textId="77777777" w:rsidR="003460EC" w:rsidRPr="00566CE6" w:rsidRDefault="003460EC"/>
        </w:tc>
      </w:tr>
      <w:tr w:rsidR="003460EC" w:rsidRPr="00566CE6" w14:paraId="740900DB" w14:textId="77777777" w:rsidTr="004B3035">
        <w:trPr>
          <w:trHeight w:val="211"/>
        </w:trPr>
        <w:tc>
          <w:tcPr>
            <w:tcW w:w="9356" w:type="dxa"/>
            <w:gridSpan w:val="8"/>
            <w:tcBorders>
              <w:top w:val="single" w:sz="4" w:space="0" w:color="auto"/>
              <w:left w:val="single" w:sz="8" w:space="0" w:color="auto"/>
              <w:bottom w:val="single" w:sz="8" w:space="0" w:color="auto"/>
              <w:right w:val="single" w:sz="8" w:space="0" w:color="auto"/>
            </w:tcBorders>
          </w:tcPr>
          <w:p w14:paraId="1CB20225" w14:textId="1A83CF2F" w:rsidR="003460EC" w:rsidRPr="00566CE6" w:rsidRDefault="002150D1">
            <w:r w:rsidRPr="002150D1">
              <w:rPr>
                <w:rFonts w:eastAsia="Times New Roman"/>
                <w:b/>
                <w:bCs/>
              </w:rPr>
              <w:t>Респираторни, гръдни и медиастинални нарушения</w:t>
            </w:r>
          </w:p>
        </w:tc>
      </w:tr>
      <w:tr w:rsidR="008104F6" w:rsidRPr="00566CE6" w14:paraId="507AB788" w14:textId="77777777" w:rsidTr="00F5692F">
        <w:trPr>
          <w:trHeight w:val="610"/>
        </w:trPr>
        <w:tc>
          <w:tcPr>
            <w:tcW w:w="1938" w:type="dxa"/>
            <w:gridSpan w:val="2"/>
            <w:tcBorders>
              <w:left w:val="single" w:sz="8" w:space="0" w:color="auto"/>
              <w:bottom w:val="single" w:sz="4" w:space="0" w:color="auto"/>
              <w:right w:val="single" w:sz="8" w:space="0" w:color="auto"/>
            </w:tcBorders>
          </w:tcPr>
          <w:p w14:paraId="082254CD" w14:textId="4F1C15FD" w:rsidR="003460EC" w:rsidRPr="00566CE6" w:rsidRDefault="002150D1">
            <w:pPr>
              <w:ind w:left="40"/>
            </w:pPr>
            <w:r w:rsidRPr="002150D1">
              <w:rPr>
                <w:rFonts w:eastAsia="Times New Roman"/>
              </w:rPr>
              <w:t>Епистаксис, хемоптизис</w:t>
            </w:r>
          </w:p>
        </w:tc>
        <w:tc>
          <w:tcPr>
            <w:tcW w:w="1748" w:type="dxa"/>
            <w:gridSpan w:val="2"/>
            <w:tcBorders>
              <w:bottom w:val="single" w:sz="4" w:space="0" w:color="auto"/>
              <w:right w:val="single" w:sz="8" w:space="0" w:color="auto"/>
            </w:tcBorders>
          </w:tcPr>
          <w:p w14:paraId="281BE5AF" w14:textId="77777777" w:rsidR="003460EC" w:rsidRPr="00566CE6" w:rsidRDefault="003460EC"/>
        </w:tc>
        <w:tc>
          <w:tcPr>
            <w:tcW w:w="1838" w:type="dxa"/>
            <w:tcBorders>
              <w:bottom w:val="single" w:sz="4" w:space="0" w:color="auto"/>
              <w:right w:val="single" w:sz="8" w:space="0" w:color="auto"/>
            </w:tcBorders>
          </w:tcPr>
          <w:p w14:paraId="514740AB" w14:textId="77777777" w:rsidR="003460EC" w:rsidRPr="00566CE6" w:rsidRDefault="003460EC"/>
        </w:tc>
        <w:tc>
          <w:tcPr>
            <w:tcW w:w="1840" w:type="dxa"/>
            <w:gridSpan w:val="2"/>
            <w:tcBorders>
              <w:bottom w:val="single" w:sz="4" w:space="0" w:color="auto"/>
              <w:right w:val="single" w:sz="8" w:space="0" w:color="auto"/>
            </w:tcBorders>
          </w:tcPr>
          <w:p w14:paraId="3588AEA6" w14:textId="77777777" w:rsidR="003460EC" w:rsidRPr="00566CE6" w:rsidRDefault="003460EC"/>
        </w:tc>
        <w:tc>
          <w:tcPr>
            <w:tcW w:w="1992" w:type="dxa"/>
            <w:tcBorders>
              <w:bottom w:val="single" w:sz="4" w:space="0" w:color="auto"/>
              <w:right w:val="single" w:sz="8" w:space="0" w:color="auto"/>
            </w:tcBorders>
          </w:tcPr>
          <w:p w14:paraId="57A0D791" w14:textId="77777777" w:rsidR="003460EC" w:rsidRPr="00566CE6" w:rsidRDefault="003460EC"/>
        </w:tc>
      </w:tr>
      <w:tr w:rsidR="003460EC" w:rsidRPr="00566CE6" w14:paraId="38A711D1" w14:textId="77777777" w:rsidTr="004B3035">
        <w:trPr>
          <w:trHeight w:val="210"/>
        </w:trPr>
        <w:tc>
          <w:tcPr>
            <w:tcW w:w="9356" w:type="dxa"/>
            <w:gridSpan w:val="8"/>
            <w:tcBorders>
              <w:top w:val="single" w:sz="4" w:space="0" w:color="auto"/>
              <w:left w:val="single" w:sz="8" w:space="0" w:color="auto"/>
              <w:bottom w:val="single" w:sz="8" w:space="0" w:color="auto"/>
              <w:right w:val="single" w:sz="8" w:space="0" w:color="auto"/>
            </w:tcBorders>
          </w:tcPr>
          <w:p w14:paraId="0EDFBECA" w14:textId="40CE4EF5" w:rsidR="003460EC" w:rsidRPr="00566CE6" w:rsidRDefault="002150D1" w:rsidP="004B3035">
            <w:pPr>
              <w:ind w:left="40"/>
            </w:pPr>
            <w:r w:rsidRPr="002150D1">
              <w:rPr>
                <w:rFonts w:eastAsia="Times New Roman"/>
                <w:b/>
                <w:bCs/>
              </w:rPr>
              <w:t>Стомашно-чревни нарушения</w:t>
            </w:r>
          </w:p>
        </w:tc>
      </w:tr>
      <w:tr w:rsidR="008104F6" w:rsidRPr="00566CE6" w14:paraId="12228A0F" w14:textId="77777777" w:rsidTr="00F5692F">
        <w:trPr>
          <w:trHeight w:val="2736"/>
        </w:trPr>
        <w:tc>
          <w:tcPr>
            <w:tcW w:w="1938" w:type="dxa"/>
            <w:gridSpan w:val="2"/>
            <w:tcBorders>
              <w:left w:val="single" w:sz="8" w:space="0" w:color="auto"/>
              <w:bottom w:val="single" w:sz="4" w:space="0" w:color="auto"/>
              <w:right w:val="single" w:sz="8" w:space="0" w:color="auto"/>
            </w:tcBorders>
          </w:tcPr>
          <w:p w14:paraId="44D3FFB9" w14:textId="77777777" w:rsidR="002150D1" w:rsidRDefault="002150D1" w:rsidP="002150D1">
            <w:pPr>
              <w:pStyle w:val="Default"/>
              <w:rPr>
                <w:sz w:val="14"/>
                <w:szCs w:val="14"/>
              </w:rPr>
            </w:pPr>
            <w:r>
              <w:rPr>
                <w:sz w:val="22"/>
                <w:szCs w:val="22"/>
              </w:rPr>
              <w:lastRenderedPageBreak/>
              <w:t>Кървене от венците, стомашно-чревния тракт (вкл. ректално кървене), стомашно-чревни и абдоминални болки, диспепсия, гадене, запек</w:t>
            </w:r>
            <w:r>
              <w:rPr>
                <w:rFonts w:ascii="ZWAdobeF" w:hAnsi="ZWAdobeF" w:cs="ZWAdobeF"/>
                <w:sz w:val="2"/>
                <w:szCs w:val="2"/>
              </w:rPr>
              <w:t>P</w:t>
            </w:r>
            <w:r w:rsidRPr="002150D1">
              <w:rPr>
                <w:sz w:val="14"/>
                <w:szCs w:val="14"/>
                <w:vertAlign w:val="superscript"/>
              </w:rPr>
              <w:t>A</w:t>
            </w:r>
            <w:r>
              <w:rPr>
                <w:rFonts w:ascii="ZWAdobeF" w:hAnsi="ZWAdobeF" w:cs="ZWAdobeF"/>
                <w:sz w:val="2"/>
                <w:szCs w:val="2"/>
              </w:rPr>
              <w:t>P</w:t>
            </w:r>
            <w:r>
              <w:rPr>
                <w:sz w:val="22"/>
                <w:szCs w:val="22"/>
              </w:rPr>
              <w:t>, диария, повръщане</w:t>
            </w:r>
            <w:r w:rsidRPr="002150D1">
              <w:rPr>
                <w:rFonts w:ascii="ZWAdobeF" w:hAnsi="ZWAdobeF" w:cs="ZWAdobeF"/>
                <w:sz w:val="2"/>
                <w:szCs w:val="2"/>
                <w:vertAlign w:val="superscript"/>
              </w:rPr>
              <w:t>P</w:t>
            </w:r>
            <w:r w:rsidRPr="002150D1">
              <w:rPr>
                <w:sz w:val="14"/>
                <w:szCs w:val="14"/>
                <w:vertAlign w:val="superscript"/>
              </w:rPr>
              <w:t>A</w:t>
            </w:r>
            <w:r>
              <w:rPr>
                <w:sz w:val="14"/>
                <w:szCs w:val="14"/>
              </w:rPr>
              <w:t xml:space="preserve"> </w:t>
            </w:r>
          </w:p>
          <w:p w14:paraId="59324D72" w14:textId="4355A6C9" w:rsidR="003460EC" w:rsidRPr="00566CE6" w:rsidRDefault="003460EC" w:rsidP="004B3035">
            <w:pPr>
              <w:ind w:left="40"/>
            </w:pPr>
          </w:p>
        </w:tc>
        <w:tc>
          <w:tcPr>
            <w:tcW w:w="1748" w:type="dxa"/>
            <w:gridSpan w:val="2"/>
            <w:tcBorders>
              <w:bottom w:val="single" w:sz="4" w:space="0" w:color="auto"/>
              <w:right w:val="single" w:sz="8" w:space="0" w:color="auto"/>
            </w:tcBorders>
          </w:tcPr>
          <w:p w14:paraId="09544D6D" w14:textId="77777777" w:rsidR="002150D1" w:rsidRDefault="002150D1" w:rsidP="002150D1">
            <w:pPr>
              <w:pStyle w:val="Default"/>
            </w:pPr>
            <w:r>
              <w:rPr>
                <w:sz w:val="22"/>
                <w:szCs w:val="22"/>
              </w:rPr>
              <w:t xml:space="preserve">Сухота в устата </w:t>
            </w:r>
          </w:p>
          <w:p w14:paraId="79D1FAD5" w14:textId="2F64B8D9" w:rsidR="003460EC" w:rsidRPr="00566CE6" w:rsidRDefault="003460EC" w:rsidP="004B3035">
            <w:pPr>
              <w:ind w:left="20"/>
            </w:pPr>
          </w:p>
        </w:tc>
        <w:tc>
          <w:tcPr>
            <w:tcW w:w="1838" w:type="dxa"/>
            <w:tcBorders>
              <w:bottom w:val="single" w:sz="4" w:space="0" w:color="auto"/>
              <w:right w:val="single" w:sz="8" w:space="0" w:color="auto"/>
            </w:tcBorders>
          </w:tcPr>
          <w:p w14:paraId="0790B737" w14:textId="77777777" w:rsidR="003460EC" w:rsidRPr="00566CE6" w:rsidRDefault="003460EC"/>
        </w:tc>
        <w:tc>
          <w:tcPr>
            <w:tcW w:w="1840" w:type="dxa"/>
            <w:gridSpan w:val="2"/>
            <w:tcBorders>
              <w:bottom w:val="single" w:sz="4" w:space="0" w:color="auto"/>
              <w:right w:val="single" w:sz="8" w:space="0" w:color="auto"/>
            </w:tcBorders>
          </w:tcPr>
          <w:p w14:paraId="55D179F1" w14:textId="77777777" w:rsidR="003460EC" w:rsidRPr="00566CE6" w:rsidRDefault="003460EC"/>
        </w:tc>
        <w:tc>
          <w:tcPr>
            <w:tcW w:w="1992" w:type="dxa"/>
            <w:tcBorders>
              <w:bottom w:val="single" w:sz="4" w:space="0" w:color="auto"/>
              <w:right w:val="single" w:sz="8" w:space="0" w:color="auto"/>
            </w:tcBorders>
          </w:tcPr>
          <w:p w14:paraId="603FFEE5" w14:textId="77777777" w:rsidR="003460EC" w:rsidRPr="00566CE6" w:rsidRDefault="003460EC"/>
        </w:tc>
      </w:tr>
      <w:tr w:rsidR="003460EC" w:rsidRPr="00566CE6" w14:paraId="5D285BA3" w14:textId="77777777" w:rsidTr="004B3035">
        <w:trPr>
          <w:trHeight w:val="210"/>
        </w:trPr>
        <w:tc>
          <w:tcPr>
            <w:tcW w:w="9356" w:type="dxa"/>
            <w:gridSpan w:val="8"/>
            <w:tcBorders>
              <w:top w:val="single" w:sz="4" w:space="0" w:color="auto"/>
              <w:left w:val="single" w:sz="8" w:space="0" w:color="auto"/>
              <w:bottom w:val="single" w:sz="4" w:space="0" w:color="auto"/>
              <w:right w:val="single" w:sz="8" w:space="0" w:color="auto"/>
            </w:tcBorders>
          </w:tcPr>
          <w:p w14:paraId="52172662" w14:textId="3740F2A4" w:rsidR="003460EC" w:rsidRPr="00566CE6" w:rsidRDefault="002150D1">
            <w:r w:rsidRPr="002150D1">
              <w:rPr>
                <w:rFonts w:eastAsia="Times New Roman"/>
                <w:b/>
                <w:bCs/>
              </w:rPr>
              <w:t>Хепатобилиарни нарушения</w:t>
            </w:r>
          </w:p>
        </w:tc>
      </w:tr>
      <w:tr w:rsidR="008104F6" w:rsidRPr="00566CE6" w14:paraId="2228056E" w14:textId="77777777" w:rsidTr="00F5692F">
        <w:trPr>
          <w:trHeight w:val="3129"/>
        </w:trPr>
        <w:tc>
          <w:tcPr>
            <w:tcW w:w="1938" w:type="dxa"/>
            <w:gridSpan w:val="2"/>
            <w:tcBorders>
              <w:top w:val="single" w:sz="4" w:space="0" w:color="auto"/>
              <w:left w:val="single" w:sz="8" w:space="0" w:color="auto"/>
              <w:bottom w:val="single" w:sz="4" w:space="0" w:color="auto"/>
              <w:right w:val="single" w:sz="8" w:space="0" w:color="auto"/>
            </w:tcBorders>
          </w:tcPr>
          <w:p w14:paraId="7050547A" w14:textId="3FD73FEB" w:rsidR="003460EC" w:rsidRPr="00566CE6" w:rsidRDefault="002150D1">
            <w:pPr>
              <w:ind w:left="40"/>
            </w:pPr>
            <w:r w:rsidRPr="002150D1">
              <w:rPr>
                <w:rFonts w:eastAsia="Times New Roman"/>
              </w:rPr>
              <w:t>Повишаване на трансаминазите</w:t>
            </w:r>
          </w:p>
        </w:tc>
        <w:tc>
          <w:tcPr>
            <w:tcW w:w="1748" w:type="dxa"/>
            <w:gridSpan w:val="2"/>
            <w:tcBorders>
              <w:top w:val="single" w:sz="4" w:space="0" w:color="auto"/>
              <w:bottom w:val="single" w:sz="4" w:space="0" w:color="auto"/>
              <w:right w:val="single" w:sz="8" w:space="0" w:color="auto"/>
            </w:tcBorders>
          </w:tcPr>
          <w:p w14:paraId="46860294" w14:textId="7AA06962" w:rsidR="002150D1" w:rsidRDefault="001A09CA" w:rsidP="004B3035">
            <w:pPr>
              <w:ind w:left="20"/>
              <w:rPr>
                <w:rFonts w:eastAsia="Times New Roman"/>
              </w:rPr>
            </w:pPr>
            <w:r>
              <w:rPr>
                <w:rFonts w:eastAsia="Times New Roman"/>
                <w:lang w:val="bg-BG"/>
              </w:rPr>
              <w:t>Ч</w:t>
            </w:r>
            <w:r w:rsidR="002150D1" w:rsidRPr="002150D1">
              <w:rPr>
                <w:rFonts w:eastAsia="Times New Roman"/>
              </w:rPr>
              <w:t xml:space="preserve">ернодробно увреждане, повишен билирубин, повишена алкална фосфатаза в </w:t>
            </w:r>
          </w:p>
          <w:p w14:paraId="1B44257D" w14:textId="77C7C964" w:rsidR="003460EC" w:rsidRPr="00566CE6" w:rsidRDefault="002150D1" w:rsidP="004B3035">
            <w:pPr>
              <w:ind w:left="20"/>
            </w:pPr>
            <w:r w:rsidRPr="002150D1">
              <w:rPr>
                <w:rFonts w:eastAsia="Times New Roman"/>
              </w:rPr>
              <w:t xml:space="preserve">кръвта </w:t>
            </w:r>
            <w:r w:rsidR="003460EC" w:rsidRPr="00566CE6">
              <w:rPr>
                <w:rFonts w:eastAsia="Times New Roman"/>
                <w:vertAlign w:val="superscript"/>
              </w:rPr>
              <w:t>A</w:t>
            </w:r>
            <w:r w:rsidR="003460EC" w:rsidRPr="00566CE6">
              <w:rPr>
                <w:rFonts w:eastAsia="Times New Roman"/>
              </w:rPr>
              <w:t>,</w:t>
            </w:r>
          </w:p>
          <w:p w14:paraId="205EF146" w14:textId="4CC65E5D" w:rsidR="003460EC" w:rsidRPr="00566CE6" w:rsidRDefault="002150D1" w:rsidP="004B3035">
            <w:pPr>
              <w:ind w:left="20"/>
            </w:pPr>
            <w:r>
              <w:rPr>
                <w:rFonts w:eastAsia="Times New Roman"/>
              </w:rPr>
              <w:t>повишен</w:t>
            </w:r>
            <w:r>
              <w:rPr>
                <w:rFonts w:eastAsia="Times New Roman"/>
                <w:lang w:val="bg-BG"/>
              </w:rPr>
              <w:t>а</w:t>
            </w:r>
            <w:r w:rsidR="003460EC" w:rsidRPr="00566CE6">
              <w:rPr>
                <w:rFonts w:eastAsia="Times New Roman"/>
              </w:rPr>
              <w:t xml:space="preserve"> GGT</w:t>
            </w:r>
            <w:r w:rsidR="003460EC" w:rsidRPr="00566CE6">
              <w:rPr>
                <w:rFonts w:eastAsia="Times New Roman"/>
                <w:vertAlign w:val="superscript"/>
              </w:rPr>
              <w:t>A</w:t>
            </w:r>
          </w:p>
        </w:tc>
        <w:tc>
          <w:tcPr>
            <w:tcW w:w="1838" w:type="dxa"/>
            <w:tcBorders>
              <w:top w:val="single" w:sz="4" w:space="0" w:color="auto"/>
              <w:bottom w:val="single" w:sz="4" w:space="0" w:color="auto"/>
              <w:right w:val="single" w:sz="8" w:space="0" w:color="auto"/>
            </w:tcBorders>
          </w:tcPr>
          <w:p w14:paraId="208F61BF" w14:textId="77777777" w:rsidR="002150D1" w:rsidRPr="002150D1" w:rsidRDefault="002150D1" w:rsidP="002150D1">
            <w:pPr>
              <w:rPr>
                <w:rFonts w:eastAsia="Times New Roman"/>
              </w:rPr>
            </w:pPr>
            <w:r w:rsidRPr="002150D1">
              <w:rPr>
                <w:rFonts w:eastAsia="Times New Roman"/>
              </w:rPr>
              <w:t>Жълтеница, повишени стойности на конюгирания билирубин (със или без едновременно повишаване на ALT),</w:t>
            </w:r>
          </w:p>
          <w:p w14:paraId="12A55796" w14:textId="37A5B088" w:rsidR="003460EC" w:rsidRDefault="002150D1" w:rsidP="002150D1">
            <w:pPr>
              <w:rPr>
                <w:rFonts w:eastAsia="Times New Roman"/>
              </w:rPr>
            </w:pPr>
            <w:r w:rsidRPr="002150D1">
              <w:rPr>
                <w:rFonts w:eastAsia="Times New Roman"/>
              </w:rPr>
              <w:t>холестаза, хепатит (включително хепатоцелуларно увреждане)</w:t>
            </w:r>
          </w:p>
          <w:p w14:paraId="7183797F" w14:textId="2CB73043" w:rsidR="00EF734C" w:rsidRPr="00566CE6" w:rsidRDefault="00EF734C"/>
        </w:tc>
        <w:tc>
          <w:tcPr>
            <w:tcW w:w="1840" w:type="dxa"/>
            <w:gridSpan w:val="2"/>
            <w:tcBorders>
              <w:top w:val="single" w:sz="4" w:space="0" w:color="auto"/>
              <w:bottom w:val="single" w:sz="4" w:space="0" w:color="auto"/>
              <w:right w:val="single" w:sz="8" w:space="0" w:color="auto"/>
            </w:tcBorders>
          </w:tcPr>
          <w:p w14:paraId="5BD8FA57" w14:textId="77777777" w:rsidR="003460EC" w:rsidRPr="00566CE6" w:rsidRDefault="003460EC"/>
        </w:tc>
        <w:tc>
          <w:tcPr>
            <w:tcW w:w="1992" w:type="dxa"/>
            <w:tcBorders>
              <w:top w:val="single" w:sz="4" w:space="0" w:color="auto"/>
              <w:bottom w:val="single" w:sz="4" w:space="0" w:color="auto"/>
              <w:right w:val="single" w:sz="8" w:space="0" w:color="auto"/>
            </w:tcBorders>
          </w:tcPr>
          <w:p w14:paraId="2E08C987" w14:textId="77777777" w:rsidR="003460EC" w:rsidRPr="00566CE6" w:rsidRDefault="003460EC"/>
        </w:tc>
      </w:tr>
      <w:tr w:rsidR="008104F6" w:rsidRPr="00566CE6" w14:paraId="62F3CD2B" w14:textId="77777777" w:rsidTr="004B3035">
        <w:trPr>
          <w:trHeight w:val="210"/>
        </w:trPr>
        <w:tc>
          <w:tcPr>
            <w:tcW w:w="9356" w:type="dxa"/>
            <w:gridSpan w:val="8"/>
            <w:tcBorders>
              <w:top w:val="single" w:sz="4" w:space="0" w:color="auto"/>
              <w:left w:val="single" w:sz="8" w:space="0" w:color="auto"/>
              <w:bottom w:val="single" w:sz="8" w:space="0" w:color="auto"/>
              <w:right w:val="single" w:sz="8" w:space="0" w:color="auto"/>
            </w:tcBorders>
          </w:tcPr>
          <w:p w14:paraId="74650814" w14:textId="06EBBD88" w:rsidR="008104F6" w:rsidRPr="00566CE6" w:rsidRDefault="002150D1">
            <w:r w:rsidRPr="002150D1">
              <w:rPr>
                <w:rFonts w:eastAsia="Times New Roman"/>
                <w:b/>
                <w:bCs/>
              </w:rPr>
              <w:t>Нарушения на кожата и подкожната тъкан</w:t>
            </w:r>
          </w:p>
        </w:tc>
      </w:tr>
      <w:tr w:rsidR="008104F6" w:rsidRPr="00566CE6" w14:paraId="6A51DA0D" w14:textId="77777777" w:rsidTr="00F5692F">
        <w:trPr>
          <w:trHeight w:val="2408"/>
        </w:trPr>
        <w:tc>
          <w:tcPr>
            <w:tcW w:w="1938" w:type="dxa"/>
            <w:gridSpan w:val="2"/>
            <w:tcBorders>
              <w:left w:val="single" w:sz="8" w:space="0" w:color="auto"/>
              <w:bottom w:val="single" w:sz="4" w:space="0" w:color="auto"/>
              <w:right w:val="single" w:sz="8" w:space="0" w:color="auto"/>
            </w:tcBorders>
          </w:tcPr>
          <w:p w14:paraId="600E4539" w14:textId="528D2237" w:rsidR="003460EC" w:rsidRPr="004B3035" w:rsidRDefault="002150D1" w:rsidP="004B3035">
            <w:pPr>
              <w:ind w:left="40"/>
              <w:rPr>
                <w:rFonts w:eastAsia="Times New Roman"/>
              </w:rPr>
            </w:pPr>
            <w:r w:rsidRPr="002150D1">
              <w:rPr>
                <w:rFonts w:eastAsia="Times New Roman"/>
              </w:rPr>
              <w:t>Сърбеж (вкл. нечести случаи на генерализиран сърбеж), обрив, екхимози, кожни и подкожни кръвоизливи</w:t>
            </w:r>
          </w:p>
        </w:tc>
        <w:tc>
          <w:tcPr>
            <w:tcW w:w="1748" w:type="dxa"/>
            <w:gridSpan w:val="2"/>
            <w:tcBorders>
              <w:bottom w:val="single" w:sz="4" w:space="0" w:color="auto"/>
              <w:right w:val="single" w:sz="8" w:space="0" w:color="auto"/>
            </w:tcBorders>
          </w:tcPr>
          <w:p w14:paraId="1E8282D0" w14:textId="2CE48FEE" w:rsidR="003460EC" w:rsidRPr="00566CE6" w:rsidRDefault="002150D1" w:rsidP="002150D1">
            <w:pPr>
              <w:ind w:left="20"/>
            </w:pPr>
            <w:r>
              <w:rPr>
                <w:rFonts w:eastAsia="Times New Roman"/>
              </w:rPr>
              <w:t>Уртикария</w:t>
            </w:r>
          </w:p>
        </w:tc>
        <w:tc>
          <w:tcPr>
            <w:tcW w:w="1838" w:type="dxa"/>
            <w:tcBorders>
              <w:bottom w:val="single" w:sz="4" w:space="0" w:color="auto"/>
              <w:right w:val="single" w:sz="8" w:space="0" w:color="auto"/>
            </w:tcBorders>
          </w:tcPr>
          <w:p w14:paraId="0FE116A5" w14:textId="77777777" w:rsidR="003460EC" w:rsidRPr="00566CE6" w:rsidRDefault="003460EC"/>
        </w:tc>
        <w:tc>
          <w:tcPr>
            <w:tcW w:w="1840" w:type="dxa"/>
            <w:gridSpan w:val="2"/>
            <w:tcBorders>
              <w:bottom w:val="single" w:sz="4" w:space="0" w:color="auto"/>
              <w:right w:val="single" w:sz="8" w:space="0" w:color="auto"/>
            </w:tcBorders>
          </w:tcPr>
          <w:p w14:paraId="14B65B3A" w14:textId="6FD0340E" w:rsidR="003460EC" w:rsidRPr="00566CE6" w:rsidRDefault="002150D1">
            <w:pPr>
              <w:ind w:left="20"/>
            </w:pPr>
            <w:r w:rsidRPr="002150D1">
              <w:rPr>
                <w:rFonts w:eastAsia="Times New Roman"/>
              </w:rPr>
              <w:t>Синдром на Stevens-Johnson/токсична епидермална некролиза, DRESS синдром</w:t>
            </w:r>
          </w:p>
        </w:tc>
        <w:tc>
          <w:tcPr>
            <w:tcW w:w="1992" w:type="dxa"/>
            <w:tcBorders>
              <w:bottom w:val="single" w:sz="4" w:space="0" w:color="auto"/>
              <w:right w:val="single" w:sz="8" w:space="0" w:color="auto"/>
            </w:tcBorders>
          </w:tcPr>
          <w:p w14:paraId="32D6824F" w14:textId="77777777" w:rsidR="003460EC" w:rsidRPr="00566CE6" w:rsidRDefault="003460EC"/>
        </w:tc>
      </w:tr>
      <w:tr w:rsidR="008104F6" w:rsidRPr="00566CE6" w14:paraId="34C09548" w14:textId="77777777" w:rsidTr="004B3035">
        <w:trPr>
          <w:trHeight w:val="210"/>
        </w:trPr>
        <w:tc>
          <w:tcPr>
            <w:tcW w:w="9356" w:type="dxa"/>
            <w:gridSpan w:val="8"/>
            <w:tcBorders>
              <w:top w:val="single" w:sz="4" w:space="0" w:color="auto"/>
              <w:left w:val="single" w:sz="8" w:space="0" w:color="auto"/>
              <w:bottom w:val="single" w:sz="8" w:space="0" w:color="auto"/>
              <w:right w:val="single" w:sz="8" w:space="0" w:color="auto"/>
            </w:tcBorders>
          </w:tcPr>
          <w:p w14:paraId="61271E41" w14:textId="4D55373C" w:rsidR="008104F6" w:rsidRPr="00566CE6" w:rsidRDefault="002150D1">
            <w:r w:rsidRPr="002150D1">
              <w:rPr>
                <w:rFonts w:eastAsia="Times New Roman"/>
                <w:b/>
                <w:bCs/>
              </w:rPr>
              <w:t>Нарушения на мускулно-скелетната система и съединителната тъкан</w:t>
            </w:r>
          </w:p>
        </w:tc>
      </w:tr>
      <w:tr w:rsidR="008104F6" w:rsidRPr="00566CE6" w14:paraId="399839B1" w14:textId="77777777" w:rsidTr="00F5692F">
        <w:trPr>
          <w:trHeight w:val="939"/>
        </w:trPr>
        <w:tc>
          <w:tcPr>
            <w:tcW w:w="1938" w:type="dxa"/>
            <w:gridSpan w:val="2"/>
            <w:tcBorders>
              <w:left w:val="single" w:sz="8" w:space="0" w:color="auto"/>
              <w:right w:val="single" w:sz="8" w:space="0" w:color="auto"/>
            </w:tcBorders>
          </w:tcPr>
          <w:p w14:paraId="5B2BB3AF" w14:textId="7DD572A2" w:rsidR="003460EC" w:rsidRPr="00566CE6" w:rsidRDefault="002150D1" w:rsidP="004B3035">
            <w:pPr>
              <w:ind w:left="40"/>
            </w:pPr>
            <w:r>
              <w:rPr>
                <w:rFonts w:eastAsia="Times New Roman"/>
              </w:rPr>
              <w:t>Болка в крайниците</w:t>
            </w:r>
            <w:r w:rsidR="003460EC" w:rsidRPr="00566CE6">
              <w:rPr>
                <w:rFonts w:eastAsia="Times New Roman"/>
                <w:vertAlign w:val="superscript"/>
              </w:rPr>
              <w:t>A</w:t>
            </w:r>
          </w:p>
        </w:tc>
        <w:tc>
          <w:tcPr>
            <w:tcW w:w="1748" w:type="dxa"/>
            <w:gridSpan w:val="2"/>
            <w:tcBorders>
              <w:right w:val="single" w:sz="8" w:space="0" w:color="auto"/>
            </w:tcBorders>
          </w:tcPr>
          <w:p w14:paraId="36993A2F" w14:textId="66AD5595" w:rsidR="003460EC" w:rsidRPr="00566CE6" w:rsidRDefault="002150D1" w:rsidP="004B3035">
            <w:pPr>
              <w:ind w:left="20"/>
            </w:pPr>
            <w:r>
              <w:rPr>
                <w:rFonts w:eastAsia="Times New Roman"/>
              </w:rPr>
              <w:t>Хемартроза</w:t>
            </w:r>
          </w:p>
        </w:tc>
        <w:tc>
          <w:tcPr>
            <w:tcW w:w="1838" w:type="dxa"/>
            <w:tcBorders>
              <w:right w:val="single" w:sz="8" w:space="0" w:color="auto"/>
            </w:tcBorders>
          </w:tcPr>
          <w:p w14:paraId="2F59EF59" w14:textId="193C6A54" w:rsidR="003460EC" w:rsidRPr="00566CE6" w:rsidRDefault="002150D1">
            <w:r w:rsidRPr="002150D1">
              <w:rPr>
                <w:rFonts w:eastAsia="Times New Roman"/>
              </w:rPr>
              <w:t>Кръвоизлив в мускул</w:t>
            </w:r>
          </w:p>
        </w:tc>
        <w:tc>
          <w:tcPr>
            <w:tcW w:w="1840" w:type="dxa"/>
            <w:gridSpan w:val="2"/>
            <w:tcBorders>
              <w:right w:val="single" w:sz="8" w:space="0" w:color="auto"/>
            </w:tcBorders>
          </w:tcPr>
          <w:p w14:paraId="283FEDBE" w14:textId="77777777" w:rsidR="003460EC" w:rsidRPr="00566CE6" w:rsidRDefault="003460EC"/>
        </w:tc>
        <w:tc>
          <w:tcPr>
            <w:tcW w:w="1992" w:type="dxa"/>
            <w:tcBorders>
              <w:right w:val="single" w:sz="8" w:space="0" w:color="auto"/>
            </w:tcBorders>
          </w:tcPr>
          <w:p w14:paraId="379065A5" w14:textId="0E178510" w:rsidR="003460EC" w:rsidRPr="00566CE6" w:rsidRDefault="002150D1">
            <w:pPr>
              <w:ind w:left="20"/>
            </w:pPr>
            <w:r w:rsidRPr="002150D1">
              <w:rPr>
                <w:rFonts w:eastAsia="Times New Roman"/>
              </w:rPr>
              <w:t>Компартмент синдром в резултат на кървене</w:t>
            </w:r>
          </w:p>
        </w:tc>
      </w:tr>
      <w:tr w:rsidR="008104F6" w:rsidRPr="00566CE6" w14:paraId="0223B18B" w14:textId="77777777" w:rsidTr="004B3035">
        <w:trPr>
          <w:trHeight w:val="243"/>
        </w:trPr>
        <w:tc>
          <w:tcPr>
            <w:tcW w:w="9356" w:type="dxa"/>
            <w:gridSpan w:val="8"/>
            <w:tcBorders>
              <w:top w:val="single" w:sz="4" w:space="0" w:color="auto"/>
              <w:left w:val="single" w:sz="4" w:space="0" w:color="auto"/>
              <w:bottom w:val="single" w:sz="4" w:space="0" w:color="auto"/>
              <w:right w:val="single" w:sz="4" w:space="0" w:color="auto"/>
            </w:tcBorders>
          </w:tcPr>
          <w:p w14:paraId="13A37DF4" w14:textId="620B5C79" w:rsidR="008104F6" w:rsidRPr="00566CE6" w:rsidRDefault="000E5FFC" w:rsidP="004B3035">
            <w:pPr>
              <w:ind w:left="40"/>
            </w:pPr>
            <w:bookmarkStart w:id="7" w:name="page13"/>
            <w:bookmarkEnd w:id="7"/>
            <w:r w:rsidRPr="000E5FFC">
              <w:rPr>
                <w:rFonts w:eastAsia="Times New Roman"/>
                <w:b/>
                <w:bCs/>
              </w:rPr>
              <w:t>Нарушения на бъбреците и пикочните пътища</w:t>
            </w:r>
          </w:p>
        </w:tc>
      </w:tr>
      <w:tr w:rsidR="008104F6" w:rsidRPr="00566CE6" w14:paraId="2B33CF20" w14:textId="77777777" w:rsidTr="00F5692F">
        <w:trPr>
          <w:trHeight w:val="2141"/>
        </w:trPr>
        <w:tc>
          <w:tcPr>
            <w:tcW w:w="1984" w:type="dxa"/>
            <w:gridSpan w:val="3"/>
            <w:tcBorders>
              <w:top w:val="single" w:sz="4" w:space="0" w:color="auto"/>
              <w:left w:val="single" w:sz="4" w:space="0" w:color="auto"/>
              <w:bottom w:val="single" w:sz="4" w:space="0" w:color="auto"/>
              <w:right w:val="single" w:sz="4" w:space="0" w:color="auto"/>
            </w:tcBorders>
          </w:tcPr>
          <w:p w14:paraId="6FB48C3F" w14:textId="065CD26E" w:rsidR="005434EA" w:rsidRDefault="005434EA" w:rsidP="005434EA">
            <w:pPr>
              <w:pStyle w:val="Default"/>
            </w:pPr>
            <w:r>
              <w:rPr>
                <w:sz w:val="22"/>
                <w:szCs w:val="22"/>
              </w:rPr>
              <w:t>Кървене от урогениталния тракт (вкл. хематурия и менорагия</w:t>
            </w:r>
            <w:r w:rsidRPr="005434EA">
              <w:rPr>
                <w:sz w:val="22"/>
                <w:szCs w:val="22"/>
                <w:vertAlign w:val="superscript"/>
              </w:rPr>
              <w:t>B</w:t>
            </w:r>
            <w:r>
              <w:rPr>
                <w:rFonts w:ascii="ZWAdobeF" w:hAnsi="ZWAdobeF" w:cs="ZWAdobeF"/>
                <w:sz w:val="2"/>
                <w:szCs w:val="2"/>
              </w:rPr>
              <w:t>P</w:t>
            </w:r>
            <w:r>
              <w:rPr>
                <w:sz w:val="22"/>
                <w:szCs w:val="22"/>
              </w:rPr>
              <w:t>), бъбречно увреждане (вкл. повишение на креатинина и повишение на уреята в кръвта)</w:t>
            </w:r>
          </w:p>
          <w:p w14:paraId="3AA83BCB" w14:textId="137C7219" w:rsidR="008104F6" w:rsidRPr="00566CE6" w:rsidRDefault="008104F6">
            <w:pPr>
              <w:ind w:left="40"/>
            </w:pPr>
          </w:p>
        </w:tc>
        <w:tc>
          <w:tcPr>
            <w:tcW w:w="1702" w:type="dxa"/>
            <w:tcBorders>
              <w:top w:val="single" w:sz="4" w:space="0" w:color="auto"/>
              <w:left w:val="single" w:sz="4" w:space="0" w:color="auto"/>
              <w:bottom w:val="single" w:sz="4" w:space="0" w:color="auto"/>
              <w:right w:val="single" w:sz="4" w:space="0" w:color="auto"/>
            </w:tcBorders>
          </w:tcPr>
          <w:p w14:paraId="630AA8E5" w14:textId="77777777" w:rsidR="008104F6" w:rsidRPr="00566CE6" w:rsidRDefault="008104F6"/>
        </w:tc>
        <w:tc>
          <w:tcPr>
            <w:tcW w:w="1838" w:type="dxa"/>
            <w:tcBorders>
              <w:top w:val="single" w:sz="4" w:space="0" w:color="auto"/>
              <w:left w:val="single" w:sz="4" w:space="0" w:color="auto"/>
              <w:bottom w:val="single" w:sz="4" w:space="0" w:color="auto"/>
              <w:right w:val="single" w:sz="4" w:space="0" w:color="auto"/>
            </w:tcBorders>
          </w:tcPr>
          <w:p w14:paraId="2AFE4457" w14:textId="77777777" w:rsidR="008104F6" w:rsidRPr="00566CE6" w:rsidRDefault="008104F6"/>
        </w:tc>
        <w:tc>
          <w:tcPr>
            <w:tcW w:w="1840" w:type="dxa"/>
            <w:gridSpan w:val="2"/>
            <w:tcBorders>
              <w:top w:val="single" w:sz="4" w:space="0" w:color="auto"/>
              <w:left w:val="single" w:sz="4" w:space="0" w:color="auto"/>
              <w:bottom w:val="single" w:sz="4" w:space="0" w:color="auto"/>
              <w:right w:val="single" w:sz="4" w:space="0" w:color="auto"/>
            </w:tcBorders>
          </w:tcPr>
          <w:p w14:paraId="77908DB3" w14:textId="77777777" w:rsidR="008104F6" w:rsidRPr="00566CE6" w:rsidRDefault="008104F6"/>
        </w:tc>
        <w:tc>
          <w:tcPr>
            <w:tcW w:w="1992" w:type="dxa"/>
            <w:tcBorders>
              <w:top w:val="single" w:sz="4" w:space="0" w:color="auto"/>
              <w:left w:val="single" w:sz="4" w:space="0" w:color="auto"/>
              <w:bottom w:val="single" w:sz="4" w:space="0" w:color="auto"/>
              <w:right w:val="single" w:sz="4" w:space="0" w:color="auto"/>
            </w:tcBorders>
          </w:tcPr>
          <w:p w14:paraId="11AB6493" w14:textId="77777777" w:rsidR="005434EA" w:rsidRPr="005434EA" w:rsidRDefault="005434EA" w:rsidP="005434EA">
            <w:pPr>
              <w:ind w:left="20"/>
              <w:rPr>
                <w:rFonts w:eastAsia="Times New Roman"/>
              </w:rPr>
            </w:pPr>
            <w:r w:rsidRPr="005434EA">
              <w:rPr>
                <w:rFonts w:eastAsia="Times New Roman"/>
              </w:rPr>
              <w:t>Бъбречна недостатъчност/</w:t>
            </w:r>
          </w:p>
          <w:p w14:paraId="5CFB2E80" w14:textId="773E2893" w:rsidR="008104F6" w:rsidRPr="00566CE6" w:rsidRDefault="005434EA" w:rsidP="005434EA">
            <w:pPr>
              <w:ind w:left="20"/>
            </w:pPr>
            <w:r w:rsidRPr="005434EA">
              <w:rPr>
                <w:rFonts w:eastAsia="Times New Roman"/>
              </w:rPr>
              <w:t>остра бъбречна недостатъчност в резултат на кървене, достатъчна да предизвика хипоперфузия</w:t>
            </w:r>
          </w:p>
        </w:tc>
      </w:tr>
      <w:tr w:rsidR="008104F6" w:rsidRPr="008104F6" w14:paraId="22470741" w14:textId="77777777" w:rsidTr="004B3035">
        <w:trPr>
          <w:trHeight w:val="262"/>
        </w:trPr>
        <w:tc>
          <w:tcPr>
            <w:tcW w:w="9356" w:type="dxa"/>
            <w:gridSpan w:val="8"/>
            <w:tcBorders>
              <w:top w:val="single" w:sz="4" w:space="0" w:color="auto"/>
              <w:left w:val="single" w:sz="4" w:space="0" w:color="auto"/>
              <w:bottom w:val="single" w:sz="4" w:space="0" w:color="auto"/>
              <w:right w:val="single" w:sz="4" w:space="0" w:color="auto"/>
            </w:tcBorders>
          </w:tcPr>
          <w:p w14:paraId="735F18CB" w14:textId="2FDF3A4F" w:rsidR="008104F6" w:rsidRPr="008104F6" w:rsidRDefault="005434EA" w:rsidP="004B3035">
            <w:pPr>
              <w:ind w:left="40"/>
            </w:pPr>
            <w:r w:rsidRPr="005434EA">
              <w:rPr>
                <w:rFonts w:eastAsia="Times New Roman"/>
                <w:b/>
                <w:bCs/>
              </w:rPr>
              <w:t>Общи нарушения и ефекти на мястото на приложение</w:t>
            </w:r>
          </w:p>
        </w:tc>
      </w:tr>
      <w:tr w:rsidR="008104F6" w:rsidRPr="008104F6" w14:paraId="2262F295" w14:textId="77777777" w:rsidTr="00F5692F">
        <w:trPr>
          <w:trHeight w:val="1270"/>
        </w:trPr>
        <w:tc>
          <w:tcPr>
            <w:tcW w:w="1984" w:type="dxa"/>
            <w:gridSpan w:val="3"/>
            <w:tcBorders>
              <w:top w:val="single" w:sz="4" w:space="0" w:color="auto"/>
              <w:left w:val="single" w:sz="4" w:space="0" w:color="auto"/>
              <w:bottom w:val="single" w:sz="4" w:space="0" w:color="auto"/>
              <w:right w:val="single" w:sz="4" w:space="0" w:color="auto"/>
            </w:tcBorders>
          </w:tcPr>
          <w:p w14:paraId="7F2E7FD1" w14:textId="4304E377" w:rsidR="008104F6" w:rsidRPr="008104F6" w:rsidRDefault="005434EA">
            <w:pPr>
              <w:ind w:left="40"/>
            </w:pPr>
            <w:r>
              <w:rPr>
                <w:rFonts w:eastAsia="Times New Roman"/>
              </w:rPr>
              <w:t>Повишена температура</w:t>
            </w:r>
            <w:r w:rsidR="008104F6" w:rsidRPr="008104F6">
              <w:rPr>
                <w:rFonts w:eastAsia="Times New Roman"/>
                <w:vertAlign w:val="superscript"/>
              </w:rPr>
              <w:t>A</w:t>
            </w:r>
            <w:r w:rsidR="008104F6" w:rsidRPr="008104F6">
              <w:rPr>
                <w:rFonts w:eastAsia="Times New Roman"/>
              </w:rPr>
              <w:t xml:space="preserve">, </w:t>
            </w:r>
            <w:r w:rsidRPr="005434EA">
              <w:rPr>
                <w:rFonts w:eastAsia="Times New Roman"/>
              </w:rPr>
              <w:t>периферен оток, понижена обща сила и енергичност (вкл. умора и астения)</w:t>
            </w:r>
          </w:p>
        </w:tc>
        <w:tc>
          <w:tcPr>
            <w:tcW w:w="1702" w:type="dxa"/>
            <w:tcBorders>
              <w:top w:val="single" w:sz="4" w:space="0" w:color="auto"/>
              <w:left w:val="single" w:sz="4" w:space="0" w:color="auto"/>
              <w:bottom w:val="single" w:sz="4" w:space="0" w:color="auto"/>
              <w:right w:val="single" w:sz="4" w:space="0" w:color="auto"/>
            </w:tcBorders>
          </w:tcPr>
          <w:p w14:paraId="7C9C9BC0" w14:textId="475DABBB" w:rsidR="008104F6" w:rsidRPr="008104F6" w:rsidRDefault="00F5692F">
            <w:pPr>
              <w:ind w:left="20"/>
            </w:pPr>
            <w:r>
              <w:rPr>
                <w:rFonts w:eastAsia="Times New Roman"/>
              </w:rPr>
              <w:t xml:space="preserve">Неразположение (вкл. </w:t>
            </w:r>
            <w:r w:rsidR="005434EA" w:rsidRPr="005434EA">
              <w:rPr>
                <w:rFonts w:eastAsia="Times New Roman"/>
              </w:rPr>
              <w:t>прилошаване)</w:t>
            </w:r>
          </w:p>
        </w:tc>
        <w:tc>
          <w:tcPr>
            <w:tcW w:w="1838" w:type="dxa"/>
            <w:tcBorders>
              <w:top w:val="single" w:sz="4" w:space="0" w:color="auto"/>
              <w:left w:val="single" w:sz="4" w:space="0" w:color="auto"/>
              <w:bottom w:val="single" w:sz="4" w:space="0" w:color="auto"/>
              <w:right w:val="single" w:sz="4" w:space="0" w:color="auto"/>
            </w:tcBorders>
          </w:tcPr>
          <w:p w14:paraId="1F10201E" w14:textId="60E33CD8" w:rsidR="008104F6" w:rsidRPr="008104F6" w:rsidRDefault="00F5692F" w:rsidP="004B3035">
            <w:r>
              <w:rPr>
                <w:rFonts w:eastAsia="Times New Roman"/>
                <w:lang w:val="bg-BG"/>
              </w:rPr>
              <w:t>Локализиран оток</w:t>
            </w:r>
            <w:r w:rsidR="008104F6" w:rsidRPr="008104F6">
              <w:rPr>
                <w:rFonts w:eastAsia="Times New Roman"/>
                <w:vertAlign w:val="superscript"/>
              </w:rPr>
              <w:t>A</w:t>
            </w:r>
          </w:p>
        </w:tc>
        <w:tc>
          <w:tcPr>
            <w:tcW w:w="1840" w:type="dxa"/>
            <w:gridSpan w:val="2"/>
            <w:tcBorders>
              <w:top w:val="single" w:sz="4" w:space="0" w:color="auto"/>
              <w:left w:val="single" w:sz="4" w:space="0" w:color="auto"/>
              <w:bottom w:val="single" w:sz="4" w:space="0" w:color="auto"/>
              <w:right w:val="single" w:sz="4" w:space="0" w:color="auto"/>
            </w:tcBorders>
          </w:tcPr>
          <w:p w14:paraId="48ACF30B" w14:textId="77777777" w:rsidR="008104F6" w:rsidRPr="008104F6" w:rsidRDefault="008104F6"/>
        </w:tc>
        <w:tc>
          <w:tcPr>
            <w:tcW w:w="1992" w:type="dxa"/>
            <w:tcBorders>
              <w:top w:val="single" w:sz="4" w:space="0" w:color="auto"/>
              <w:left w:val="single" w:sz="4" w:space="0" w:color="auto"/>
              <w:bottom w:val="single" w:sz="4" w:space="0" w:color="auto"/>
              <w:right w:val="single" w:sz="4" w:space="0" w:color="auto"/>
            </w:tcBorders>
          </w:tcPr>
          <w:p w14:paraId="2DF4C62A" w14:textId="77777777" w:rsidR="008104F6" w:rsidRPr="008104F6" w:rsidRDefault="008104F6"/>
        </w:tc>
      </w:tr>
      <w:tr w:rsidR="008104F6" w:rsidRPr="00566CE6" w14:paraId="43FF7BF4" w14:textId="77777777" w:rsidTr="004B3035">
        <w:trPr>
          <w:trHeight w:val="243"/>
        </w:trPr>
        <w:tc>
          <w:tcPr>
            <w:tcW w:w="9356" w:type="dxa"/>
            <w:gridSpan w:val="8"/>
            <w:tcBorders>
              <w:top w:val="single" w:sz="4" w:space="0" w:color="auto"/>
              <w:left w:val="single" w:sz="4" w:space="0" w:color="auto"/>
              <w:bottom w:val="single" w:sz="4" w:space="0" w:color="auto"/>
              <w:right w:val="single" w:sz="4" w:space="0" w:color="auto"/>
            </w:tcBorders>
          </w:tcPr>
          <w:p w14:paraId="4900EFE2" w14:textId="05EA4B78" w:rsidR="008104F6" w:rsidRPr="00F5692F" w:rsidRDefault="00F5692F">
            <w:pPr>
              <w:rPr>
                <w:lang w:val="bg-BG"/>
              </w:rPr>
            </w:pPr>
            <w:r>
              <w:rPr>
                <w:rFonts w:eastAsia="Times New Roman"/>
                <w:b/>
                <w:bCs/>
              </w:rPr>
              <w:t>Изследвания</w:t>
            </w:r>
          </w:p>
        </w:tc>
      </w:tr>
      <w:tr w:rsidR="008104F6" w:rsidRPr="00566CE6" w14:paraId="4331F66D" w14:textId="77777777" w:rsidTr="00F5692F">
        <w:trPr>
          <w:trHeight w:val="1136"/>
        </w:trPr>
        <w:tc>
          <w:tcPr>
            <w:tcW w:w="1984" w:type="dxa"/>
            <w:gridSpan w:val="3"/>
            <w:tcBorders>
              <w:top w:val="single" w:sz="4" w:space="0" w:color="auto"/>
              <w:left w:val="single" w:sz="4" w:space="0" w:color="auto"/>
              <w:bottom w:val="single" w:sz="4" w:space="0" w:color="auto"/>
              <w:right w:val="single" w:sz="4" w:space="0" w:color="auto"/>
            </w:tcBorders>
          </w:tcPr>
          <w:p w14:paraId="3B432B17" w14:textId="77777777" w:rsidR="008104F6" w:rsidRPr="00566CE6" w:rsidRDefault="008104F6"/>
        </w:tc>
        <w:tc>
          <w:tcPr>
            <w:tcW w:w="1702" w:type="dxa"/>
            <w:tcBorders>
              <w:top w:val="single" w:sz="4" w:space="0" w:color="auto"/>
              <w:left w:val="single" w:sz="4" w:space="0" w:color="auto"/>
              <w:bottom w:val="single" w:sz="4" w:space="0" w:color="auto"/>
              <w:right w:val="single" w:sz="4" w:space="0" w:color="auto"/>
            </w:tcBorders>
          </w:tcPr>
          <w:p w14:paraId="35D372A7" w14:textId="76B52E42" w:rsidR="008104F6" w:rsidRPr="00566CE6" w:rsidRDefault="00F5692F" w:rsidP="00F5692F">
            <w:pPr>
              <w:ind w:left="20"/>
            </w:pPr>
            <w:r>
              <w:rPr>
                <w:rFonts w:eastAsia="Times New Roman"/>
              </w:rPr>
              <w:t>Повишен</w:t>
            </w:r>
            <w:r w:rsidR="008104F6" w:rsidRPr="00566CE6">
              <w:rPr>
                <w:rFonts w:eastAsia="Times New Roman"/>
              </w:rPr>
              <w:t xml:space="preserve"> LDH</w:t>
            </w:r>
            <w:r w:rsidR="008104F6" w:rsidRPr="00566CE6">
              <w:rPr>
                <w:rFonts w:eastAsia="Times New Roman"/>
                <w:vertAlign w:val="superscript"/>
              </w:rPr>
              <w:t>A</w:t>
            </w:r>
            <w:r w:rsidR="008104F6" w:rsidRPr="00566CE6">
              <w:rPr>
                <w:rFonts w:eastAsia="Times New Roman"/>
              </w:rPr>
              <w:t>,</w:t>
            </w:r>
            <w:r w:rsidR="008104F6">
              <w:rPr>
                <w:rFonts w:eastAsia="Times New Roman"/>
              </w:rPr>
              <w:t xml:space="preserve"> </w:t>
            </w:r>
            <w:r>
              <w:rPr>
                <w:rFonts w:eastAsia="Times New Roman"/>
              </w:rPr>
              <w:t>повишена липаза</w:t>
            </w:r>
            <w:r w:rsidR="008104F6" w:rsidRPr="00566CE6">
              <w:rPr>
                <w:rFonts w:eastAsia="Times New Roman"/>
                <w:vertAlign w:val="superscript"/>
              </w:rPr>
              <w:t>A</w:t>
            </w:r>
            <w:r w:rsidR="008104F6" w:rsidRPr="00566CE6">
              <w:rPr>
                <w:rFonts w:eastAsia="Times New Roman"/>
              </w:rPr>
              <w:t>,</w:t>
            </w:r>
            <w:r w:rsidR="008104F6">
              <w:rPr>
                <w:rFonts w:eastAsia="Times New Roman"/>
              </w:rPr>
              <w:t xml:space="preserve"> </w:t>
            </w:r>
            <w:r>
              <w:rPr>
                <w:rFonts w:eastAsia="Times New Roman"/>
              </w:rPr>
              <w:t xml:space="preserve">повишена </w:t>
            </w:r>
            <w:r>
              <w:rPr>
                <w:rFonts w:eastAsia="Times New Roman"/>
                <w:lang w:val="bg-BG"/>
              </w:rPr>
              <w:t>а</w:t>
            </w:r>
            <w:r>
              <w:rPr>
                <w:rFonts w:eastAsia="Times New Roman"/>
              </w:rPr>
              <w:t>милаза</w:t>
            </w:r>
            <w:r w:rsidR="008104F6" w:rsidRPr="00566CE6">
              <w:rPr>
                <w:rFonts w:eastAsia="Times New Roman"/>
                <w:vertAlign w:val="superscript"/>
              </w:rPr>
              <w:t>A</w:t>
            </w:r>
          </w:p>
        </w:tc>
        <w:tc>
          <w:tcPr>
            <w:tcW w:w="1838" w:type="dxa"/>
            <w:tcBorders>
              <w:top w:val="single" w:sz="4" w:space="0" w:color="auto"/>
              <w:left w:val="single" w:sz="4" w:space="0" w:color="auto"/>
              <w:bottom w:val="single" w:sz="4" w:space="0" w:color="auto"/>
              <w:right w:val="single" w:sz="4" w:space="0" w:color="auto"/>
            </w:tcBorders>
          </w:tcPr>
          <w:p w14:paraId="0BE24CD5" w14:textId="77777777" w:rsidR="008104F6" w:rsidRPr="00566CE6" w:rsidRDefault="008104F6"/>
        </w:tc>
        <w:tc>
          <w:tcPr>
            <w:tcW w:w="1840" w:type="dxa"/>
            <w:gridSpan w:val="2"/>
            <w:tcBorders>
              <w:top w:val="single" w:sz="4" w:space="0" w:color="auto"/>
              <w:left w:val="single" w:sz="4" w:space="0" w:color="auto"/>
              <w:bottom w:val="single" w:sz="4" w:space="0" w:color="auto"/>
              <w:right w:val="single" w:sz="4" w:space="0" w:color="auto"/>
            </w:tcBorders>
          </w:tcPr>
          <w:p w14:paraId="03AA4AE5" w14:textId="77777777" w:rsidR="008104F6" w:rsidRPr="00566CE6" w:rsidRDefault="008104F6"/>
        </w:tc>
        <w:tc>
          <w:tcPr>
            <w:tcW w:w="1992" w:type="dxa"/>
            <w:tcBorders>
              <w:top w:val="single" w:sz="4" w:space="0" w:color="auto"/>
              <w:left w:val="single" w:sz="4" w:space="0" w:color="auto"/>
              <w:bottom w:val="single" w:sz="4" w:space="0" w:color="auto"/>
              <w:right w:val="single" w:sz="4" w:space="0" w:color="auto"/>
            </w:tcBorders>
          </w:tcPr>
          <w:p w14:paraId="3707D98E" w14:textId="77777777" w:rsidR="008104F6" w:rsidRPr="00566CE6" w:rsidRDefault="008104F6"/>
        </w:tc>
      </w:tr>
      <w:tr w:rsidR="008104F6" w:rsidRPr="00566CE6" w14:paraId="77508174" w14:textId="77777777" w:rsidTr="004B3035">
        <w:trPr>
          <w:trHeight w:val="243"/>
        </w:trPr>
        <w:tc>
          <w:tcPr>
            <w:tcW w:w="9356" w:type="dxa"/>
            <w:gridSpan w:val="8"/>
            <w:tcBorders>
              <w:top w:val="single" w:sz="4" w:space="0" w:color="auto"/>
              <w:left w:val="single" w:sz="4" w:space="0" w:color="auto"/>
              <w:bottom w:val="single" w:sz="4" w:space="0" w:color="auto"/>
              <w:right w:val="single" w:sz="4" w:space="0" w:color="auto"/>
            </w:tcBorders>
          </w:tcPr>
          <w:p w14:paraId="6EC78544" w14:textId="1388C188" w:rsidR="008104F6" w:rsidRPr="00566CE6" w:rsidRDefault="00F5692F">
            <w:r w:rsidRPr="00F5692F">
              <w:rPr>
                <w:rFonts w:eastAsia="Times New Roman"/>
                <w:b/>
                <w:bCs/>
              </w:rPr>
              <w:t>Наранявания, отравяния и усложнения, възникнали в резултат на интервенции</w:t>
            </w:r>
          </w:p>
        </w:tc>
      </w:tr>
      <w:tr w:rsidR="008104F6" w:rsidRPr="00566CE6" w14:paraId="35219338" w14:textId="77777777" w:rsidTr="00F5692F">
        <w:trPr>
          <w:trHeight w:val="1864"/>
        </w:trPr>
        <w:tc>
          <w:tcPr>
            <w:tcW w:w="1984" w:type="dxa"/>
            <w:gridSpan w:val="3"/>
            <w:tcBorders>
              <w:top w:val="single" w:sz="4" w:space="0" w:color="auto"/>
              <w:left w:val="single" w:sz="4" w:space="0" w:color="auto"/>
              <w:bottom w:val="single" w:sz="4" w:space="0" w:color="auto"/>
              <w:right w:val="single" w:sz="4" w:space="0" w:color="auto"/>
            </w:tcBorders>
          </w:tcPr>
          <w:p w14:paraId="5AEA217E" w14:textId="72927925" w:rsidR="008104F6" w:rsidRPr="00566CE6" w:rsidRDefault="00F5692F" w:rsidP="004B3035">
            <w:pPr>
              <w:ind w:left="40"/>
            </w:pPr>
            <w:r w:rsidRPr="00F5692F">
              <w:rPr>
                <w:rFonts w:eastAsia="Times New Roman"/>
              </w:rPr>
              <w:t>Кървене след някаква процедура (вкл. постоперативна анемия и кървене от ра</w:t>
            </w:r>
            <w:r>
              <w:rPr>
                <w:rFonts w:eastAsia="Times New Roman"/>
              </w:rPr>
              <w:t>на), контузия, секреция от рани</w:t>
            </w:r>
            <w:r w:rsidR="008104F6" w:rsidRPr="00566CE6">
              <w:rPr>
                <w:rFonts w:eastAsia="Times New Roman"/>
                <w:vertAlign w:val="superscript"/>
              </w:rPr>
              <w:t>A</w:t>
            </w:r>
          </w:p>
        </w:tc>
        <w:tc>
          <w:tcPr>
            <w:tcW w:w="1702" w:type="dxa"/>
            <w:tcBorders>
              <w:top w:val="single" w:sz="4" w:space="0" w:color="auto"/>
              <w:left w:val="single" w:sz="4" w:space="0" w:color="auto"/>
              <w:bottom w:val="single" w:sz="4" w:space="0" w:color="auto"/>
              <w:right w:val="single" w:sz="4" w:space="0" w:color="auto"/>
            </w:tcBorders>
          </w:tcPr>
          <w:p w14:paraId="6313B4B7" w14:textId="77777777" w:rsidR="008104F6" w:rsidRPr="00566CE6" w:rsidRDefault="008104F6"/>
        </w:tc>
        <w:tc>
          <w:tcPr>
            <w:tcW w:w="1838" w:type="dxa"/>
            <w:tcBorders>
              <w:top w:val="single" w:sz="4" w:space="0" w:color="auto"/>
              <w:left w:val="single" w:sz="4" w:space="0" w:color="auto"/>
              <w:bottom w:val="single" w:sz="4" w:space="0" w:color="auto"/>
              <w:right w:val="single" w:sz="4" w:space="0" w:color="auto"/>
            </w:tcBorders>
          </w:tcPr>
          <w:p w14:paraId="1771E6D5" w14:textId="56B9016A" w:rsidR="008104F6" w:rsidRPr="00566CE6" w:rsidRDefault="00F5692F" w:rsidP="00F5692F">
            <w:pPr>
              <w:pStyle w:val="Default"/>
            </w:pPr>
            <w:r>
              <w:rPr>
                <w:sz w:val="22"/>
                <w:szCs w:val="22"/>
              </w:rPr>
              <w:t>Съдова псевдоаневризма</w:t>
            </w:r>
            <w:r w:rsidR="008104F6" w:rsidRPr="00566CE6">
              <w:rPr>
                <w:rFonts w:eastAsia="Times New Roman"/>
                <w:vertAlign w:val="superscript"/>
              </w:rPr>
              <w:t>C</w:t>
            </w:r>
          </w:p>
        </w:tc>
        <w:tc>
          <w:tcPr>
            <w:tcW w:w="1840" w:type="dxa"/>
            <w:gridSpan w:val="2"/>
            <w:tcBorders>
              <w:top w:val="single" w:sz="4" w:space="0" w:color="auto"/>
              <w:left w:val="single" w:sz="4" w:space="0" w:color="auto"/>
              <w:bottom w:val="single" w:sz="4" w:space="0" w:color="auto"/>
              <w:right w:val="single" w:sz="4" w:space="0" w:color="auto"/>
            </w:tcBorders>
          </w:tcPr>
          <w:p w14:paraId="07B13420" w14:textId="77777777" w:rsidR="008104F6" w:rsidRPr="00566CE6" w:rsidRDefault="008104F6"/>
        </w:tc>
        <w:tc>
          <w:tcPr>
            <w:tcW w:w="1992" w:type="dxa"/>
            <w:tcBorders>
              <w:top w:val="single" w:sz="4" w:space="0" w:color="auto"/>
              <w:left w:val="single" w:sz="4" w:space="0" w:color="auto"/>
              <w:bottom w:val="single" w:sz="4" w:space="0" w:color="auto"/>
              <w:right w:val="single" w:sz="4" w:space="0" w:color="auto"/>
            </w:tcBorders>
          </w:tcPr>
          <w:p w14:paraId="342972B0" w14:textId="77777777" w:rsidR="008104F6" w:rsidRPr="00566CE6" w:rsidRDefault="008104F6"/>
        </w:tc>
      </w:tr>
    </w:tbl>
    <w:p w14:paraId="6419978B" w14:textId="6B2E4AEE" w:rsidR="004762C7" w:rsidRPr="00566CE6" w:rsidRDefault="00F5692F" w:rsidP="004114F8">
      <w:pPr>
        <w:numPr>
          <w:ilvl w:val="0"/>
          <w:numId w:val="6"/>
        </w:numPr>
        <w:tabs>
          <w:tab w:val="left" w:pos="567"/>
        </w:tabs>
        <w:ind w:left="60" w:right="-3" w:firstLine="6"/>
        <w:rPr>
          <w:rFonts w:eastAsia="Times New Roman"/>
        </w:rPr>
      </w:pPr>
      <w:r w:rsidRPr="00F5692F">
        <w:rPr>
          <w:rFonts w:eastAsia="Times New Roman"/>
        </w:rPr>
        <w:t xml:space="preserve">наблюдавани при профилактика на ВТЕ при възрастни пациенти, подложени на планово </w:t>
      </w:r>
      <w:r>
        <w:rPr>
          <w:rFonts w:eastAsia="Times New Roman"/>
          <w:lang w:val="bg-BG"/>
        </w:rPr>
        <w:t xml:space="preserve"> </w:t>
      </w:r>
      <w:r w:rsidR="00001B6F">
        <w:rPr>
          <w:rFonts w:eastAsia="Times New Roman"/>
          <w:lang w:val="bg-BG"/>
        </w:rPr>
        <w:tab/>
      </w:r>
      <w:r w:rsidRPr="00F5692F">
        <w:rPr>
          <w:rFonts w:eastAsia="Times New Roman"/>
        </w:rPr>
        <w:t>ставно протезиране на тазобедрената или колянната става</w:t>
      </w:r>
    </w:p>
    <w:p w14:paraId="0D57E093" w14:textId="77777777" w:rsidR="00F5692F" w:rsidRPr="00F5692F" w:rsidRDefault="00F5692F" w:rsidP="004114F8">
      <w:pPr>
        <w:numPr>
          <w:ilvl w:val="0"/>
          <w:numId w:val="6"/>
        </w:numPr>
        <w:tabs>
          <w:tab w:val="left" w:pos="567"/>
        </w:tabs>
        <w:ind w:left="567" w:right="-3" w:hanging="501"/>
        <w:rPr>
          <w:rFonts w:eastAsia="Times New Roman"/>
        </w:rPr>
      </w:pPr>
      <w:r>
        <w:t xml:space="preserve">наблюдавани при лечение на ДВТ, БЕ или профилактика на рецидиви, като много чести при жени &lt; 55 години </w:t>
      </w:r>
    </w:p>
    <w:p w14:paraId="52CE15E5" w14:textId="77777777" w:rsidR="00F5692F" w:rsidRDefault="00F5692F" w:rsidP="004114F8">
      <w:pPr>
        <w:numPr>
          <w:ilvl w:val="0"/>
          <w:numId w:val="6"/>
        </w:numPr>
        <w:tabs>
          <w:tab w:val="left" w:pos="567"/>
        </w:tabs>
        <w:ind w:left="567" w:right="-3" w:hanging="507"/>
        <w:rPr>
          <w:rFonts w:eastAsia="Times New Roman"/>
        </w:rPr>
      </w:pPr>
      <w:r>
        <w:t xml:space="preserve">наблюдавани като нечести при профилактика на атеротромботични събития при пациенти след ОКС (след перкутанна коронарна интервенция) </w:t>
      </w:r>
    </w:p>
    <w:p w14:paraId="19C0F5EA" w14:textId="54356910" w:rsidR="004762C7" w:rsidRPr="00F5692F" w:rsidRDefault="00030E48" w:rsidP="00F5692F">
      <w:pPr>
        <w:tabs>
          <w:tab w:val="left" w:pos="567"/>
        </w:tabs>
        <w:ind w:left="567" w:right="-3" w:hanging="507"/>
        <w:rPr>
          <w:rFonts w:eastAsia="Times New Roman"/>
        </w:rPr>
      </w:pPr>
      <w:r w:rsidRPr="001A09CA">
        <w:rPr>
          <w:rFonts w:eastAsia="Times New Roman"/>
          <w:sz w:val="28"/>
          <w:szCs w:val="28"/>
          <w:vertAlign w:val="superscript"/>
        </w:rPr>
        <w:t>*</w:t>
      </w:r>
      <w:r w:rsidRPr="000007FD">
        <w:rPr>
          <w:rFonts w:eastAsia="Times New Roman"/>
          <w:vertAlign w:val="superscript"/>
        </w:rPr>
        <w:t xml:space="preserve"> </w:t>
      </w:r>
      <w:r w:rsidR="004F69FD" w:rsidRPr="00F5692F">
        <w:rPr>
          <w:rFonts w:eastAsia="Times New Roman"/>
        </w:rPr>
        <w:tab/>
      </w:r>
      <w:r w:rsidR="00F5692F" w:rsidRPr="00F5692F">
        <w:rPr>
          <w:rFonts w:eastAsia="Times New Roman"/>
        </w:rPr>
        <w:t>Приложен е предварително определен селективен подход за събиране на нежелани събития в избрани проучвания фаза III. Честотата на нежеланите реакции не е увеличена и не е установена нова нежелана лекарствена реакция след анализ на тези проучвания.</w:t>
      </w:r>
    </w:p>
    <w:p w14:paraId="0D34BDBA" w14:textId="77777777" w:rsidR="004762C7" w:rsidRPr="00566CE6" w:rsidRDefault="004762C7" w:rsidP="004B3035"/>
    <w:p w14:paraId="2BACFF46" w14:textId="77777777" w:rsidR="00F5692F" w:rsidRDefault="00F5692F" w:rsidP="004B3035">
      <w:pPr>
        <w:ind w:right="60" w:firstLine="1"/>
        <w:rPr>
          <w:rFonts w:eastAsia="Times New Roman"/>
          <w:u w:val="single"/>
        </w:rPr>
      </w:pPr>
      <w:r w:rsidRPr="00F5692F">
        <w:rPr>
          <w:rFonts w:eastAsia="Times New Roman"/>
          <w:u w:val="single"/>
        </w:rPr>
        <w:t xml:space="preserve">Описание на избрани нежелани реакции </w:t>
      </w:r>
    </w:p>
    <w:p w14:paraId="6F8D0DC8" w14:textId="6796BC8B" w:rsidR="00F5692F" w:rsidRPr="00F5692F" w:rsidRDefault="00F5692F" w:rsidP="00F5692F">
      <w:pPr>
        <w:rPr>
          <w:rFonts w:eastAsia="Times New Roman"/>
        </w:rPr>
      </w:pPr>
      <w:r w:rsidRPr="00F5692F">
        <w:rPr>
          <w:rFonts w:eastAsia="Times New Roman"/>
        </w:rPr>
        <w:t>Поради фармакологичния му механизъм на</w:t>
      </w:r>
      <w:r>
        <w:rPr>
          <w:rFonts w:eastAsia="Times New Roman"/>
        </w:rPr>
        <w:t xml:space="preserve"> действие, употребата на Руфиксало</w:t>
      </w:r>
      <w:r w:rsidRPr="00F5692F">
        <w:rPr>
          <w:rFonts w:eastAsia="Times New Roman"/>
        </w:rPr>
        <w:t xml:space="preserve"> може да бъде свързана с повишен риск за окултно или явно кървене от всяка тъкан или орган, което би могло да доведе до постхеморагична анемия. Признаците, симптомите и тежестта (включително летален изход) ще зависят от локализацията и степента или обема на кървенето и/или анемията. (вж. точка 4.9 „Поведение при кървене“). В клиничните проучвания лигавично кървене (т.е. от носа, венците, стомашно-чревния тракт, пикочо-половия тракт, включително абнормно вагинално или увеличено менструално кървене) и анемия се наблюдават по-често при дългосрочно лечение с ривароксабан в сравнение с лечение с АВК. По тази причина, в допълнение към адекватното клинично наблюдение, лабораторно изследване на </w:t>
      </w:r>
      <w:r w:rsidRPr="00F5692F">
        <w:rPr>
          <w:rFonts w:eastAsia="Times New Roman"/>
        </w:rPr>
        <w:lastRenderedPageBreak/>
        <w:t>хемоглобина/хематокрита би могло да бъде от полза за откриване на окултно кървене и за определяне на клиничната значимост на явно кървене, по преценка според случая. Възможно е рискът от кървене да бъде повишен при определени групи пациенти, например пациенти с неконтролирана тежка артериална хипертония и/или на съпътстваща терапия, която повлиява хемостазата (вж. точка 4.4 „Риск от хеморагия“). Възможно е менструалното кървене да е по-силно и/или по-продължително. Хеморагичните усложнения могат да се проявят като слабост, бледност, замаяност, главоболие или необясними отоци, диспнея и необясним шок. Като резултат от анемията в някои случаи са наблюдавани симптоми на сърдечна исхемия, като болка в гърдите или стенокардия.</w:t>
      </w:r>
    </w:p>
    <w:p w14:paraId="5347F066" w14:textId="34213BE2" w:rsidR="004762C7" w:rsidRDefault="00F5692F" w:rsidP="00F5692F">
      <w:pPr>
        <w:rPr>
          <w:rFonts w:eastAsia="Times New Roman"/>
        </w:rPr>
      </w:pPr>
      <w:r w:rsidRPr="00F5692F">
        <w:rPr>
          <w:rFonts w:eastAsia="Times New Roman"/>
        </w:rPr>
        <w:t>Има съобщения за известни усложнения в резултат на тежко кървене, като компартмент синдром и бъбречна недостатъчност в резултат на хи</w:t>
      </w:r>
      <w:r w:rsidR="00037624">
        <w:rPr>
          <w:rFonts w:eastAsia="Times New Roman"/>
        </w:rPr>
        <w:t>поперф</w:t>
      </w:r>
      <w:r w:rsidR="00001B6F">
        <w:rPr>
          <w:rFonts w:eastAsia="Times New Roman"/>
        </w:rPr>
        <w:t>узия при използване на ривароксабан</w:t>
      </w:r>
      <w:r w:rsidRPr="00F5692F">
        <w:rPr>
          <w:rFonts w:eastAsia="Times New Roman"/>
        </w:rPr>
        <w:t>. По тази причина вероятността от кървене трябва да се има предвид при преценката на състоянието на всеки пациент, който е подложен на антикоагулантно лечение.</w:t>
      </w:r>
    </w:p>
    <w:p w14:paraId="3916A17F" w14:textId="08AFD665" w:rsidR="00F5692F" w:rsidRDefault="00F5692F" w:rsidP="00F5692F"/>
    <w:p w14:paraId="6F4FDCDE" w14:textId="2DC41393" w:rsidR="004C071D" w:rsidRPr="00291F15" w:rsidRDefault="00C13092" w:rsidP="004C071D">
      <w:pPr>
        <w:rPr>
          <w:u w:val="single"/>
        </w:rPr>
      </w:pPr>
      <w:r>
        <w:rPr>
          <w:u w:val="single"/>
          <w:lang w:val="bg-BG"/>
        </w:rPr>
        <w:t>Педиатрична популация</w:t>
      </w:r>
    </w:p>
    <w:p w14:paraId="4C4C7AE2" w14:textId="77777777" w:rsidR="00C13092" w:rsidRDefault="00C13092" w:rsidP="00C13092">
      <w:r>
        <w:t>Оценката на безопасността при деца и юноши се основава на данните за безопасност от две фаза II и едно фаза III отворени активно контролирани проучвания при педиатрични пациенти на възраст от раждане до под 18 години.</w:t>
      </w:r>
    </w:p>
    <w:p w14:paraId="2FBECF46" w14:textId="3F3A5E81" w:rsidR="00C13092" w:rsidRDefault="00C13092" w:rsidP="00C13092">
      <w:r>
        <w:t>Заключенията за безопасност като цяло са сходни между ривароксабан и сравнителния продукт в различните педиатрични възрастови групи. Като цяло, профилът на безопасност при 412 деца и юноши, лекувани с ривароксабан, е подобен на този, наблюдаван при възрастни пациенти и е постоянен във възрастовите подгрупи, въпреки че оценката е ограничена поради малкия брой пациенти.</w:t>
      </w:r>
    </w:p>
    <w:p w14:paraId="07DE3C88" w14:textId="77777777" w:rsidR="009A636F" w:rsidRDefault="00C13092" w:rsidP="004C071D">
      <w:r>
        <w:t>При педиатрични пациенти, главоболи</w:t>
      </w:r>
      <w:r>
        <w:rPr>
          <w:lang w:val="bg-BG"/>
        </w:rPr>
        <w:t>е</w:t>
      </w:r>
      <w:r w:rsidR="004C071D">
        <w:t xml:space="preserve"> (</w:t>
      </w:r>
      <w:r>
        <w:rPr>
          <w:lang w:val="bg-BG"/>
        </w:rPr>
        <w:t>много чести</w:t>
      </w:r>
      <w:r w:rsidR="004C071D">
        <w:t>, 16</w:t>
      </w:r>
      <w:r>
        <w:rPr>
          <w:lang w:val="bg-BG"/>
        </w:rPr>
        <w:t>,</w:t>
      </w:r>
      <w:r w:rsidR="004C071D">
        <w:t xml:space="preserve">7%), </w:t>
      </w:r>
      <w:r>
        <w:rPr>
          <w:lang w:val="bg-BG"/>
        </w:rPr>
        <w:t xml:space="preserve">висока температура </w:t>
      </w:r>
      <w:r w:rsidR="004C071D">
        <w:t>(</w:t>
      </w:r>
      <w:r>
        <w:rPr>
          <w:lang w:val="bg-BG"/>
        </w:rPr>
        <w:t>много чести</w:t>
      </w:r>
      <w:r w:rsidR="004C071D">
        <w:t xml:space="preserve">, 11.7%), </w:t>
      </w:r>
      <w:r>
        <w:t>епистаксис</w:t>
      </w:r>
      <w:r w:rsidR="004C071D">
        <w:t xml:space="preserve"> (</w:t>
      </w:r>
      <w:r>
        <w:rPr>
          <w:lang w:val="bg-BG"/>
        </w:rPr>
        <w:t>много чести</w:t>
      </w:r>
      <w:r>
        <w:t>, 11,2%), повръщане</w:t>
      </w:r>
      <w:r w:rsidR="004C071D">
        <w:t xml:space="preserve"> (</w:t>
      </w:r>
      <w:r>
        <w:rPr>
          <w:lang w:val="bg-BG"/>
        </w:rPr>
        <w:t>много чести</w:t>
      </w:r>
      <w:r>
        <w:t>, 10,7%), тахикардия</w:t>
      </w:r>
      <w:r w:rsidR="004C071D">
        <w:t xml:space="preserve"> (</w:t>
      </w:r>
      <w:r>
        <w:rPr>
          <w:lang w:val="bg-BG"/>
        </w:rPr>
        <w:t>чести</w:t>
      </w:r>
      <w:r>
        <w:t>, 1,5%), повишаване на билирубина</w:t>
      </w:r>
      <w:r w:rsidR="004C071D">
        <w:t xml:space="preserve"> (</w:t>
      </w:r>
      <w:r>
        <w:rPr>
          <w:lang w:val="bg-BG"/>
        </w:rPr>
        <w:t>чести</w:t>
      </w:r>
      <w:r>
        <w:t>, 1,</w:t>
      </w:r>
      <w:r w:rsidR="004C071D">
        <w:t xml:space="preserve">5%) </w:t>
      </w:r>
      <w:r>
        <w:rPr>
          <w:lang w:val="bg-BG"/>
        </w:rPr>
        <w:t>и на конюгирания билирубин</w:t>
      </w:r>
      <w:r>
        <w:t xml:space="preserve"> (не</w:t>
      </w:r>
      <w:r>
        <w:rPr>
          <w:lang w:val="bg-BG"/>
        </w:rPr>
        <w:t>чести</w:t>
      </w:r>
      <w:r>
        <w:t>, 0,</w:t>
      </w:r>
      <w:r w:rsidR="004C071D">
        <w:t xml:space="preserve">7%) </w:t>
      </w:r>
      <w:r>
        <w:rPr>
          <w:lang w:val="bg-BG"/>
        </w:rPr>
        <w:t>са докладвани по-често, в сравнение с възрастни пациенти</w:t>
      </w:r>
      <w:r w:rsidR="004C071D">
        <w:t xml:space="preserve">. </w:t>
      </w:r>
      <w:r w:rsidRPr="00C13092">
        <w:t>В съот</w:t>
      </w:r>
      <w:r w:rsidR="009A636F">
        <w:t>ветствие с възрастна популация,</w:t>
      </w:r>
      <w:r w:rsidRPr="00C13092">
        <w:t xml:space="preserve"> менорагия се наблюдава при 6,6% (чести) от юноши </w:t>
      </w:r>
      <w:r w:rsidR="009A636F">
        <w:t xml:space="preserve"> </w:t>
      </w:r>
      <w:r w:rsidR="009A636F">
        <w:rPr>
          <w:lang w:val="bg-BG"/>
        </w:rPr>
        <w:t xml:space="preserve">от женски пол </w:t>
      </w:r>
      <w:r w:rsidRPr="00C13092">
        <w:t>след менархе.</w:t>
      </w:r>
    </w:p>
    <w:p w14:paraId="43E0E5CD" w14:textId="77777777" w:rsidR="009A636F" w:rsidRDefault="009A636F" w:rsidP="004C071D">
      <w:r>
        <w:rPr>
          <w:lang w:val="bg-BG"/>
        </w:rPr>
        <w:t>В</w:t>
      </w:r>
      <w:r w:rsidRPr="00C13092">
        <w:t xml:space="preserve"> педиатрични клинични проучвания</w:t>
      </w:r>
      <w:r>
        <w:t>, т</w:t>
      </w:r>
      <w:r w:rsidR="00C13092" w:rsidRPr="00C13092">
        <w:t>ромбоцитопенията, наб</w:t>
      </w:r>
      <w:r>
        <w:t>людавана в постмаркетингово проучване</w:t>
      </w:r>
      <w:r w:rsidR="00C13092" w:rsidRPr="00C13092">
        <w:t xml:space="preserve"> при възрастна популация, е честа (4,6%). </w:t>
      </w:r>
    </w:p>
    <w:p w14:paraId="19B64C97" w14:textId="55C00DDE" w:rsidR="004C071D" w:rsidRDefault="00C13092" w:rsidP="004C071D">
      <w:r w:rsidRPr="00C13092">
        <w:t>Нежеланите лекарствени реакции при педиатрични пациенти са предимно леки до умерени по тежест.</w:t>
      </w:r>
    </w:p>
    <w:p w14:paraId="68A9D6AC" w14:textId="77777777" w:rsidR="00C13092" w:rsidRPr="00225E1F" w:rsidRDefault="00C13092" w:rsidP="004C071D"/>
    <w:p w14:paraId="6C7B100B" w14:textId="77777777" w:rsidR="00037624" w:rsidRPr="009A636F" w:rsidRDefault="00037624" w:rsidP="00037624">
      <w:pPr>
        <w:pStyle w:val="Default"/>
        <w:rPr>
          <w:sz w:val="22"/>
          <w:szCs w:val="22"/>
          <w:u w:val="single"/>
          <w:lang w:val="en-US"/>
        </w:rPr>
      </w:pPr>
      <w:r w:rsidRPr="00037624">
        <w:rPr>
          <w:sz w:val="22"/>
          <w:szCs w:val="22"/>
          <w:u w:val="single"/>
        </w:rPr>
        <w:t xml:space="preserve">Съобщаване на подозирани нежелани реакции </w:t>
      </w:r>
    </w:p>
    <w:p w14:paraId="0FA516B2" w14:textId="5EDEAE0B" w:rsidR="00037624" w:rsidRDefault="00037624" w:rsidP="00037624">
      <w:pPr>
        <w:ind w:left="2"/>
        <w:rPr>
          <w:lang w:val="bg-BG"/>
        </w:rPr>
      </w:pPr>
      <w: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r>
        <w:rPr>
          <w:lang w:val="bg-BG"/>
        </w:rPr>
        <w:t>:</w:t>
      </w:r>
    </w:p>
    <w:p w14:paraId="749F3304" w14:textId="77777777" w:rsidR="00D05517" w:rsidRDefault="00D05517" w:rsidP="00D05517">
      <w:pPr>
        <w:ind w:left="2"/>
      </w:pPr>
      <w:r>
        <w:t>Изпълнителна агенция по лекарствата</w:t>
      </w:r>
    </w:p>
    <w:p w14:paraId="1A752036" w14:textId="77777777" w:rsidR="00D05517" w:rsidRDefault="00D05517" w:rsidP="00D05517">
      <w:pPr>
        <w:ind w:left="2"/>
      </w:pPr>
      <w:r>
        <w:t>България</w:t>
      </w:r>
    </w:p>
    <w:p w14:paraId="1A616B18" w14:textId="77777777" w:rsidR="00D05517" w:rsidRDefault="00D05517" w:rsidP="00D05517">
      <w:pPr>
        <w:ind w:left="2"/>
      </w:pPr>
      <w:r>
        <w:t>ул. „Дамян Груев” № 8</w:t>
      </w:r>
    </w:p>
    <w:p w14:paraId="26564964" w14:textId="77777777" w:rsidR="00D05517" w:rsidRDefault="00D05517" w:rsidP="00D05517">
      <w:pPr>
        <w:ind w:left="2"/>
      </w:pPr>
      <w:r>
        <w:t>1303 София</w:t>
      </w:r>
    </w:p>
    <w:p w14:paraId="574A5AB7" w14:textId="5B035E84" w:rsidR="00D05517" w:rsidRDefault="00D05517" w:rsidP="00D05517">
      <w:pPr>
        <w:ind w:left="2"/>
      </w:pPr>
      <w:r>
        <w:rPr>
          <w:lang w:val="bg-BG"/>
        </w:rPr>
        <w:t>т</w:t>
      </w:r>
      <w:r>
        <w:t>eл.: +359 2 8903417</w:t>
      </w:r>
    </w:p>
    <w:p w14:paraId="1FC7C353" w14:textId="5A871311" w:rsidR="00D05517" w:rsidRPr="00037624" w:rsidRDefault="00D05517" w:rsidP="00D05517">
      <w:pPr>
        <w:ind w:left="2"/>
      </w:pPr>
      <w:r>
        <w:t>уебсайт: www.bda.bg</w:t>
      </w:r>
    </w:p>
    <w:p w14:paraId="13B5EDC9" w14:textId="77777777" w:rsidR="004762C7" w:rsidRPr="00566CE6" w:rsidRDefault="004762C7" w:rsidP="004B3035"/>
    <w:p w14:paraId="456FE0EE" w14:textId="2385FC32" w:rsidR="004762C7" w:rsidRPr="00566CE6" w:rsidRDefault="00D05517">
      <w:pPr>
        <w:tabs>
          <w:tab w:val="left" w:pos="542"/>
        </w:tabs>
        <w:ind w:left="2"/>
      </w:pPr>
      <w:r>
        <w:rPr>
          <w:rFonts w:eastAsia="Times New Roman"/>
          <w:b/>
          <w:bCs/>
        </w:rPr>
        <w:t>4.9</w:t>
      </w:r>
      <w:r>
        <w:rPr>
          <w:rFonts w:eastAsia="Times New Roman"/>
          <w:b/>
          <w:bCs/>
        </w:rPr>
        <w:tab/>
        <w:t>Предозиране</w:t>
      </w:r>
    </w:p>
    <w:p w14:paraId="7014EB0A" w14:textId="77777777" w:rsidR="004762C7" w:rsidRPr="00566CE6" w:rsidRDefault="004762C7" w:rsidP="004B3035"/>
    <w:p w14:paraId="469BCBFA" w14:textId="5510D510" w:rsidR="00D05517" w:rsidRDefault="00D05517" w:rsidP="00D05517">
      <w:pPr>
        <w:ind w:left="2" w:right="8"/>
      </w:pPr>
      <w:r>
        <w:t xml:space="preserve">Има съобщения за редки случаи на предозиране до 1 960 mg. В случай на предозиране, пациентът трябва да бъде наблюдаван внимателно за усложнения, свързани с кървене, или други нежелани реакции (вж. точка „Поведение при кървене“). </w:t>
      </w:r>
      <w:r w:rsidR="00001B6F">
        <w:t xml:space="preserve">Има ограничени налични данни при деца. </w:t>
      </w:r>
      <w:r>
        <w:t xml:space="preserve">Поради </w:t>
      </w:r>
      <w:r>
        <w:lastRenderedPageBreak/>
        <w:t>ограничената абсорбция се очаква ефект на насищане без допълнително повишаване на средната плазмена експозиция при супратерапевтични дози ривароксабан от 50 mg или по-високи.</w:t>
      </w:r>
    </w:p>
    <w:p w14:paraId="61ED1979" w14:textId="6E794495" w:rsidR="00D05517" w:rsidRDefault="00D05517" w:rsidP="00D05517">
      <w:pPr>
        <w:ind w:left="2" w:right="8"/>
      </w:pPr>
      <w:r>
        <w:t xml:space="preserve">Съществува специфичен антагонист (андексанет алфа) за обръщане на фармакодинамичния ефект на ривароксабан </w:t>
      </w:r>
      <w:r w:rsidR="00001B6F" w:rsidRPr="00001B6F">
        <w:t xml:space="preserve">при възрастни, но не е установено при деца </w:t>
      </w:r>
      <w:r>
        <w:t>(вж. кратката характеристика на продукта, съдържащ андексанет алфа).</w:t>
      </w:r>
    </w:p>
    <w:p w14:paraId="1C9CAEA0" w14:textId="5FF72720" w:rsidR="00D05517" w:rsidRDefault="00D05517" w:rsidP="00D05517">
      <w:pPr>
        <w:ind w:left="2" w:right="8"/>
      </w:pPr>
      <w:r>
        <w:t>В случаи на предозиране на ривароксабан може да се има предвид използването на активен въглен за намаляване на абсорбцията.</w:t>
      </w:r>
    </w:p>
    <w:p w14:paraId="57F4C1DE" w14:textId="3785CD5B" w:rsidR="00E50345" w:rsidRPr="00566CE6" w:rsidRDefault="00E50345" w:rsidP="00D05517">
      <w:pPr>
        <w:ind w:right="8"/>
        <w:rPr>
          <w:rFonts w:eastAsia="Times New Roman"/>
        </w:rPr>
      </w:pPr>
    </w:p>
    <w:p w14:paraId="2896BF66" w14:textId="77777777" w:rsidR="00D05517" w:rsidRDefault="00D05517" w:rsidP="004B3035">
      <w:pPr>
        <w:ind w:left="2" w:right="-3"/>
        <w:rPr>
          <w:rFonts w:eastAsia="Times New Roman"/>
          <w:u w:val="single"/>
        </w:rPr>
      </w:pPr>
      <w:r w:rsidRPr="00D05517">
        <w:rPr>
          <w:rFonts w:eastAsia="Times New Roman"/>
          <w:u w:val="single"/>
        </w:rPr>
        <w:t>Поведение при кървене</w:t>
      </w:r>
    </w:p>
    <w:p w14:paraId="181A2A22" w14:textId="77777777" w:rsidR="00D05517" w:rsidRPr="00D05517" w:rsidRDefault="00D05517" w:rsidP="00D05517">
      <w:pPr>
        <w:ind w:left="2" w:right="-3"/>
        <w:rPr>
          <w:rFonts w:eastAsia="Times New Roman"/>
        </w:rPr>
      </w:pPr>
      <w:r w:rsidRPr="00D05517">
        <w:rPr>
          <w:rFonts w:eastAsia="Times New Roman"/>
        </w:rPr>
        <w:t>Ако при пациент на лечение с ривароксабан се развие свързано с кървене усложнение, следващият прием на ривароксабан трябва да се отложи или лечението трябва да се прекрати, ако е необходимо. Ривароксабан има полуживот от около 5 до 13 часа (вж. точка 5.2).</w:t>
      </w:r>
    </w:p>
    <w:p w14:paraId="3ECF219C" w14:textId="77777777" w:rsidR="00D05517" w:rsidRPr="00D05517" w:rsidRDefault="00D05517" w:rsidP="00D05517">
      <w:pPr>
        <w:ind w:left="2" w:right="-3"/>
        <w:rPr>
          <w:rFonts w:eastAsia="Times New Roman"/>
        </w:rPr>
      </w:pPr>
      <w:r w:rsidRPr="00D05517">
        <w:rPr>
          <w:rFonts w:eastAsia="Times New Roman"/>
        </w:rPr>
        <w:t>Поведението трябва да е индивидуализирано в зависимост от тежестта и локализацията на кръвоизлива. Може да се използва подходящо симптоматично лечение, като напр. механична компресия (напр. при тежък епистаксис), хирургична хемостаза с процедури за установяване на контрол над кървенето, заместване на обема и мерки за поддържане на хемодинамиката, преливане на кръвни продукти (еритроцитен концентрат или прясно замразена плазма в зависимост от асоциираната анемия или коагулопатия) или тромбоцити.</w:t>
      </w:r>
    </w:p>
    <w:p w14:paraId="1AF8B5D6" w14:textId="102C0730" w:rsidR="004762C7" w:rsidRPr="00566CE6" w:rsidRDefault="00D05517" w:rsidP="00D05517">
      <w:pPr>
        <w:ind w:left="2" w:right="-3"/>
      </w:pPr>
      <w:r w:rsidRPr="00D05517">
        <w:rPr>
          <w:rFonts w:eastAsia="Times New Roman"/>
        </w:rPr>
        <w:t>Ако кървенето не може да бъде овладяно с горепосочените мерки, трябва да се обсъди прилагането или на специфичнo неутрализиращо средство за инхибитор на фактор Xa (андексанет алфа), което антагонизира фармакодинамичния ефект на ривароксабан, или на специфично прокоагулантно неутрализиращо средство, като концентрат на протромбиновия комплекс (</w:t>
      </w:r>
      <w:r w:rsidR="00BD6A52">
        <w:rPr>
          <w:rFonts w:eastAsia="Times New Roman"/>
          <w:lang w:val="bg-BG"/>
        </w:rPr>
        <w:t>КПК</w:t>
      </w:r>
      <w:r w:rsidRPr="00D05517">
        <w:rPr>
          <w:rFonts w:eastAsia="Times New Roman"/>
        </w:rPr>
        <w:t>), активиран концентрат на протромбиновия комплекс (</w:t>
      </w:r>
      <w:r w:rsidR="00BD6A52">
        <w:rPr>
          <w:rFonts w:eastAsia="Times New Roman"/>
          <w:lang w:val="bg-BG"/>
        </w:rPr>
        <w:t>АКПК</w:t>
      </w:r>
      <w:r w:rsidRPr="00D05517">
        <w:rPr>
          <w:rFonts w:eastAsia="Times New Roman"/>
        </w:rPr>
        <w:t>) или рекомбинантен фактор VIIa (r-FVIIa). Към момента обаче клиничният опит от прилагането на тези лекарствени продукти при пациенти, получаващи ривароксабан, е много ограничен. Препоръката се основава и на ограничени неклинични данни. Може да се обмисли повторното прилагане на рекомбинантен фактор VIIa и дозата трябва да се титрира в зависимост от намаляването на кървенето. В зависимост от възможността на място, в случаи на масивно кървене, трябва да се обмисли консултация със специалист по коагулационни нарушения (вж. точка 5.1).</w:t>
      </w:r>
    </w:p>
    <w:p w14:paraId="526481A6" w14:textId="77777777" w:rsidR="004762C7" w:rsidRPr="00566CE6" w:rsidRDefault="004762C7" w:rsidP="004B3035"/>
    <w:p w14:paraId="32DA0B83" w14:textId="29DBBE86" w:rsidR="004762C7" w:rsidRPr="00566CE6" w:rsidRDefault="00D05517" w:rsidP="004B3035">
      <w:r>
        <w:t xml:space="preserve">Не се очаква протамин сулфат и витамин K да повлияват антикоагулантната активност на ривароксабан. Опитът с транексамова киселина е ограничен и липсва такъв с аминокапронова киселина и апротинин при пациенти, получаващи ривароксабан. </w:t>
      </w:r>
      <w:r w:rsidR="00001B6F">
        <w:t xml:space="preserve">Няма опит от употребата на тези средства при деца, получаващи ривароксабан. </w:t>
      </w:r>
      <w:r>
        <w:t>Няма нито научни доказателства за благоприятно повлияване, нито опит от използването на системния хемостатик дезмопресин при пациенти, получаващи ривароксабан. Поради високата степен на свързване с плазмените протеини не се очаква ривароксабан да може да бъде отделен чрез диализа.</w:t>
      </w:r>
    </w:p>
    <w:p w14:paraId="71F87E53" w14:textId="77777777" w:rsidR="004762C7" w:rsidRPr="00566CE6" w:rsidRDefault="004762C7" w:rsidP="004B3035"/>
    <w:p w14:paraId="651318E8" w14:textId="4C2EBA64" w:rsidR="004762C7" w:rsidRPr="00566CE6" w:rsidRDefault="00D05517" w:rsidP="004114F8">
      <w:pPr>
        <w:numPr>
          <w:ilvl w:val="0"/>
          <w:numId w:val="7"/>
        </w:numPr>
        <w:tabs>
          <w:tab w:val="left" w:pos="562"/>
        </w:tabs>
        <w:ind w:left="562" w:hanging="562"/>
        <w:rPr>
          <w:rFonts w:eastAsia="Times New Roman"/>
          <w:b/>
          <w:bCs/>
        </w:rPr>
      </w:pPr>
      <w:r>
        <w:rPr>
          <w:b/>
          <w:bCs/>
        </w:rPr>
        <w:t xml:space="preserve">ФАРМАКОЛОГИЧНИ СВОЙСТВА </w:t>
      </w:r>
    </w:p>
    <w:p w14:paraId="28AF65B5" w14:textId="77777777" w:rsidR="004762C7" w:rsidRPr="00566CE6" w:rsidRDefault="004762C7" w:rsidP="004B3035">
      <w:pPr>
        <w:rPr>
          <w:rFonts w:eastAsia="Times New Roman"/>
          <w:b/>
          <w:bCs/>
        </w:rPr>
      </w:pPr>
    </w:p>
    <w:p w14:paraId="6BDD9A08" w14:textId="65F5547A" w:rsidR="004762C7" w:rsidRPr="00EA4F66" w:rsidRDefault="00D05517" w:rsidP="004114F8">
      <w:pPr>
        <w:pStyle w:val="ListParagraph"/>
        <w:numPr>
          <w:ilvl w:val="1"/>
          <w:numId w:val="15"/>
        </w:numPr>
        <w:tabs>
          <w:tab w:val="left" w:pos="162"/>
        </w:tabs>
        <w:ind w:left="567" w:hanging="567"/>
        <w:rPr>
          <w:rFonts w:eastAsia="Times New Roman"/>
          <w:b/>
          <w:bCs/>
        </w:rPr>
      </w:pPr>
      <w:r>
        <w:rPr>
          <w:b/>
          <w:bCs/>
        </w:rPr>
        <w:t xml:space="preserve">Фармакодинамични свойства </w:t>
      </w:r>
    </w:p>
    <w:p w14:paraId="2F6B1779" w14:textId="77777777" w:rsidR="004762C7" w:rsidRPr="00566CE6" w:rsidRDefault="004762C7" w:rsidP="004B3035"/>
    <w:p w14:paraId="0473055A" w14:textId="77777777" w:rsidR="00D05517" w:rsidRDefault="00D05517">
      <w:pPr>
        <w:ind w:left="2" w:right="148"/>
        <w:rPr>
          <w:rFonts w:eastAsia="Times New Roman"/>
        </w:rPr>
      </w:pPr>
      <w:r w:rsidRPr="00D05517">
        <w:rPr>
          <w:rFonts w:eastAsia="Times New Roman"/>
        </w:rPr>
        <w:t xml:space="preserve">Фармакотерапевтична група: Антитромбозни средства, директни инхибитори на фактор Ха, </w:t>
      </w:r>
    </w:p>
    <w:p w14:paraId="3A704C75" w14:textId="03558F9C" w:rsidR="00844A65" w:rsidRPr="00566CE6" w:rsidRDefault="00D05517">
      <w:pPr>
        <w:ind w:left="2" w:right="148"/>
        <w:rPr>
          <w:rFonts w:eastAsia="Times New Roman"/>
        </w:rPr>
      </w:pPr>
      <w:r w:rsidRPr="00D05517">
        <w:rPr>
          <w:rFonts w:eastAsia="Times New Roman"/>
        </w:rPr>
        <w:t>ATC код: B01AF01</w:t>
      </w:r>
      <w:r w:rsidR="00030E48" w:rsidRPr="00566CE6">
        <w:rPr>
          <w:rFonts w:eastAsia="Times New Roman"/>
        </w:rPr>
        <w:t xml:space="preserve"> </w:t>
      </w:r>
    </w:p>
    <w:p w14:paraId="0131F3A2" w14:textId="77777777" w:rsidR="00EA4F66" w:rsidRDefault="00EA4F66">
      <w:pPr>
        <w:ind w:left="2" w:right="148"/>
        <w:rPr>
          <w:rFonts w:eastAsia="Times New Roman"/>
          <w:u w:val="single"/>
        </w:rPr>
      </w:pPr>
    </w:p>
    <w:p w14:paraId="543DC095" w14:textId="77777777" w:rsidR="00D05517" w:rsidRPr="00D05517" w:rsidRDefault="00D05517" w:rsidP="00D05517">
      <w:pPr>
        <w:rPr>
          <w:rFonts w:eastAsia="Times New Roman"/>
          <w:u w:val="single"/>
        </w:rPr>
      </w:pPr>
      <w:r w:rsidRPr="00D05517">
        <w:rPr>
          <w:rFonts w:eastAsia="Times New Roman"/>
          <w:u w:val="single"/>
        </w:rPr>
        <w:t>Механизъм на действие</w:t>
      </w:r>
    </w:p>
    <w:p w14:paraId="676547FA" w14:textId="293993B7" w:rsidR="004762C7" w:rsidRPr="00D05517" w:rsidRDefault="00D05517" w:rsidP="00D05517">
      <w:pPr>
        <w:rPr>
          <w:lang w:val="bg-BG"/>
        </w:rPr>
      </w:pPr>
      <w:r w:rsidRPr="00D05517">
        <w:rPr>
          <w:rFonts w:eastAsia="Times New Roman"/>
        </w:rPr>
        <w:t>Ривароксабан е високоселективен директен инхибитор на фактор Xa с перорална бионаличност. Инхибирането на фактор Xa прекъсва вътрешния и външен път на коагулационната каскада, което инхибира както формирането на тромбин, така и образуването на тромби. Ривароксабан не инхибира тромбина (активиран фактор II) и не са наблюдавани ефекти върху тромбоцитите</w:t>
      </w:r>
      <w:r>
        <w:rPr>
          <w:rFonts w:eastAsia="Times New Roman"/>
          <w:lang w:val="bg-BG"/>
        </w:rPr>
        <w:t>.</w:t>
      </w:r>
    </w:p>
    <w:p w14:paraId="311C641E" w14:textId="77777777" w:rsidR="00D05517" w:rsidRDefault="00D05517">
      <w:pPr>
        <w:rPr>
          <w:rFonts w:eastAsia="Times New Roman"/>
          <w:u w:val="single"/>
        </w:rPr>
      </w:pPr>
    </w:p>
    <w:p w14:paraId="33872972" w14:textId="569AD5F6" w:rsidR="004762C7" w:rsidRDefault="00D05517">
      <w:pPr>
        <w:rPr>
          <w:rFonts w:eastAsia="Times New Roman"/>
          <w:u w:val="single"/>
        </w:rPr>
      </w:pPr>
      <w:r w:rsidRPr="00D05517">
        <w:rPr>
          <w:rFonts w:eastAsia="Times New Roman"/>
          <w:u w:val="single"/>
        </w:rPr>
        <w:t>Фармакодинамични ефекти</w:t>
      </w:r>
    </w:p>
    <w:p w14:paraId="0D0F0FAB" w14:textId="5A156585" w:rsidR="00D05517" w:rsidRDefault="00D05517">
      <w:r>
        <w:t>При хора е наблюдавано зависимо от дозата инхибиране на фактор Xa. Протромбиновото време (PT) се повлиява дозозависимо от ривароксабан в тясна връзка с плазмените концентрации (r=0,98), ако за теста се използва Неопластин. Други реагенти биха дали други резултати.</w:t>
      </w:r>
    </w:p>
    <w:p w14:paraId="30419500" w14:textId="77777777" w:rsidR="00001B6F" w:rsidRDefault="00D05517" w:rsidP="00D05517">
      <w:pPr>
        <w:pStyle w:val="Default"/>
        <w:rPr>
          <w:sz w:val="22"/>
          <w:szCs w:val="22"/>
        </w:rPr>
      </w:pPr>
      <w:r>
        <w:rPr>
          <w:sz w:val="22"/>
          <w:szCs w:val="22"/>
        </w:rPr>
        <w:t xml:space="preserve">Отчитането на PT трябва да става в секунди, понеже INR е калибрирано и валидирано за кумаринови продукти и не може да се прилага за други антикоагуланти. </w:t>
      </w:r>
    </w:p>
    <w:p w14:paraId="6076D919" w14:textId="04F02FBE" w:rsidR="00D05517" w:rsidRDefault="003737EC" w:rsidP="00D05517">
      <w:pPr>
        <w:pStyle w:val="Default"/>
        <w:rPr>
          <w:sz w:val="22"/>
          <w:szCs w:val="22"/>
        </w:rPr>
      </w:pPr>
      <w:r>
        <w:rPr>
          <w:sz w:val="22"/>
          <w:szCs w:val="22"/>
        </w:rPr>
        <w:t>При пациенти, п</w:t>
      </w:r>
      <w:r w:rsidR="00810BC1" w:rsidRPr="00810BC1">
        <w:rPr>
          <w:sz w:val="22"/>
          <w:szCs w:val="22"/>
        </w:rPr>
        <w:t>олучаващи ривароксабан за лечение на ДВТ и БЕ и профилактика на рецидиви, персентилите</w:t>
      </w:r>
      <w:r>
        <w:rPr>
          <w:sz w:val="22"/>
          <w:szCs w:val="22"/>
        </w:rPr>
        <w:t xml:space="preserve"> 5/95 за PT (Неопластин) 2 - 4 часа след приема на таблетката (т.е. към момента на максимален ефект) </w:t>
      </w:r>
      <w:r w:rsidR="00810BC1">
        <w:rPr>
          <w:sz w:val="22"/>
          <w:szCs w:val="22"/>
        </w:rPr>
        <w:t xml:space="preserve">за 15 mg ривароксабан два пъти дневно са в границите от 17 до 32 секунди, а за 20 mg ривароксабан </w:t>
      </w:r>
      <w:r w:rsidR="00810BC1">
        <w:rPr>
          <w:sz w:val="23"/>
          <w:szCs w:val="23"/>
        </w:rPr>
        <w:t xml:space="preserve">веднъж </w:t>
      </w:r>
      <w:r w:rsidR="00810BC1">
        <w:rPr>
          <w:sz w:val="22"/>
          <w:szCs w:val="22"/>
        </w:rPr>
        <w:t>дневно от 15 до 30 секунди.</w:t>
      </w:r>
    </w:p>
    <w:p w14:paraId="0D642F2B" w14:textId="2B26A136" w:rsidR="00810BC1" w:rsidRDefault="00810BC1" w:rsidP="00D05517">
      <w:pPr>
        <w:pStyle w:val="Default"/>
        <w:rPr>
          <w:sz w:val="22"/>
          <w:szCs w:val="22"/>
        </w:rPr>
      </w:pPr>
      <w:r>
        <w:rPr>
          <w:sz w:val="22"/>
          <w:szCs w:val="22"/>
        </w:rPr>
        <w:t xml:space="preserve">По време на най-ниската концентрация (8 - 16 часа след приема на таблетката) персентилите 5/95 за 15 mg два пъти дневно са в границите от 14 до 24 секунди, а за 20 mg </w:t>
      </w:r>
      <w:r>
        <w:rPr>
          <w:sz w:val="23"/>
          <w:szCs w:val="23"/>
        </w:rPr>
        <w:t xml:space="preserve">веднъж </w:t>
      </w:r>
      <w:r>
        <w:rPr>
          <w:sz w:val="22"/>
          <w:szCs w:val="22"/>
        </w:rPr>
        <w:t>дневно (18 - 30 часа след приема на таблетката) от 13 до 20 секунди.</w:t>
      </w:r>
    </w:p>
    <w:p w14:paraId="04035236" w14:textId="0BBFBC71" w:rsidR="00810BC1" w:rsidRDefault="00810BC1" w:rsidP="00D05517">
      <w:pPr>
        <w:pStyle w:val="Default"/>
        <w:rPr>
          <w:sz w:val="22"/>
          <w:szCs w:val="22"/>
        </w:rPr>
      </w:pPr>
      <w:r>
        <w:rPr>
          <w:sz w:val="22"/>
          <w:szCs w:val="22"/>
        </w:rPr>
        <w:t>При пациентите с неклапно предсърдно мъждене, получаващи ривароксабан за профилактика на инсулт и системна емболия, персентилите 5/95 за PT (Неопластин) 1 - 4 часа след приема на таблетката (т.е. по времето на максималния ефект) при пациентите, лекувани с 20 mg един път дневно, варират от 14 до 40 секунди и при пациенти с умерена степен на бъбречно увреждане, лекувани с 15 mg един път дневно, от 10 до 50 секунди. По време на най-ниската концентрация (16 - 36 часа след приема на таблетката) персентилите 5/95 при пациентите, лекувани с 20 mg един път дневно, са в границите от 12 до 26 секунди, а при пациентите с умерена степен на бъбречно увреждане, лекувани с 15 mg един път дневно, от 12 до 26 секунди.</w:t>
      </w:r>
    </w:p>
    <w:p w14:paraId="4A738CCB" w14:textId="5373E4DE" w:rsidR="00D05517" w:rsidRDefault="00D05517" w:rsidP="00D05517">
      <w:pPr>
        <w:pStyle w:val="Default"/>
        <w:rPr>
          <w:sz w:val="22"/>
          <w:szCs w:val="22"/>
        </w:rPr>
      </w:pPr>
      <w:r>
        <w:rPr>
          <w:sz w:val="22"/>
          <w:szCs w:val="22"/>
        </w:rPr>
        <w:t>В клинико-фармакологично проучване на обратимите промени във фармакодинамиката на ривароксабан при здрави възрастни доброволци (n=22), е оценяван ефектът на единични дози (50 IU/kg) на два различни типа концентрат на протромбиновия комплекс (</w:t>
      </w:r>
      <w:r w:rsidR="00BD6A52">
        <w:rPr>
          <w:sz w:val="22"/>
          <w:szCs w:val="22"/>
        </w:rPr>
        <w:t>КПК</w:t>
      </w:r>
      <w:r>
        <w:rPr>
          <w:sz w:val="22"/>
          <w:szCs w:val="22"/>
        </w:rPr>
        <w:t xml:space="preserve">), 3-факторен концентрат на протромбиновия комплекс (фактори II, IX и X) и 4-факторен концентрат на протромбиновия комплекс (фактори II, VII, IX и X). 3-факторният концентрат на протромбиновия комплекс е понижил средните стойности на протромбиновото време на Неопластин с приблизително 1,0 секунда в рамките на 30 минути, в сравнение с понижаване от приблизително 3,5 секунди наблюдавано с 4-факторния концентрат на протромбиновия комплекс. За сравнение, 3-факторният концентрат на протромбиновия комплекс е имал по-голям и по-бърз общ ефект върху обратимите промени в ендогенното образуване на тромбин от 4-факторния концентрат на протромбиновия комплекс (вж. точка 4.9). </w:t>
      </w:r>
    </w:p>
    <w:p w14:paraId="58259C65" w14:textId="77777777" w:rsidR="00D05517" w:rsidRDefault="00D05517" w:rsidP="00D05517">
      <w:r>
        <w:t xml:space="preserve">Активираното парциално тромбопластиново време (aPTT) и HepTest също са удължени в зависимост от дозата, но използването им за оценка на фармакодинамичния ефект на ривароксабан не се препоръчва. Няма необходимост от наблюдение на коагулационите параметри по време на лечението с ривароксабан в клиничната практика. </w:t>
      </w:r>
    </w:p>
    <w:p w14:paraId="01E47CE8" w14:textId="70A3D4BF" w:rsidR="00D05517" w:rsidRPr="00566CE6" w:rsidRDefault="00D05517" w:rsidP="00D05517">
      <w:r>
        <w:t>Въпреки това, ако е клинично показано, нивата на ривароксабан могат да бъдат измервани с калибрирани количествени тестове за антифактор Ха (вж. точка 5.2).</w:t>
      </w:r>
    </w:p>
    <w:p w14:paraId="72FDAE90" w14:textId="00443F3F" w:rsidR="004762C7" w:rsidRDefault="004762C7" w:rsidP="004B3035"/>
    <w:p w14:paraId="52F14CF8" w14:textId="77777777" w:rsidR="006C4A37" w:rsidRPr="006C4A37" w:rsidRDefault="006C4A37" w:rsidP="006C4A37">
      <w:pPr>
        <w:pStyle w:val="Default"/>
        <w:rPr>
          <w:sz w:val="22"/>
          <w:szCs w:val="22"/>
          <w:u w:val="single"/>
        </w:rPr>
      </w:pPr>
      <w:r w:rsidRPr="006C4A37">
        <w:rPr>
          <w:sz w:val="22"/>
          <w:szCs w:val="22"/>
          <w:u w:val="single"/>
        </w:rPr>
        <w:t xml:space="preserve">Педиатрична популация </w:t>
      </w:r>
    </w:p>
    <w:p w14:paraId="553AF8FA" w14:textId="0E22B102" w:rsidR="006C4A37" w:rsidRDefault="006C4A37" w:rsidP="006C4A37">
      <w:r>
        <w:t xml:space="preserve">Анализът на PT (реагент - неопластин), aPTT и анти-Xa (с калибриран количествен тест) показва тясна връзка с плазмените концентрации при деца. Връзката между анти-Xa и плазмените концентрации е линейна с наклон близо до 1. Могат да възникнат индивидуални несъответствия с по-високи или по-ниски анти-Xa стойности, в сравнение със съответните плазмени концентрации. Няма необходимост от наблюдение на коагулационните параметри по време на клинично лечение с ривароксабан. Все пак, ако е клинично показано, концентрациите на ривароксабан могат да бъдат измервани с калибрирани количествени тестове за анти-фактор Ха в mcg/l (вж. Таблица 13 в точка 5.2 за диапазоните на наблюдаваните плазмени концентрации на ривароксабан при деца). Долната граница на количествените определяния трябва да се има предвид, когато се използва анти-Xa тестът за количествено определяне на плазмените </w:t>
      </w:r>
      <w:r>
        <w:lastRenderedPageBreak/>
        <w:t>концентрации на ривароксабан при деца. Не е установен праг за ефикасност или събития, свързани с безопасността.</w:t>
      </w:r>
    </w:p>
    <w:p w14:paraId="165695DE" w14:textId="77777777" w:rsidR="006C4A37" w:rsidRPr="00566CE6" w:rsidRDefault="006C4A37" w:rsidP="004B3035"/>
    <w:p w14:paraId="18B81BA1" w14:textId="77777777" w:rsidR="00D05517" w:rsidRDefault="00D05517">
      <w:pPr>
        <w:rPr>
          <w:rFonts w:eastAsia="Times New Roman"/>
          <w:u w:val="single"/>
        </w:rPr>
      </w:pPr>
      <w:r w:rsidRPr="00D05517">
        <w:rPr>
          <w:rFonts w:eastAsia="Times New Roman"/>
          <w:u w:val="single"/>
        </w:rPr>
        <w:t>Клинична ефикасност и безопасност</w:t>
      </w:r>
    </w:p>
    <w:p w14:paraId="07A85338" w14:textId="10D1B41F" w:rsidR="006C4A37" w:rsidRDefault="006C4A37" w:rsidP="004B3035">
      <w:pPr>
        <w:ind w:right="-3"/>
        <w:rPr>
          <w:rFonts w:eastAsia="Times New Roman"/>
          <w:i/>
          <w:iCs/>
        </w:rPr>
      </w:pPr>
      <w:r>
        <w:rPr>
          <w:i/>
          <w:iCs/>
        </w:rPr>
        <w:t>Профилактика на инсулт и системна емболия при пациенти с неклапно предсърдно мъждене</w:t>
      </w:r>
    </w:p>
    <w:p w14:paraId="329CFB2B" w14:textId="77777777" w:rsidR="006C4A37" w:rsidRDefault="006C4A37" w:rsidP="006C4A37">
      <w:pPr>
        <w:pStyle w:val="Default"/>
        <w:rPr>
          <w:sz w:val="22"/>
          <w:szCs w:val="22"/>
        </w:rPr>
      </w:pPr>
      <w:r>
        <w:rPr>
          <w:sz w:val="22"/>
          <w:szCs w:val="22"/>
        </w:rPr>
        <w:t xml:space="preserve">Клиничната програма с ривароксабан е планирана с цел да демонстрира ефикасността на ривароксабан за профилактика на инсулт и системна емболия при пациенти с неклапно предсърдно мъждене. </w:t>
      </w:r>
    </w:p>
    <w:p w14:paraId="4B5C62C8" w14:textId="77777777" w:rsidR="006C4A37" w:rsidRDefault="006C4A37" w:rsidP="006C4A37">
      <w:pPr>
        <w:pStyle w:val="Default"/>
        <w:rPr>
          <w:sz w:val="22"/>
          <w:szCs w:val="22"/>
        </w:rPr>
      </w:pPr>
      <w:r>
        <w:rPr>
          <w:sz w:val="22"/>
          <w:szCs w:val="22"/>
        </w:rPr>
        <w:t xml:space="preserve">При основното двойно сляпо проучване ROCKET AF 14 264 пациенти са разпределени да получават или ривароксабан 20 mg веднъж дневно (15 mg веднъж дневно при пациенти с креатининов клирънс 30 - 49 ml/min), или варфарин с титриране на дозата до INR 2,5 (терапевтични граници 2,0 до 3,0). Медианната продължителност на проведеното лечение, е 19 месеца, а общата продължителност е до 41 месеца. </w:t>
      </w:r>
    </w:p>
    <w:p w14:paraId="17D73F8A" w14:textId="387822A7" w:rsidR="006C4A37" w:rsidRDefault="006C4A37" w:rsidP="006C4A37">
      <w:pPr>
        <w:ind w:right="-3"/>
        <w:rPr>
          <w:lang w:val="bg-BG"/>
        </w:rPr>
      </w:pPr>
      <w:r>
        <w:t>34,9% от пациентите са лекувани с ацетилсалицилова киселина и 11,4% са лекувани с клас III антиаритмично средство, включително амиодарон</w:t>
      </w:r>
      <w:r>
        <w:rPr>
          <w:lang w:val="bg-BG"/>
        </w:rPr>
        <w:t>.</w:t>
      </w:r>
    </w:p>
    <w:p w14:paraId="73D6412C" w14:textId="77777777" w:rsidR="006C4A37" w:rsidRDefault="006C4A37" w:rsidP="006C4A37">
      <w:pPr>
        <w:ind w:right="-3"/>
        <w:rPr>
          <w:lang w:val="bg-BG"/>
        </w:rPr>
      </w:pPr>
    </w:p>
    <w:p w14:paraId="43DB874D" w14:textId="77777777" w:rsidR="006C4A37" w:rsidRDefault="006C4A37" w:rsidP="006C4A37">
      <w:pPr>
        <w:pStyle w:val="Default"/>
        <w:rPr>
          <w:sz w:val="22"/>
          <w:szCs w:val="22"/>
        </w:rPr>
      </w:pPr>
      <w:r>
        <w:rPr>
          <w:sz w:val="22"/>
          <w:szCs w:val="22"/>
        </w:rPr>
        <w:t xml:space="preserve">Ривароксабан е с не по-малка ефективност от варфарин за първичната съставна крайна точка за инсулт и системeн емболизъм извън ЦНС. В популацията по протокол на лечение инсулт или системна емболия се наблюдават при 188 пациенти на ривароксабан (1,71% на година) и при 241 на варфарин (2,16% на година) (HR 0,79; ДИ 95%, 0,66 - 0,96; Р&lt;0,001 за не по-малка ефективност). От всички рандомизирани пациенти, които са анализирани по ITT, първични събития се развиват при 269 на ривароксабан (2,12% на година) и 306 на варфарин (2,42% на година) (HR 0,88; 95% ДИ, 0,74 - 1,03; P&lt;0,001 за не по-малка ефективност; P=0,117 за превъзходство). Резултатите за вторичните крайни точки, както са изследвани в йерархичен порядък в ITT анализа, са показани на Таблица 4. </w:t>
      </w:r>
    </w:p>
    <w:p w14:paraId="57E2751B" w14:textId="0A744155" w:rsidR="006C4A37" w:rsidRDefault="006C4A37" w:rsidP="006C4A37">
      <w:pPr>
        <w:pStyle w:val="Default"/>
        <w:rPr>
          <w:sz w:val="22"/>
          <w:szCs w:val="22"/>
        </w:rPr>
      </w:pPr>
      <w:r>
        <w:rPr>
          <w:sz w:val="22"/>
          <w:szCs w:val="22"/>
        </w:rPr>
        <w:t xml:space="preserve">Сред пациентите в групата на варфарин INR стойностите са в границите на терапевтичния диапазон (2,0 до 3,0) средно 55% от времето (медиана 58%, интерквартилен диапазон 43 до 71). Ефектът на ривароксабан не се различава на ниво централно TTR (време в таргетен INR диапазон 2,0 </w:t>
      </w:r>
      <w:r>
        <w:rPr>
          <w:sz w:val="23"/>
          <w:szCs w:val="23"/>
        </w:rPr>
        <w:t xml:space="preserve">- </w:t>
      </w:r>
      <w:r>
        <w:rPr>
          <w:sz w:val="22"/>
          <w:szCs w:val="22"/>
        </w:rPr>
        <w:t xml:space="preserve">3,0) при квартилите с еднакъв размер (P=0,74 за взаимодействие). В най-горния квартил по отношение на центъра Коефициентът на Риск (HR) за ривароксабан спрямо варфарин е 0,74 (95% ДИ, 0,49 </w:t>
      </w:r>
      <w:r>
        <w:rPr>
          <w:sz w:val="23"/>
          <w:szCs w:val="23"/>
        </w:rPr>
        <w:t xml:space="preserve">- </w:t>
      </w:r>
      <w:r>
        <w:rPr>
          <w:sz w:val="22"/>
          <w:szCs w:val="22"/>
        </w:rPr>
        <w:t xml:space="preserve">1,12). </w:t>
      </w:r>
    </w:p>
    <w:p w14:paraId="28FB0A0F" w14:textId="77777777" w:rsidR="006C4A37" w:rsidRDefault="006C4A37" w:rsidP="006C4A37">
      <w:pPr>
        <w:pStyle w:val="Default"/>
        <w:rPr>
          <w:sz w:val="22"/>
          <w:szCs w:val="22"/>
        </w:rPr>
      </w:pPr>
    </w:p>
    <w:p w14:paraId="6C4800E4" w14:textId="78DA0974" w:rsidR="006C4A37" w:rsidRDefault="006C4A37" w:rsidP="006C4A37">
      <w:pPr>
        <w:ind w:right="-3"/>
      </w:pPr>
      <w:r>
        <w:t>Честотата на основните резултати за безопасност (големи и неголеми клинично значими кръвоизливи) са подобни за двете терапевтични групи (вж. Таблица 5).</w:t>
      </w:r>
    </w:p>
    <w:p w14:paraId="5FA98CBE" w14:textId="4C66AED5" w:rsidR="006C4A37" w:rsidRDefault="006C4A37" w:rsidP="006C4A37">
      <w:pPr>
        <w:ind w:right="-3"/>
        <w:rPr>
          <w:rFonts w:eastAsia="Times New Roman"/>
          <w:i/>
          <w:iCs/>
          <w:lang w:val="bg-BG"/>
        </w:rPr>
      </w:pPr>
    </w:p>
    <w:p w14:paraId="70B825D6" w14:textId="15A08E8B" w:rsidR="006C4A37" w:rsidRPr="00225E1F" w:rsidRDefault="006C4A37" w:rsidP="006C4A37">
      <w:r>
        <w:rPr>
          <w:b/>
          <w:bCs/>
        </w:rPr>
        <w:t>Таблица 4: Резултати за ефикасност от фаза III ROCKET AF</w:t>
      </w:r>
    </w:p>
    <w:tbl>
      <w:tblPr>
        <w:tblW w:w="961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15"/>
        <w:gridCol w:w="2410"/>
        <w:gridCol w:w="2398"/>
        <w:gridCol w:w="1982"/>
        <w:gridCol w:w="9"/>
      </w:tblGrid>
      <w:tr w:rsidR="006C4A37" w:rsidRPr="00225E1F" w14:paraId="55513A9D" w14:textId="77777777" w:rsidTr="006C4A37">
        <w:trPr>
          <w:trHeight w:val="447"/>
        </w:trPr>
        <w:tc>
          <w:tcPr>
            <w:tcW w:w="2815" w:type="dxa"/>
            <w:vAlign w:val="center"/>
          </w:tcPr>
          <w:p w14:paraId="63906A5E" w14:textId="6996E6BD" w:rsidR="006C4A37" w:rsidRPr="00225E1F" w:rsidRDefault="006C4A37" w:rsidP="006C4A37">
            <w:pPr>
              <w:ind w:left="100"/>
            </w:pPr>
            <w:r w:rsidRPr="006C4A37">
              <w:rPr>
                <w:rFonts w:eastAsia="Times New Roman"/>
                <w:b/>
                <w:bCs/>
              </w:rPr>
              <w:t>Проучвана популация</w:t>
            </w:r>
          </w:p>
        </w:tc>
        <w:tc>
          <w:tcPr>
            <w:tcW w:w="6799" w:type="dxa"/>
            <w:gridSpan w:val="4"/>
            <w:vAlign w:val="center"/>
          </w:tcPr>
          <w:p w14:paraId="364D7A15" w14:textId="7F57D0F4" w:rsidR="006C4A37" w:rsidRPr="00225E1F" w:rsidRDefault="006C4A37" w:rsidP="006C4A37">
            <w:pPr>
              <w:ind w:left="111"/>
            </w:pPr>
            <w:r w:rsidRPr="006C4A37">
              <w:rPr>
                <w:rFonts w:eastAsia="Times New Roman"/>
                <w:b/>
                <w:bCs/>
              </w:rPr>
              <w:t>ITT анализ на ефикасността при пациенти с неклапно предсърдно мъждене</w:t>
            </w:r>
          </w:p>
        </w:tc>
      </w:tr>
      <w:tr w:rsidR="006C4A37" w:rsidRPr="00225E1F" w14:paraId="12251307" w14:textId="77777777" w:rsidTr="006C4A37">
        <w:trPr>
          <w:gridAfter w:val="1"/>
          <w:wAfter w:w="9" w:type="dxa"/>
          <w:trHeight w:val="20"/>
        </w:trPr>
        <w:tc>
          <w:tcPr>
            <w:tcW w:w="2815" w:type="dxa"/>
          </w:tcPr>
          <w:p w14:paraId="284281B6" w14:textId="43D79C56" w:rsidR="006C4A37" w:rsidRPr="00225E1F" w:rsidRDefault="006C4A37" w:rsidP="006C4A37">
            <w:pPr>
              <w:ind w:left="100"/>
            </w:pPr>
            <w:r w:rsidRPr="006C4A37">
              <w:rPr>
                <w:rFonts w:eastAsia="Times New Roman"/>
                <w:b/>
                <w:bCs/>
              </w:rPr>
              <w:t>Терапевтична доза</w:t>
            </w:r>
          </w:p>
        </w:tc>
        <w:tc>
          <w:tcPr>
            <w:tcW w:w="2410" w:type="dxa"/>
          </w:tcPr>
          <w:p w14:paraId="123B08E2" w14:textId="0180C49B" w:rsidR="006C4A37" w:rsidRPr="003548F0" w:rsidRDefault="003548F0" w:rsidP="006C4A37">
            <w:pPr>
              <w:pStyle w:val="Default"/>
              <w:rPr>
                <w:b/>
                <w:sz w:val="22"/>
                <w:szCs w:val="22"/>
              </w:rPr>
            </w:pPr>
            <w:r w:rsidRPr="003548F0">
              <w:rPr>
                <w:b/>
                <w:sz w:val="22"/>
                <w:szCs w:val="22"/>
              </w:rPr>
              <w:t>Ривароксабан 20 mg един път дневно (15 mg веднъж дневно при пациенти с умерена степен на бъбречно увреждане)</w:t>
            </w:r>
          </w:p>
          <w:p w14:paraId="44032CB9" w14:textId="77777777" w:rsidR="003548F0" w:rsidRDefault="003548F0" w:rsidP="006C4A37">
            <w:pPr>
              <w:pStyle w:val="Default"/>
            </w:pPr>
          </w:p>
          <w:p w14:paraId="2732CAA3" w14:textId="5EE8719D" w:rsidR="006C4A37" w:rsidRPr="00225E1F" w:rsidRDefault="006C4A37" w:rsidP="006C4A37">
            <w:pPr>
              <w:ind w:left="120"/>
              <w:rPr>
                <w:rFonts w:eastAsia="Times New Roman"/>
                <w:b/>
                <w:bCs/>
              </w:rPr>
            </w:pPr>
            <w:r w:rsidRPr="006C4A37">
              <w:rPr>
                <w:rFonts w:eastAsia="Times New Roman"/>
                <w:b/>
                <w:bCs/>
              </w:rPr>
              <w:t>Честота на събитието (100 пациенто-години)</w:t>
            </w:r>
          </w:p>
        </w:tc>
        <w:tc>
          <w:tcPr>
            <w:tcW w:w="2398" w:type="dxa"/>
          </w:tcPr>
          <w:p w14:paraId="3895D78B" w14:textId="77777777" w:rsidR="003548F0" w:rsidRDefault="006C4A37" w:rsidP="006C4A37">
            <w:pPr>
              <w:ind w:left="100"/>
              <w:rPr>
                <w:rFonts w:eastAsia="Times New Roman"/>
                <w:b/>
                <w:bCs/>
              </w:rPr>
            </w:pPr>
            <w:r w:rsidRPr="006C4A37">
              <w:rPr>
                <w:rFonts w:eastAsia="Times New Roman"/>
                <w:b/>
                <w:bCs/>
              </w:rPr>
              <w:t>Варфарин титриран до INR 2,5 (терапевтични граници 2,0 до 3,0)</w:t>
            </w:r>
          </w:p>
          <w:p w14:paraId="66696C81" w14:textId="77777777" w:rsidR="003548F0" w:rsidRDefault="003548F0" w:rsidP="006C4A37">
            <w:pPr>
              <w:ind w:left="100"/>
              <w:rPr>
                <w:rFonts w:eastAsia="Times New Roman"/>
                <w:b/>
                <w:bCs/>
              </w:rPr>
            </w:pPr>
          </w:p>
          <w:p w14:paraId="5515AC4D" w14:textId="77777777" w:rsidR="003548F0" w:rsidRDefault="003548F0" w:rsidP="006C4A37">
            <w:pPr>
              <w:ind w:left="100"/>
              <w:rPr>
                <w:rFonts w:eastAsia="Times New Roman"/>
                <w:b/>
                <w:bCs/>
              </w:rPr>
            </w:pPr>
          </w:p>
          <w:p w14:paraId="2F66E38B" w14:textId="77777777" w:rsidR="003548F0" w:rsidRDefault="003548F0" w:rsidP="006C4A37">
            <w:pPr>
              <w:ind w:left="100"/>
              <w:rPr>
                <w:rFonts w:eastAsia="Times New Roman"/>
                <w:b/>
                <w:bCs/>
              </w:rPr>
            </w:pPr>
          </w:p>
          <w:p w14:paraId="06F6788F" w14:textId="6DCEBE49" w:rsidR="006C4A37" w:rsidRPr="00225E1F" w:rsidRDefault="003548F0" w:rsidP="006C4A37">
            <w:pPr>
              <w:ind w:left="100"/>
            </w:pPr>
            <w:r w:rsidRPr="003548F0">
              <w:rPr>
                <w:rFonts w:eastAsia="Times New Roman"/>
                <w:b/>
                <w:bCs/>
              </w:rPr>
              <w:t>Честота на събитието (100 пациенто-години)</w:t>
            </w:r>
          </w:p>
        </w:tc>
        <w:tc>
          <w:tcPr>
            <w:tcW w:w="1982" w:type="dxa"/>
          </w:tcPr>
          <w:p w14:paraId="7632B3B5" w14:textId="4DE06EF0" w:rsidR="006C4A37" w:rsidRPr="00225E1F" w:rsidRDefault="003548F0" w:rsidP="006C4A37">
            <w:pPr>
              <w:ind w:left="100"/>
            </w:pPr>
            <w:r w:rsidRPr="003548F0">
              <w:rPr>
                <w:rFonts w:eastAsia="Times New Roman"/>
                <w:b/>
                <w:bCs/>
              </w:rPr>
              <w:t>HR (95% ДИ) p-стойност, тест за превъзходство</w:t>
            </w:r>
          </w:p>
        </w:tc>
      </w:tr>
      <w:tr w:rsidR="006C4A37" w:rsidRPr="00225E1F" w14:paraId="60A82184" w14:textId="77777777" w:rsidTr="006C4A37">
        <w:trPr>
          <w:gridAfter w:val="1"/>
          <w:wAfter w:w="9" w:type="dxa"/>
          <w:trHeight w:val="20"/>
        </w:trPr>
        <w:tc>
          <w:tcPr>
            <w:tcW w:w="2815" w:type="dxa"/>
            <w:vAlign w:val="center"/>
          </w:tcPr>
          <w:p w14:paraId="3357B927" w14:textId="2A8B3E41" w:rsidR="006C4A37" w:rsidRPr="00225E1F" w:rsidRDefault="003548F0" w:rsidP="006C4A37">
            <w:pPr>
              <w:ind w:left="100"/>
            </w:pPr>
            <w:r w:rsidRPr="003548F0">
              <w:rPr>
                <w:rFonts w:eastAsia="Times New Roman"/>
              </w:rPr>
              <w:t>Инсулт и системна емболия извън ЦНС</w:t>
            </w:r>
          </w:p>
        </w:tc>
        <w:tc>
          <w:tcPr>
            <w:tcW w:w="2410" w:type="dxa"/>
            <w:vAlign w:val="center"/>
          </w:tcPr>
          <w:p w14:paraId="4766DD31" w14:textId="77777777" w:rsidR="006C4A37" w:rsidRPr="00225E1F" w:rsidRDefault="006C4A37" w:rsidP="006C4A37">
            <w:pPr>
              <w:jc w:val="center"/>
            </w:pPr>
            <w:r w:rsidRPr="00225E1F">
              <w:rPr>
                <w:rFonts w:eastAsia="Times New Roman"/>
              </w:rPr>
              <w:t>269</w:t>
            </w:r>
          </w:p>
          <w:p w14:paraId="50407A57" w14:textId="537F6E14" w:rsidR="006C4A37" w:rsidRPr="00225E1F" w:rsidRDefault="003548F0" w:rsidP="006C4A37">
            <w:pPr>
              <w:jc w:val="center"/>
            </w:pPr>
            <w:r>
              <w:rPr>
                <w:rFonts w:eastAsia="Times New Roman"/>
              </w:rPr>
              <w:t>(2,</w:t>
            </w:r>
            <w:r w:rsidR="006C4A37" w:rsidRPr="00225E1F">
              <w:rPr>
                <w:rFonts w:eastAsia="Times New Roman"/>
              </w:rPr>
              <w:t>12)</w:t>
            </w:r>
          </w:p>
        </w:tc>
        <w:tc>
          <w:tcPr>
            <w:tcW w:w="2398" w:type="dxa"/>
            <w:vAlign w:val="center"/>
          </w:tcPr>
          <w:p w14:paraId="54A237C4" w14:textId="77777777" w:rsidR="006C4A37" w:rsidRPr="00225E1F" w:rsidRDefault="006C4A37" w:rsidP="006C4A37">
            <w:pPr>
              <w:jc w:val="center"/>
            </w:pPr>
            <w:r w:rsidRPr="00225E1F">
              <w:rPr>
                <w:rFonts w:eastAsia="Times New Roman"/>
                <w:w w:val="96"/>
              </w:rPr>
              <w:t>306</w:t>
            </w:r>
          </w:p>
          <w:p w14:paraId="6E424413" w14:textId="2836E017" w:rsidR="006C4A37" w:rsidRPr="00225E1F" w:rsidRDefault="003548F0" w:rsidP="006C4A37">
            <w:pPr>
              <w:jc w:val="center"/>
            </w:pPr>
            <w:r>
              <w:rPr>
                <w:rFonts w:eastAsia="Times New Roman"/>
                <w:w w:val="97"/>
              </w:rPr>
              <w:t>(2,</w:t>
            </w:r>
            <w:r w:rsidR="006C4A37" w:rsidRPr="00225E1F">
              <w:rPr>
                <w:rFonts w:eastAsia="Times New Roman"/>
                <w:w w:val="97"/>
              </w:rPr>
              <w:t>42)</w:t>
            </w:r>
          </w:p>
        </w:tc>
        <w:tc>
          <w:tcPr>
            <w:tcW w:w="1982" w:type="dxa"/>
            <w:vAlign w:val="center"/>
          </w:tcPr>
          <w:p w14:paraId="7F3A7FFD" w14:textId="77777777" w:rsidR="006C4A37" w:rsidRPr="00225E1F" w:rsidRDefault="006C4A37" w:rsidP="006C4A37">
            <w:pPr>
              <w:jc w:val="center"/>
            </w:pPr>
            <w:r w:rsidRPr="00225E1F">
              <w:rPr>
                <w:rFonts w:eastAsia="Times New Roman"/>
              </w:rPr>
              <w:t>0.88</w:t>
            </w:r>
          </w:p>
          <w:p w14:paraId="024D0D1E" w14:textId="31E306F2" w:rsidR="006C4A37" w:rsidRPr="00225E1F" w:rsidRDefault="003548F0" w:rsidP="006C4A37">
            <w:pPr>
              <w:jc w:val="center"/>
            </w:pPr>
            <w:r>
              <w:rPr>
                <w:rFonts w:eastAsia="Times New Roman"/>
                <w:w w:val="99"/>
              </w:rPr>
              <w:t>(0,74 – 1,</w:t>
            </w:r>
            <w:r w:rsidR="006C4A37" w:rsidRPr="00225E1F">
              <w:rPr>
                <w:rFonts w:eastAsia="Times New Roman"/>
                <w:w w:val="99"/>
              </w:rPr>
              <w:t>03)</w:t>
            </w:r>
          </w:p>
          <w:p w14:paraId="60FCE348" w14:textId="1DB2793E" w:rsidR="006C4A37" w:rsidRPr="00225E1F" w:rsidRDefault="003548F0" w:rsidP="006C4A37">
            <w:pPr>
              <w:jc w:val="center"/>
            </w:pPr>
            <w:r>
              <w:rPr>
                <w:rFonts w:eastAsia="Times New Roman"/>
                <w:w w:val="96"/>
              </w:rPr>
              <w:t>0,</w:t>
            </w:r>
            <w:r w:rsidR="006C4A37" w:rsidRPr="00225E1F">
              <w:rPr>
                <w:rFonts w:eastAsia="Times New Roman"/>
                <w:w w:val="96"/>
              </w:rPr>
              <w:t>117</w:t>
            </w:r>
          </w:p>
        </w:tc>
      </w:tr>
      <w:tr w:rsidR="006C4A37" w:rsidRPr="00225E1F" w14:paraId="459FCC0E" w14:textId="77777777" w:rsidTr="006C4A37">
        <w:trPr>
          <w:gridAfter w:val="1"/>
          <w:wAfter w:w="9" w:type="dxa"/>
          <w:trHeight w:val="20"/>
        </w:trPr>
        <w:tc>
          <w:tcPr>
            <w:tcW w:w="2815" w:type="dxa"/>
            <w:vAlign w:val="center"/>
          </w:tcPr>
          <w:p w14:paraId="2D1AA610" w14:textId="11224245" w:rsidR="006C4A37" w:rsidRPr="00225E1F" w:rsidRDefault="003548F0" w:rsidP="006C4A37">
            <w:pPr>
              <w:ind w:left="100"/>
            </w:pPr>
            <w:r w:rsidRPr="003548F0">
              <w:rPr>
                <w:rFonts w:eastAsia="Times New Roman"/>
              </w:rPr>
              <w:lastRenderedPageBreak/>
              <w:t>Инсулт, системна емболия извън ЦНС и съдова смърт</w:t>
            </w:r>
          </w:p>
        </w:tc>
        <w:tc>
          <w:tcPr>
            <w:tcW w:w="2410" w:type="dxa"/>
            <w:vAlign w:val="center"/>
          </w:tcPr>
          <w:p w14:paraId="726176DF" w14:textId="77777777" w:rsidR="006C4A37" w:rsidRPr="00225E1F" w:rsidRDefault="006C4A37" w:rsidP="006C4A37">
            <w:pPr>
              <w:jc w:val="center"/>
            </w:pPr>
            <w:r w:rsidRPr="00225E1F">
              <w:rPr>
                <w:rFonts w:eastAsia="Times New Roman"/>
              </w:rPr>
              <w:t>572</w:t>
            </w:r>
          </w:p>
          <w:p w14:paraId="201A38A8" w14:textId="09D4CF38" w:rsidR="006C4A37" w:rsidRPr="00225E1F" w:rsidRDefault="003548F0" w:rsidP="006C4A37">
            <w:pPr>
              <w:jc w:val="center"/>
            </w:pPr>
            <w:r>
              <w:rPr>
                <w:rFonts w:eastAsia="Times New Roman"/>
              </w:rPr>
              <w:t>(4,</w:t>
            </w:r>
            <w:r w:rsidR="006C4A37" w:rsidRPr="00225E1F">
              <w:rPr>
                <w:rFonts w:eastAsia="Times New Roman"/>
              </w:rPr>
              <w:t>51)</w:t>
            </w:r>
          </w:p>
        </w:tc>
        <w:tc>
          <w:tcPr>
            <w:tcW w:w="2398" w:type="dxa"/>
            <w:vAlign w:val="center"/>
          </w:tcPr>
          <w:p w14:paraId="28FC5163" w14:textId="77777777" w:rsidR="006C4A37" w:rsidRPr="00225E1F" w:rsidRDefault="006C4A37" w:rsidP="006C4A37">
            <w:pPr>
              <w:jc w:val="center"/>
            </w:pPr>
            <w:r w:rsidRPr="00225E1F">
              <w:rPr>
                <w:rFonts w:eastAsia="Times New Roman"/>
                <w:w w:val="96"/>
              </w:rPr>
              <w:t>609</w:t>
            </w:r>
          </w:p>
          <w:p w14:paraId="72CAF9F6" w14:textId="519A7E98" w:rsidR="006C4A37" w:rsidRPr="00225E1F" w:rsidRDefault="003548F0" w:rsidP="006C4A37">
            <w:pPr>
              <w:jc w:val="center"/>
            </w:pPr>
            <w:r>
              <w:rPr>
                <w:rFonts w:eastAsia="Times New Roman"/>
                <w:w w:val="97"/>
              </w:rPr>
              <w:t>(4,</w:t>
            </w:r>
            <w:r w:rsidR="006C4A37" w:rsidRPr="00225E1F">
              <w:rPr>
                <w:rFonts w:eastAsia="Times New Roman"/>
                <w:w w:val="97"/>
              </w:rPr>
              <w:t>81)</w:t>
            </w:r>
          </w:p>
        </w:tc>
        <w:tc>
          <w:tcPr>
            <w:tcW w:w="1982" w:type="dxa"/>
            <w:vAlign w:val="center"/>
          </w:tcPr>
          <w:p w14:paraId="6FE438A4" w14:textId="6B2B7602" w:rsidR="006C4A37" w:rsidRPr="00225E1F" w:rsidRDefault="003548F0" w:rsidP="006C4A37">
            <w:pPr>
              <w:jc w:val="center"/>
            </w:pPr>
            <w:r>
              <w:rPr>
                <w:rFonts w:eastAsia="Times New Roman"/>
              </w:rPr>
              <w:t>0,</w:t>
            </w:r>
            <w:r w:rsidR="006C4A37" w:rsidRPr="00225E1F">
              <w:rPr>
                <w:rFonts w:eastAsia="Times New Roman"/>
              </w:rPr>
              <w:t>94</w:t>
            </w:r>
          </w:p>
          <w:p w14:paraId="215DE989" w14:textId="522C6F9B" w:rsidR="006C4A37" w:rsidRPr="00225E1F" w:rsidRDefault="003548F0" w:rsidP="006C4A37">
            <w:pPr>
              <w:jc w:val="center"/>
            </w:pPr>
            <w:r>
              <w:rPr>
                <w:rFonts w:eastAsia="Times New Roman"/>
                <w:w w:val="99"/>
              </w:rPr>
              <w:t>(0,84 – 1,</w:t>
            </w:r>
            <w:r w:rsidR="006C4A37" w:rsidRPr="00225E1F">
              <w:rPr>
                <w:rFonts w:eastAsia="Times New Roman"/>
                <w:w w:val="99"/>
              </w:rPr>
              <w:t>05)</w:t>
            </w:r>
          </w:p>
          <w:p w14:paraId="2AD4ED49" w14:textId="01D85E46" w:rsidR="006C4A37" w:rsidRPr="00225E1F" w:rsidRDefault="003548F0" w:rsidP="006C4A37">
            <w:pPr>
              <w:jc w:val="center"/>
            </w:pPr>
            <w:r>
              <w:rPr>
                <w:rFonts w:eastAsia="Times New Roman"/>
                <w:w w:val="96"/>
              </w:rPr>
              <w:t>0,</w:t>
            </w:r>
            <w:r w:rsidR="006C4A37" w:rsidRPr="00225E1F">
              <w:rPr>
                <w:rFonts w:eastAsia="Times New Roman"/>
                <w:w w:val="96"/>
              </w:rPr>
              <w:t>265</w:t>
            </w:r>
          </w:p>
        </w:tc>
      </w:tr>
      <w:tr w:rsidR="006C4A37" w:rsidRPr="00225E1F" w14:paraId="483E4834" w14:textId="77777777" w:rsidTr="006C4A37">
        <w:trPr>
          <w:gridAfter w:val="1"/>
          <w:wAfter w:w="9" w:type="dxa"/>
          <w:trHeight w:val="20"/>
        </w:trPr>
        <w:tc>
          <w:tcPr>
            <w:tcW w:w="2815" w:type="dxa"/>
            <w:vAlign w:val="center"/>
          </w:tcPr>
          <w:p w14:paraId="1E641A51" w14:textId="19BC1986" w:rsidR="006C4A37" w:rsidRPr="00225E1F" w:rsidRDefault="003548F0" w:rsidP="006C4A37">
            <w:pPr>
              <w:ind w:left="100"/>
            </w:pPr>
            <w:r w:rsidRPr="003548F0">
              <w:rPr>
                <w:rFonts w:eastAsia="Times New Roman"/>
              </w:rPr>
              <w:t>Инсулт, системна емболия извън ЦНС, съдова смърт и инфаркт на миокарда</w:t>
            </w:r>
          </w:p>
        </w:tc>
        <w:tc>
          <w:tcPr>
            <w:tcW w:w="2410" w:type="dxa"/>
            <w:vAlign w:val="center"/>
          </w:tcPr>
          <w:p w14:paraId="0152581E" w14:textId="77777777" w:rsidR="006C4A37" w:rsidRPr="00225E1F" w:rsidRDefault="006C4A37" w:rsidP="006C4A37">
            <w:pPr>
              <w:jc w:val="center"/>
            </w:pPr>
            <w:r w:rsidRPr="00225E1F">
              <w:rPr>
                <w:rFonts w:eastAsia="Times New Roman"/>
              </w:rPr>
              <w:t>659</w:t>
            </w:r>
          </w:p>
          <w:p w14:paraId="4F0B1D56" w14:textId="6C89BA8A" w:rsidR="006C4A37" w:rsidRPr="00225E1F" w:rsidRDefault="006C4A37" w:rsidP="003548F0">
            <w:pPr>
              <w:jc w:val="center"/>
            </w:pPr>
            <w:r w:rsidRPr="00225E1F">
              <w:rPr>
                <w:rFonts w:eastAsia="Times New Roman"/>
              </w:rPr>
              <w:t>(5</w:t>
            </w:r>
            <w:r w:rsidR="003548F0">
              <w:rPr>
                <w:rFonts w:eastAsia="Times New Roman"/>
                <w:lang w:val="bg-BG"/>
              </w:rPr>
              <w:t>,</w:t>
            </w:r>
            <w:r w:rsidRPr="00225E1F">
              <w:rPr>
                <w:rFonts w:eastAsia="Times New Roman"/>
              </w:rPr>
              <w:t>24)</w:t>
            </w:r>
          </w:p>
        </w:tc>
        <w:tc>
          <w:tcPr>
            <w:tcW w:w="2398" w:type="dxa"/>
            <w:vAlign w:val="center"/>
          </w:tcPr>
          <w:p w14:paraId="78714D0C" w14:textId="77777777" w:rsidR="006C4A37" w:rsidRPr="00225E1F" w:rsidRDefault="006C4A37" w:rsidP="006C4A37">
            <w:pPr>
              <w:jc w:val="center"/>
            </w:pPr>
            <w:r w:rsidRPr="00225E1F">
              <w:rPr>
                <w:rFonts w:eastAsia="Times New Roman"/>
                <w:w w:val="96"/>
              </w:rPr>
              <w:t>709</w:t>
            </w:r>
          </w:p>
          <w:p w14:paraId="2DA5C4BD" w14:textId="3DABB426" w:rsidR="006C4A37" w:rsidRPr="00225E1F" w:rsidRDefault="006C4A37" w:rsidP="003548F0">
            <w:pPr>
              <w:jc w:val="center"/>
            </w:pPr>
            <w:r w:rsidRPr="00225E1F">
              <w:rPr>
                <w:rFonts w:eastAsia="Times New Roman"/>
                <w:w w:val="97"/>
              </w:rPr>
              <w:t>(5</w:t>
            </w:r>
            <w:r w:rsidR="003548F0">
              <w:rPr>
                <w:rFonts w:eastAsia="Times New Roman"/>
                <w:w w:val="97"/>
                <w:lang w:val="bg-BG"/>
              </w:rPr>
              <w:t>,</w:t>
            </w:r>
            <w:r w:rsidRPr="00225E1F">
              <w:rPr>
                <w:rFonts w:eastAsia="Times New Roman"/>
                <w:w w:val="97"/>
              </w:rPr>
              <w:t>65)</w:t>
            </w:r>
          </w:p>
        </w:tc>
        <w:tc>
          <w:tcPr>
            <w:tcW w:w="1982" w:type="dxa"/>
            <w:vAlign w:val="center"/>
          </w:tcPr>
          <w:p w14:paraId="4B795868" w14:textId="77777777" w:rsidR="006C4A37" w:rsidRPr="00225E1F" w:rsidRDefault="006C4A37" w:rsidP="006C4A37">
            <w:pPr>
              <w:jc w:val="center"/>
            </w:pPr>
            <w:r w:rsidRPr="00225E1F">
              <w:rPr>
                <w:rFonts w:eastAsia="Times New Roman"/>
              </w:rPr>
              <w:t>0.93</w:t>
            </w:r>
          </w:p>
          <w:p w14:paraId="09416E25" w14:textId="0C5FE0E5" w:rsidR="006C4A37" w:rsidRPr="00225E1F" w:rsidRDefault="003548F0" w:rsidP="006C4A37">
            <w:pPr>
              <w:jc w:val="center"/>
            </w:pPr>
            <w:r>
              <w:rPr>
                <w:rFonts w:eastAsia="Times New Roman"/>
                <w:w w:val="99"/>
              </w:rPr>
              <w:t>(0,83 – 1,</w:t>
            </w:r>
            <w:r w:rsidR="006C4A37" w:rsidRPr="00225E1F">
              <w:rPr>
                <w:rFonts w:eastAsia="Times New Roman"/>
                <w:w w:val="99"/>
              </w:rPr>
              <w:t>03)</w:t>
            </w:r>
          </w:p>
          <w:p w14:paraId="2E2B252F" w14:textId="3D6528A9" w:rsidR="006C4A37" w:rsidRPr="00225E1F" w:rsidRDefault="003548F0" w:rsidP="006C4A37">
            <w:pPr>
              <w:jc w:val="center"/>
            </w:pPr>
            <w:r>
              <w:rPr>
                <w:rFonts w:eastAsia="Times New Roman"/>
                <w:w w:val="96"/>
              </w:rPr>
              <w:t>0,</w:t>
            </w:r>
            <w:r w:rsidR="006C4A37" w:rsidRPr="00225E1F">
              <w:rPr>
                <w:rFonts w:eastAsia="Times New Roman"/>
                <w:w w:val="96"/>
              </w:rPr>
              <w:t>158</w:t>
            </w:r>
          </w:p>
        </w:tc>
      </w:tr>
      <w:tr w:rsidR="006C4A37" w:rsidRPr="00225E1F" w14:paraId="586C0F95" w14:textId="77777777" w:rsidTr="006C4A37">
        <w:trPr>
          <w:gridAfter w:val="1"/>
          <w:wAfter w:w="9" w:type="dxa"/>
          <w:trHeight w:val="20"/>
        </w:trPr>
        <w:tc>
          <w:tcPr>
            <w:tcW w:w="2815" w:type="dxa"/>
            <w:vAlign w:val="center"/>
          </w:tcPr>
          <w:p w14:paraId="1864BB59" w14:textId="66AF50CD" w:rsidR="006C4A37" w:rsidRPr="003548F0" w:rsidRDefault="003548F0" w:rsidP="006C4A37">
            <w:pPr>
              <w:ind w:left="680"/>
              <w:rPr>
                <w:lang w:val="bg-BG"/>
              </w:rPr>
            </w:pPr>
            <w:r>
              <w:rPr>
                <w:rFonts w:eastAsia="Times New Roman"/>
                <w:lang w:val="bg-BG"/>
              </w:rPr>
              <w:t>Инсулт</w:t>
            </w:r>
          </w:p>
        </w:tc>
        <w:tc>
          <w:tcPr>
            <w:tcW w:w="2410" w:type="dxa"/>
            <w:vAlign w:val="center"/>
          </w:tcPr>
          <w:p w14:paraId="6B74119B" w14:textId="77777777" w:rsidR="006C4A37" w:rsidRPr="00225E1F" w:rsidRDefault="006C4A37" w:rsidP="006C4A37">
            <w:pPr>
              <w:jc w:val="center"/>
            </w:pPr>
            <w:r w:rsidRPr="00225E1F">
              <w:rPr>
                <w:rFonts w:eastAsia="Times New Roman"/>
              </w:rPr>
              <w:t>253</w:t>
            </w:r>
          </w:p>
          <w:p w14:paraId="5ED46410" w14:textId="4582DF21" w:rsidR="006C4A37" w:rsidRPr="00225E1F" w:rsidRDefault="003548F0" w:rsidP="006C4A37">
            <w:pPr>
              <w:jc w:val="center"/>
            </w:pPr>
            <w:r>
              <w:rPr>
                <w:rFonts w:eastAsia="Times New Roman"/>
              </w:rPr>
              <w:t>(1,</w:t>
            </w:r>
            <w:r w:rsidR="006C4A37" w:rsidRPr="00225E1F">
              <w:rPr>
                <w:rFonts w:eastAsia="Times New Roman"/>
              </w:rPr>
              <w:t>99)</w:t>
            </w:r>
          </w:p>
        </w:tc>
        <w:tc>
          <w:tcPr>
            <w:tcW w:w="2398" w:type="dxa"/>
            <w:vAlign w:val="center"/>
          </w:tcPr>
          <w:p w14:paraId="150FA44A" w14:textId="77777777" w:rsidR="006C4A37" w:rsidRPr="00225E1F" w:rsidRDefault="006C4A37" w:rsidP="006C4A37">
            <w:pPr>
              <w:jc w:val="center"/>
            </w:pPr>
            <w:r w:rsidRPr="00225E1F">
              <w:rPr>
                <w:rFonts w:eastAsia="Times New Roman"/>
                <w:w w:val="96"/>
              </w:rPr>
              <w:t>281</w:t>
            </w:r>
          </w:p>
          <w:p w14:paraId="141E62A2" w14:textId="57CD898D" w:rsidR="006C4A37" w:rsidRPr="00225E1F" w:rsidRDefault="003548F0" w:rsidP="006C4A37">
            <w:pPr>
              <w:jc w:val="center"/>
            </w:pPr>
            <w:r>
              <w:rPr>
                <w:rFonts w:eastAsia="Times New Roman"/>
                <w:w w:val="97"/>
              </w:rPr>
              <w:t>(2,</w:t>
            </w:r>
            <w:r w:rsidR="006C4A37" w:rsidRPr="00225E1F">
              <w:rPr>
                <w:rFonts w:eastAsia="Times New Roman"/>
                <w:w w:val="97"/>
              </w:rPr>
              <w:t>22)</w:t>
            </w:r>
          </w:p>
        </w:tc>
        <w:tc>
          <w:tcPr>
            <w:tcW w:w="1982" w:type="dxa"/>
            <w:vAlign w:val="center"/>
          </w:tcPr>
          <w:p w14:paraId="6CBA99B8" w14:textId="40BD40F2" w:rsidR="006C4A37" w:rsidRPr="00225E1F" w:rsidRDefault="003548F0" w:rsidP="006C4A37">
            <w:pPr>
              <w:jc w:val="center"/>
            </w:pPr>
            <w:r>
              <w:rPr>
                <w:rFonts w:eastAsia="Times New Roman"/>
              </w:rPr>
              <w:t>0,</w:t>
            </w:r>
            <w:r w:rsidR="006C4A37" w:rsidRPr="00225E1F">
              <w:rPr>
                <w:rFonts w:eastAsia="Times New Roman"/>
              </w:rPr>
              <w:t>90</w:t>
            </w:r>
          </w:p>
          <w:p w14:paraId="4DA822E0" w14:textId="0D596FA7" w:rsidR="006C4A37" w:rsidRPr="00225E1F" w:rsidRDefault="003548F0" w:rsidP="006C4A37">
            <w:pPr>
              <w:jc w:val="center"/>
            </w:pPr>
            <w:r>
              <w:rPr>
                <w:rFonts w:eastAsia="Times New Roman"/>
                <w:w w:val="99"/>
              </w:rPr>
              <w:t>(0</w:t>
            </w:r>
            <w:r>
              <w:rPr>
                <w:rFonts w:eastAsia="Times New Roman"/>
                <w:w w:val="99"/>
                <w:lang w:val="bg-BG"/>
              </w:rPr>
              <w:t>,</w:t>
            </w:r>
            <w:r>
              <w:rPr>
                <w:rFonts w:eastAsia="Times New Roman"/>
                <w:w w:val="99"/>
              </w:rPr>
              <w:t>76 – 1,</w:t>
            </w:r>
            <w:r w:rsidR="006C4A37" w:rsidRPr="00225E1F">
              <w:rPr>
                <w:rFonts w:eastAsia="Times New Roman"/>
                <w:w w:val="99"/>
              </w:rPr>
              <w:t>07)</w:t>
            </w:r>
          </w:p>
          <w:p w14:paraId="464ECF1B" w14:textId="77777777" w:rsidR="006C4A37" w:rsidRPr="00225E1F" w:rsidRDefault="006C4A37" w:rsidP="006C4A37">
            <w:pPr>
              <w:jc w:val="center"/>
            </w:pPr>
            <w:r w:rsidRPr="00225E1F">
              <w:rPr>
                <w:rFonts w:eastAsia="Times New Roman"/>
                <w:w w:val="96"/>
              </w:rPr>
              <w:t>0.221</w:t>
            </w:r>
          </w:p>
        </w:tc>
      </w:tr>
      <w:tr w:rsidR="006C4A37" w:rsidRPr="00225E1F" w14:paraId="01A9E72F" w14:textId="77777777" w:rsidTr="006C4A37">
        <w:trPr>
          <w:gridAfter w:val="1"/>
          <w:wAfter w:w="9" w:type="dxa"/>
          <w:trHeight w:val="20"/>
        </w:trPr>
        <w:tc>
          <w:tcPr>
            <w:tcW w:w="2815" w:type="dxa"/>
            <w:vAlign w:val="center"/>
          </w:tcPr>
          <w:p w14:paraId="13786871" w14:textId="4DBF2483" w:rsidR="006C4A37" w:rsidRPr="00225E1F" w:rsidRDefault="003548F0" w:rsidP="006C4A37">
            <w:pPr>
              <w:ind w:left="700"/>
            </w:pPr>
            <w:r w:rsidRPr="003548F0">
              <w:rPr>
                <w:rFonts w:eastAsia="Times New Roman"/>
              </w:rPr>
              <w:t>Системна емболия извън ЦНС</w:t>
            </w:r>
          </w:p>
        </w:tc>
        <w:tc>
          <w:tcPr>
            <w:tcW w:w="2410" w:type="dxa"/>
            <w:vAlign w:val="center"/>
          </w:tcPr>
          <w:p w14:paraId="0D4B7E50" w14:textId="77777777" w:rsidR="006C4A37" w:rsidRPr="00225E1F" w:rsidRDefault="006C4A37" w:rsidP="006C4A37">
            <w:pPr>
              <w:jc w:val="center"/>
            </w:pPr>
            <w:r w:rsidRPr="00225E1F">
              <w:rPr>
                <w:rFonts w:eastAsia="Times New Roman"/>
                <w:w w:val="99"/>
              </w:rPr>
              <w:t>20</w:t>
            </w:r>
          </w:p>
          <w:p w14:paraId="24396C93" w14:textId="30D8C2D9" w:rsidR="006C4A37" w:rsidRPr="00225E1F" w:rsidRDefault="003548F0" w:rsidP="006C4A37">
            <w:pPr>
              <w:jc w:val="center"/>
            </w:pPr>
            <w:r>
              <w:rPr>
                <w:rFonts w:eastAsia="Times New Roman"/>
              </w:rPr>
              <w:t>(0,</w:t>
            </w:r>
            <w:r w:rsidR="006C4A37" w:rsidRPr="00225E1F">
              <w:rPr>
                <w:rFonts w:eastAsia="Times New Roman"/>
              </w:rPr>
              <w:t>16)</w:t>
            </w:r>
          </w:p>
        </w:tc>
        <w:tc>
          <w:tcPr>
            <w:tcW w:w="2398" w:type="dxa"/>
            <w:vAlign w:val="center"/>
          </w:tcPr>
          <w:p w14:paraId="4A070F01" w14:textId="77777777" w:rsidR="006C4A37" w:rsidRPr="00225E1F" w:rsidRDefault="006C4A37" w:rsidP="006C4A37">
            <w:pPr>
              <w:jc w:val="center"/>
            </w:pPr>
            <w:r w:rsidRPr="00225E1F">
              <w:rPr>
                <w:rFonts w:eastAsia="Times New Roman"/>
                <w:w w:val="99"/>
              </w:rPr>
              <w:t>27</w:t>
            </w:r>
          </w:p>
          <w:p w14:paraId="0BD77DC5" w14:textId="749DE79B" w:rsidR="006C4A37" w:rsidRPr="00225E1F" w:rsidRDefault="003548F0" w:rsidP="006C4A37">
            <w:pPr>
              <w:jc w:val="center"/>
            </w:pPr>
            <w:r>
              <w:rPr>
                <w:rFonts w:eastAsia="Times New Roman"/>
                <w:w w:val="97"/>
              </w:rPr>
              <w:t>(0,</w:t>
            </w:r>
            <w:r w:rsidR="006C4A37" w:rsidRPr="00225E1F">
              <w:rPr>
                <w:rFonts w:eastAsia="Times New Roman"/>
                <w:w w:val="97"/>
              </w:rPr>
              <w:t>21)</w:t>
            </w:r>
          </w:p>
        </w:tc>
        <w:tc>
          <w:tcPr>
            <w:tcW w:w="1982" w:type="dxa"/>
            <w:vAlign w:val="center"/>
          </w:tcPr>
          <w:p w14:paraId="6500B153" w14:textId="511B7622" w:rsidR="006C4A37" w:rsidRPr="00225E1F" w:rsidRDefault="003548F0" w:rsidP="006C4A37">
            <w:pPr>
              <w:jc w:val="center"/>
            </w:pPr>
            <w:r>
              <w:rPr>
                <w:rFonts w:eastAsia="Times New Roman"/>
              </w:rPr>
              <w:t>0,</w:t>
            </w:r>
            <w:r w:rsidR="006C4A37" w:rsidRPr="00225E1F">
              <w:rPr>
                <w:rFonts w:eastAsia="Times New Roman"/>
              </w:rPr>
              <w:t>74</w:t>
            </w:r>
          </w:p>
          <w:p w14:paraId="669FB749" w14:textId="6EFAE60B" w:rsidR="006C4A37" w:rsidRPr="00225E1F" w:rsidRDefault="003548F0" w:rsidP="006C4A37">
            <w:pPr>
              <w:jc w:val="center"/>
            </w:pPr>
            <w:r>
              <w:rPr>
                <w:rFonts w:eastAsia="Times New Roman"/>
                <w:w w:val="99"/>
              </w:rPr>
              <w:t>(0,42 – 1,</w:t>
            </w:r>
            <w:r w:rsidR="006C4A37" w:rsidRPr="00225E1F">
              <w:rPr>
                <w:rFonts w:eastAsia="Times New Roman"/>
                <w:w w:val="99"/>
              </w:rPr>
              <w:t>32)</w:t>
            </w:r>
          </w:p>
          <w:p w14:paraId="18474835" w14:textId="096C4523" w:rsidR="006C4A37" w:rsidRPr="00225E1F" w:rsidRDefault="003548F0" w:rsidP="006C4A37">
            <w:pPr>
              <w:jc w:val="center"/>
            </w:pPr>
            <w:r>
              <w:rPr>
                <w:rFonts w:eastAsia="Times New Roman"/>
                <w:w w:val="96"/>
              </w:rPr>
              <w:t>0,</w:t>
            </w:r>
            <w:r w:rsidR="006C4A37" w:rsidRPr="00225E1F">
              <w:rPr>
                <w:rFonts w:eastAsia="Times New Roman"/>
                <w:w w:val="96"/>
              </w:rPr>
              <w:t>308</w:t>
            </w:r>
          </w:p>
        </w:tc>
      </w:tr>
      <w:tr w:rsidR="006C4A37" w:rsidRPr="00225E1F" w14:paraId="166EC2E8" w14:textId="77777777" w:rsidTr="006C4A37">
        <w:trPr>
          <w:gridAfter w:val="1"/>
          <w:wAfter w:w="9" w:type="dxa"/>
          <w:trHeight w:val="20"/>
        </w:trPr>
        <w:tc>
          <w:tcPr>
            <w:tcW w:w="2815" w:type="dxa"/>
            <w:vAlign w:val="center"/>
          </w:tcPr>
          <w:p w14:paraId="6E16A5F3" w14:textId="5513092E" w:rsidR="006C4A37" w:rsidRPr="00225E1F" w:rsidRDefault="003548F0" w:rsidP="006C4A37">
            <w:pPr>
              <w:ind w:left="100"/>
            </w:pPr>
            <w:r w:rsidRPr="003548F0">
              <w:rPr>
                <w:rFonts w:eastAsia="Times New Roman"/>
              </w:rPr>
              <w:t>Инфаркт на миокарда</w:t>
            </w:r>
          </w:p>
        </w:tc>
        <w:tc>
          <w:tcPr>
            <w:tcW w:w="2410" w:type="dxa"/>
            <w:vAlign w:val="center"/>
          </w:tcPr>
          <w:p w14:paraId="75E95E1A" w14:textId="77777777" w:rsidR="006C4A37" w:rsidRPr="00225E1F" w:rsidRDefault="006C4A37" w:rsidP="006C4A37">
            <w:pPr>
              <w:jc w:val="center"/>
            </w:pPr>
            <w:r w:rsidRPr="00225E1F">
              <w:rPr>
                <w:rFonts w:eastAsia="Times New Roman"/>
              </w:rPr>
              <w:t>130</w:t>
            </w:r>
          </w:p>
          <w:p w14:paraId="14CBF65F" w14:textId="0646C9A8" w:rsidR="006C4A37" w:rsidRPr="00225E1F" w:rsidRDefault="006C4A37" w:rsidP="003548F0">
            <w:pPr>
              <w:ind w:left="900"/>
            </w:pPr>
            <w:r w:rsidRPr="00225E1F">
              <w:rPr>
                <w:rFonts w:eastAsia="Times New Roman"/>
              </w:rPr>
              <w:t>(1</w:t>
            </w:r>
            <w:r w:rsidR="003548F0">
              <w:rPr>
                <w:rFonts w:eastAsia="Times New Roman"/>
                <w:lang w:val="bg-BG"/>
              </w:rPr>
              <w:t>,</w:t>
            </w:r>
            <w:r w:rsidRPr="00225E1F">
              <w:rPr>
                <w:rFonts w:eastAsia="Times New Roman"/>
              </w:rPr>
              <w:t>02)</w:t>
            </w:r>
          </w:p>
        </w:tc>
        <w:tc>
          <w:tcPr>
            <w:tcW w:w="2398" w:type="dxa"/>
            <w:vAlign w:val="center"/>
          </w:tcPr>
          <w:p w14:paraId="6FB755C7" w14:textId="77777777" w:rsidR="006C4A37" w:rsidRPr="00225E1F" w:rsidRDefault="006C4A37" w:rsidP="006C4A37">
            <w:pPr>
              <w:jc w:val="center"/>
            </w:pPr>
            <w:r w:rsidRPr="00225E1F">
              <w:rPr>
                <w:rFonts w:eastAsia="Times New Roman"/>
                <w:w w:val="96"/>
              </w:rPr>
              <w:t>142</w:t>
            </w:r>
          </w:p>
          <w:p w14:paraId="6762A721" w14:textId="458E5085" w:rsidR="006C4A37" w:rsidRPr="00225E1F" w:rsidRDefault="003548F0" w:rsidP="006C4A37">
            <w:pPr>
              <w:jc w:val="center"/>
            </w:pPr>
            <w:r>
              <w:rPr>
                <w:rFonts w:eastAsia="Times New Roman"/>
                <w:w w:val="97"/>
              </w:rPr>
              <w:t>(1,</w:t>
            </w:r>
            <w:r w:rsidR="006C4A37" w:rsidRPr="00225E1F">
              <w:rPr>
                <w:rFonts w:eastAsia="Times New Roman"/>
                <w:w w:val="97"/>
              </w:rPr>
              <w:t>11)</w:t>
            </w:r>
          </w:p>
        </w:tc>
        <w:tc>
          <w:tcPr>
            <w:tcW w:w="1982" w:type="dxa"/>
            <w:vAlign w:val="center"/>
          </w:tcPr>
          <w:p w14:paraId="4EB2964C" w14:textId="76D8FA97" w:rsidR="006C4A37" w:rsidRPr="00225E1F" w:rsidRDefault="003548F0" w:rsidP="006C4A37">
            <w:pPr>
              <w:jc w:val="center"/>
            </w:pPr>
            <w:r>
              <w:rPr>
                <w:rFonts w:eastAsia="Times New Roman"/>
                <w:w w:val="98"/>
              </w:rPr>
              <w:t>0,</w:t>
            </w:r>
            <w:r w:rsidR="006C4A37" w:rsidRPr="00225E1F">
              <w:rPr>
                <w:rFonts w:eastAsia="Times New Roman"/>
                <w:w w:val="98"/>
              </w:rPr>
              <w:t>91</w:t>
            </w:r>
          </w:p>
          <w:p w14:paraId="343CBE5F" w14:textId="3C249CCB" w:rsidR="006C4A37" w:rsidRPr="00225E1F" w:rsidRDefault="003548F0" w:rsidP="006C4A37">
            <w:pPr>
              <w:jc w:val="center"/>
            </w:pPr>
            <w:r>
              <w:rPr>
                <w:rFonts w:eastAsia="Times New Roman"/>
                <w:w w:val="99"/>
              </w:rPr>
              <w:t>(0,72 – 1,</w:t>
            </w:r>
            <w:r w:rsidR="006C4A37" w:rsidRPr="00225E1F">
              <w:rPr>
                <w:rFonts w:eastAsia="Times New Roman"/>
                <w:w w:val="99"/>
              </w:rPr>
              <w:t>16)</w:t>
            </w:r>
          </w:p>
          <w:p w14:paraId="19601768" w14:textId="44B13717" w:rsidR="006C4A37" w:rsidRPr="00225E1F" w:rsidRDefault="003548F0" w:rsidP="006C4A37">
            <w:pPr>
              <w:jc w:val="center"/>
            </w:pPr>
            <w:r>
              <w:rPr>
                <w:rFonts w:eastAsia="Times New Roman"/>
              </w:rPr>
              <w:t>0,</w:t>
            </w:r>
            <w:r w:rsidR="006C4A37" w:rsidRPr="00225E1F">
              <w:rPr>
                <w:rFonts w:eastAsia="Times New Roman"/>
              </w:rPr>
              <w:t>464</w:t>
            </w:r>
          </w:p>
        </w:tc>
      </w:tr>
    </w:tbl>
    <w:p w14:paraId="1A4DF5E7" w14:textId="0C6B743B" w:rsidR="006C4A37" w:rsidRDefault="006C4A37" w:rsidP="006C4A37">
      <w:pPr>
        <w:ind w:right="-3"/>
        <w:rPr>
          <w:rFonts w:eastAsia="Times New Roman"/>
          <w:i/>
          <w:iCs/>
          <w:lang w:val="bg-BG"/>
        </w:rPr>
      </w:pPr>
    </w:p>
    <w:p w14:paraId="746574F4" w14:textId="77777777" w:rsidR="00655EFF" w:rsidRDefault="00655EFF" w:rsidP="006C4A37">
      <w:pPr>
        <w:rPr>
          <w:rFonts w:eastAsia="Times New Roman"/>
          <w:b/>
          <w:bCs/>
        </w:rPr>
      </w:pPr>
    </w:p>
    <w:p w14:paraId="0A55F258" w14:textId="77777777" w:rsidR="00C81808" w:rsidRDefault="00C81808" w:rsidP="006C4A37">
      <w:pPr>
        <w:rPr>
          <w:rFonts w:eastAsia="Times New Roman"/>
          <w:b/>
          <w:bCs/>
        </w:rPr>
      </w:pPr>
    </w:p>
    <w:p w14:paraId="507130D2" w14:textId="57F26D3F" w:rsidR="006C4A37" w:rsidRPr="00225E1F" w:rsidRDefault="00C81808" w:rsidP="006C4A37">
      <w:r w:rsidRPr="00C81808">
        <w:rPr>
          <w:rFonts w:eastAsia="Times New Roman"/>
          <w:b/>
          <w:bCs/>
        </w:rPr>
        <w:t>Таблица 5: Резултати за безопасност от фаза III ROCKET AF</w:t>
      </w:r>
    </w:p>
    <w:tbl>
      <w:tblPr>
        <w:tblW w:w="9410" w:type="dxa"/>
        <w:tblInd w:w="10" w:type="dxa"/>
        <w:tblLayout w:type="fixed"/>
        <w:tblCellMar>
          <w:left w:w="0" w:type="dxa"/>
          <w:right w:w="0" w:type="dxa"/>
        </w:tblCellMar>
        <w:tblLook w:val="04A0" w:firstRow="1" w:lastRow="0" w:firstColumn="1" w:lastColumn="0" w:noHBand="0" w:noVBand="1"/>
      </w:tblPr>
      <w:tblGrid>
        <w:gridCol w:w="2660"/>
        <w:gridCol w:w="2460"/>
        <w:gridCol w:w="2460"/>
        <w:gridCol w:w="1800"/>
        <w:gridCol w:w="30"/>
      </w:tblGrid>
      <w:tr w:rsidR="006C4A37" w:rsidRPr="00225E1F" w14:paraId="72EB3ED0" w14:textId="77777777" w:rsidTr="006C4A37">
        <w:trPr>
          <w:trHeight w:val="462"/>
        </w:trPr>
        <w:tc>
          <w:tcPr>
            <w:tcW w:w="2660" w:type="dxa"/>
            <w:tcBorders>
              <w:top w:val="single" w:sz="8" w:space="0" w:color="auto"/>
              <w:left w:val="single" w:sz="8" w:space="0" w:color="auto"/>
              <w:bottom w:val="single" w:sz="8" w:space="0" w:color="auto"/>
              <w:right w:val="single" w:sz="8" w:space="0" w:color="auto"/>
            </w:tcBorders>
            <w:vAlign w:val="center"/>
          </w:tcPr>
          <w:p w14:paraId="216AB684" w14:textId="0B08B48C" w:rsidR="006C4A37" w:rsidRPr="00225E1F" w:rsidRDefault="00C81808" w:rsidP="006C4A37">
            <w:pPr>
              <w:ind w:left="100"/>
            </w:pPr>
            <w:r w:rsidRPr="00C81808">
              <w:rPr>
                <w:rFonts w:eastAsia="Times New Roman"/>
                <w:b/>
                <w:bCs/>
              </w:rPr>
              <w:t>Проучвана популация</w:t>
            </w:r>
          </w:p>
        </w:tc>
        <w:tc>
          <w:tcPr>
            <w:tcW w:w="6720" w:type="dxa"/>
            <w:gridSpan w:val="3"/>
            <w:tcBorders>
              <w:top w:val="single" w:sz="8" w:space="0" w:color="auto"/>
              <w:bottom w:val="single" w:sz="8" w:space="0" w:color="auto"/>
              <w:right w:val="single" w:sz="8" w:space="0" w:color="auto"/>
            </w:tcBorders>
            <w:vAlign w:val="center"/>
          </w:tcPr>
          <w:p w14:paraId="15E8B1B5" w14:textId="15038B00" w:rsidR="006C4A37" w:rsidRPr="00225E1F" w:rsidRDefault="00C81808" w:rsidP="006C4A37">
            <w:r w:rsidRPr="00C81808">
              <w:rPr>
                <w:rFonts w:eastAsia="Times New Roman"/>
                <w:b/>
                <w:bCs/>
              </w:rPr>
              <w:t>Пациент</w:t>
            </w:r>
            <w:r>
              <w:rPr>
                <w:rFonts w:eastAsia="Times New Roman"/>
                <w:b/>
                <w:bCs/>
              </w:rPr>
              <w:t>и с неклапно предсърдно мъждене</w:t>
            </w:r>
            <w:r w:rsidRPr="00C81808">
              <w:rPr>
                <w:rFonts w:eastAsia="Times New Roman"/>
                <w:b/>
                <w:bCs/>
                <w:vertAlign w:val="superscript"/>
              </w:rPr>
              <w:t>a)</w:t>
            </w:r>
          </w:p>
        </w:tc>
        <w:tc>
          <w:tcPr>
            <w:tcW w:w="30" w:type="dxa"/>
            <w:vAlign w:val="bottom"/>
          </w:tcPr>
          <w:p w14:paraId="1AF638BC" w14:textId="77777777" w:rsidR="006C4A37" w:rsidRPr="00225E1F" w:rsidRDefault="006C4A37" w:rsidP="006C4A37"/>
        </w:tc>
      </w:tr>
      <w:tr w:rsidR="006C4A37" w:rsidRPr="00225E1F" w14:paraId="0DB5CC17" w14:textId="77777777" w:rsidTr="006C4A37">
        <w:trPr>
          <w:trHeight w:val="20"/>
        </w:trPr>
        <w:tc>
          <w:tcPr>
            <w:tcW w:w="2660" w:type="dxa"/>
            <w:vMerge w:val="restart"/>
            <w:tcBorders>
              <w:left w:val="single" w:sz="8" w:space="0" w:color="auto"/>
              <w:right w:val="single" w:sz="8" w:space="0" w:color="auto"/>
            </w:tcBorders>
            <w:vAlign w:val="center"/>
          </w:tcPr>
          <w:p w14:paraId="45D5AC72" w14:textId="3449332E" w:rsidR="006C4A37" w:rsidRPr="00225E1F" w:rsidRDefault="00C81808" w:rsidP="006C4A37">
            <w:pPr>
              <w:ind w:left="100"/>
            </w:pPr>
            <w:r w:rsidRPr="00C81808">
              <w:rPr>
                <w:rFonts w:eastAsia="Times New Roman"/>
                <w:b/>
                <w:bCs/>
              </w:rPr>
              <w:t>Терапевтична доза</w:t>
            </w:r>
          </w:p>
        </w:tc>
        <w:tc>
          <w:tcPr>
            <w:tcW w:w="2460" w:type="dxa"/>
            <w:vMerge w:val="restart"/>
            <w:tcBorders>
              <w:right w:val="single" w:sz="8" w:space="0" w:color="auto"/>
            </w:tcBorders>
          </w:tcPr>
          <w:p w14:paraId="6E92E401" w14:textId="77777777" w:rsidR="00C81808" w:rsidRDefault="00C81808" w:rsidP="006C4A37">
            <w:pPr>
              <w:ind w:left="100"/>
              <w:rPr>
                <w:rFonts w:eastAsia="Times New Roman"/>
                <w:b/>
                <w:bCs/>
              </w:rPr>
            </w:pPr>
            <w:r w:rsidRPr="00C81808">
              <w:rPr>
                <w:rFonts w:eastAsia="Times New Roman"/>
                <w:b/>
                <w:bCs/>
              </w:rPr>
              <w:t>Ривароксабан 20 mg един път дневно (15 mg веднъж дневно при пациенти с умерена степен на бъбречно увреждане)</w:t>
            </w:r>
          </w:p>
          <w:p w14:paraId="0633596C" w14:textId="3AC8B895" w:rsidR="006C4A37" w:rsidRPr="00225E1F" w:rsidRDefault="00C81808" w:rsidP="006C4A37">
            <w:pPr>
              <w:ind w:left="100"/>
            </w:pPr>
            <w:r w:rsidRPr="00C81808">
              <w:rPr>
                <w:rFonts w:eastAsia="Times New Roman"/>
                <w:b/>
                <w:bCs/>
              </w:rPr>
              <w:t>Честота на събитието (100 пациенто-години)</w:t>
            </w:r>
          </w:p>
        </w:tc>
        <w:tc>
          <w:tcPr>
            <w:tcW w:w="2460" w:type="dxa"/>
            <w:vMerge w:val="restart"/>
            <w:tcBorders>
              <w:right w:val="single" w:sz="8" w:space="0" w:color="auto"/>
            </w:tcBorders>
          </w:tcPr>
          <w:p w14:paraId="50815215" w14:textId="77777777" w:rsidR="00C81808" w:rsidRDefault="00C81808" w:rsidP="006C4A37">
            <w:pPr>
              <w:ind w:left="100"/>
              <w:rPr>
                <w:rFonts w:eastAsia="Times New Roman"/>
                <w:b/>
                <w:bCs/>
              </w:rPr>
            </w:pPr>
            <w:r w:rsidRPr="00C81808">
              <w:rPr>
                <w:rFonts w:eastAsia="Times New Roman"/>
                <w:b/>
                <w:bCs/>
              </w:rPr>
              <w:t xml:space="preserve">Варфарин </w:t>
            </w:r>
          </w:p>
          <w:p w14:paraId="11204DCD" w14:textId="1FBDD42C" w:rsidR="00C81808" w:rsidRDefault="00C81808" w:rsidP="006C4A37">
            <w:pPr>
              <w:ind w:left="100"/>
              <w:rPr>
                <w:rFonts w:eastAsia="Times New Roman"/>
                <w:b/>
                <w:bCs/>
              </w:rPr>
            </w:pPr>
            <w:r w:rsidRPr="00C81808">
              <w:rPr>
                <w:rFonts w:eastAsia="Times New Roman"/>
                <w:b/>
                <w:bCs/>
              </w:rPr>
              <w:t>титриран до INR 2,5 (терапевтични граници 2,0 до 3,0)</w:t>
            </w:r>
          </w:p>
          <w:p w14:paraId="38114422" w14:textId="77777777" w:rsidR="00C81808" w:rsidRDefault="00C81808" w:rsidP="006C4A37">
            <w:pPr>
              <w:ind w:left="100"/>
              <w:rPr>
                <w:rFonts w:eastAsia="Times New Roman"/>
                <w:b/>
                <w:bCs/>
              </w:rPr>
            </w:pPr>
          </w:p>
          <w:p w14:paraId="6D47DF41" w14:textId="77777777" w:rsidR="00C81808" w:rsidRDefault="00C81808" w:rsidP="006C4A37">
            <w:pPr>
              <w:ind w:left="100"/>
              <w:rPr>
                <w:rFonts w:eastAsia="Times New Roman"/>
                <w:b/>
                <w:bCs/>
              </w:rPr>
            </w:pPr>
          </w:p>
          <w:p w14:paraId="5BC1F95B" w14:textId="77777777" w:rsidR="00C81808" w:rsidRDefault="00C81808" w:rsidP="006C4A37">
            <w:pPr>
              <w:ind w:left="100"/>
              <w:rPr>
                <w:rFonts w:eastAsia="Times New Roman"/>
                <w:b/>
                <w:bCs/>
              </w:rPr>
            </w:pPr>
          </w:p>
          <w:p w14:paraId="7318E58A" w14:textId="56BFD49F" w:rsidR="006C4A37" w:rsidRPr="00225E1F" w:rsidRDefault="00C81808" w:rsidP="006C4A37">
            <w:pPr>
              <w:ind w:left="100"/>
            </w:pPr>
            <w:r w:rsidRPr="00C81808">
              <w:rPr>
                <w:rFonts w:eastAsia="Times New Roman"/>
                <w:b/>
                <w:bCs/>
              </w:rPr>
              <w:t>Чес</w:t>
            </w:r>
            <w:r>
              <w:rPr>
                <w:rFonts w:eastAsia="Times New Roman"/>
                <w:b/>
                <w:bCs/>
              </w:rPr>
              <w:t>тота на събитието (100 пациенто</w:t>
            </w:r>
            <w:r w:rsidRPr="00C81808">
              <w:rPr>
                <w:rFonts w:eastAsia="Times New Roman"/>
                <w:b/>
                <w:bCs/>
              </w:rPr>
              <w:t>години)</w:t>
            </w:r>
          </w:p>
        </w:tc>
        <w:tc>
          <w:tcPr>
            <w:tcW w:w="1800" w:type="dxa"/>
            <w:vMerge w:val="restart"/>
            <w:tcBorders>
              <w:right w:val="single" w:sz="8" w:space="0" w:color="auto"/>
            </w:tcBorders>
            <w:vAlign w:val="center"/>
          </w:tcPr>
          <w:p w14:paraId="10707BDF" w14:textId="74BA8CED" w:rsidR="006C4A37" w:rsidRPr="00225E1F" w:rsidRDefault="00C81808" w:rsidP="006C4A37">
            <w:pPr>
              <w:ind w:left="100"/>
            </w:pPr>
            <w:r w:rsidRPr="00C81808">
              <w:rPr>
                <w:rFonts w:eastAsia="Times New Roman"/>
                <w:b/>
                <w:bCs/>
              </w:rPr>
              <w:t>HR (95% ДИ) p-стойност</w:t>
            </w:r>
          </w:p>
        </w:tc>
        <w:tc>
          <w:tcPr>
            <w:tcW w:w="30" w:type="dxa"/>
            <w:vAlign w:val="bottom"/>
          </w:tcPr>
          <w:p w14:paraId="464CDC8C" w14:textId="77777777" w:rsidR="006C4A37" w:rsidRPr="00225E1F" w:rsidRDefault="006C4A37" w:rsidP="006C4A37"/>
        </w:tc>
      </w:tr>
      <w:tr w:rsidR="006C4A37" w:rsidRPr="00225E1F" w14:paraId="04756135" w14:textId="77777777" w:rsidTr="006C4A37">
        <w:trPr>
          <w:trHeight w:val="20"/>
        </w:trPr>
        <w:tc>
          <w:tcPr>
            <w:tcW w:w="2660" w:type="dxa"/>
            <w:vMerge/>
            <w:tcBorders>
              <w:left w:val="single" w:sz="8" w:space="0" w:color="auto"/>
              <w:right w:val="single" w:sz="8" w:space="0" w:color="auto"/>
            </w:tcBorders>
            <w:vAlign w:val="bottom"/>
          </w:tcPr>
          <w:p w14:paraId="1263510B" w14:textId="77777777" w:rsidR="006C4A37" w:rsidRPr="00225E1F" w:rsidRDefault="006C4A37" w:rsidP="006C4A37">
            <w:pPr>
              <w:ind w:left="100"/>
            </w:pPr>
          </w:p>
        </w:tc>
        <w:tc>
          <w:tcPr>
            <w:tcW w:w="2460" w:type="dxa"/>
            <w:vMerge/>
            <w:tcBorders>
              <w:right w:val="single" w:sz="8" w:space="0" w:color="auto"/>
            </w:tcBorders>
            <w:vAlign w:val="bottom"/>
          </w:tcPr>
          <w:p w14:paraId="0728DFCD" w14:textId="77777777" w:rsidR="006C4A37" w:rsidRPr="00225E1F" w:rsidRDefault="006C4A37" w:rsidP="006C4A37">
            <w:pPr>
              <w:ind w:left="100"/>
            </w:pPr>
          </w:p>
        </w:tc>
        <w:tc>
          <w:tcPr>
            <w:tcW w:w="2460" w:type="dxa"/>
            <w:vMerge/>
            <w:tcBorders>
              <w:right w:val="single" w:sz="8" w:space="0" w:color="auto"/>
            </w:tcBorders>
            <w:vAlign w:val="bottom"/>
          </w:tcPr>
          <w:p w14:paraId="461E75EB" w14:textId="77777777" w:rsidR="006C4A37" w:rsidRPr="00225E1F" w:rsidRDefault="006C4A37" w:rsidP="006C4A37">
            <w:pPr>
              <w:ind w:left="100"/>
            </w:pPr>
          </w:p>
        </w:tc>
        <w:tc>
          <w:tcPr>
            <w:tcW w:w="1800" w:type="dxa"/>
            <w:vMerge/>
            <w:tcBorders>
              <w:right w:val="single" w:sz="8" w:space="0" w:color="auto"/>
            </w:tcBorders>
            <w:vAlign w:val="bottom"/>
          </w:tcPr>
          <w:p w14:paraId="199E85ED" w14:textId="77777777" w:rsidR="006C4A37" w:rsidRPr="00225E1F" w:rsidRDefault="006C4A37" w:rsidP="006C4A37">
            <w:pPr>
              <w:ind w:left="100"/>
            </w:pPr>
          </w:p>
        </w:tc>
        <w:tc>
          <w:tcPr>
            <w:tcW w:w="30" w:type="dxa"/>
            <w:vAlign w:val="bottom"/>
          </w:tcPr>
          <w:p w14:paraId="7184887F" w14:textId="77777777" w:rsidR="006C4A37" w:rsidRPr="00225E1F" w:rsidRDefault="006C4A37" w:rsidP="006C4A37"/>
        </w:tc>
      </w:tr>
      <w:tr w:rsidR="006C4A37" w:rsidRPr="00225E1F" w14:paraId="61CB5472" w14:textId="77777777" w:rsidTr="006C4A37">
        <w:trPr>
          <w:trHeight w:val="20"/>
        </w:trPr>
        <w:tc>
          <w:tcPr>
            <w:tcW w:w="2660" w:type="dxa"/>
            <w:vMerge/>
            <w:tcBorders>
              <w:left w:val="single" w:sz="8" w:space="0" w:color="auto"/>
              <w:right w:val="single" w:sz="8" w:space="0" w:color="auto"/>
            </w:tcBorders>
            <w:vAlign w:val="bottom"/>
          </w:tcPr>
          <w:p w14:paraId="261EE57A" w14:textId="77777777" w:rsidR="006C4A37" w:rsidRPr="00225E1F" w:rsidRDefault="006C4A37" w:rsidP="006C4A37">
            <w:pPr>
              <w:ind w:left="100"/>
            </w:pPr>
          </w:p>
        </w:tc>
        <w:tc>
          <w:tcPr>
            <w:tcW w:w="2460" w:type="dxa"/>
            <w:vMerge/>
            <w:tcBorders>
              <w:right w:val="single" w:sz="8" w:space="0" w:color="auto"/>
            </w:tcBorders>
            <w:vAlign w:val="bottom"/>
          </w:tcPr>
          <w:p w14:paraId="0A564E25" w14:textId="77777777" w:rsidR="006C4A37" w:rsidRPr="00225E1F" w:rsidRDefault="006C4A37" w:rsidP="006C4A37">
            <w:pPr>
              <w:ind w:left="100"/>
            </w:pPr>
          </w:p>
        </w:tc>
        <w:tc>
          <w:tcPr>
            <w:tcW w:w="2460" w:type="dxa"/>
            <w:vMerge/>
            <w:tcBorders>
              <w:right w:val="single" w:sz="8" w:space="0" w:color="auto"/>
            </w:tcBorders>
            <w:vAlign w:val="bottom"/>
          </w:tcPr>
          <w:p w14:paraId="2C00863C" w14:textId="77777777" w:rsidR="006C4A37" w:rsidRPr="00225E1F" w:rsidRDefault="006C4A37" w:rsidP="006C4A37">
            <w:pPr>
              <w:ind w:left="100"/>
            </w:pPr>
          </w:p>
        </w:tc>
        <w:tc>
          <w:tcPr>
            <w:tcW w:w="1800" w:type="dxa"/>
            <w:vMerge/>
            <w:tcBorders>
              <w:right w:val="single" w:sz="8" w:space="0" w:color="auto"/>
            </w:tcBorders>
            <w:vAlign w:val="bottom"/>
          </w:tcPr>
          <w:p w14:paraId="2B2A6664" w14:textId="77777777" w:rsidR="006C4A37" w:rsidRPr="00225E1F" w:rsidRDefault="006C4A37" w:rsidP="006C4A37">
            <w:pPr>
              <w:ind w:left="100"/>
            </w:pPr>
          </w:p>
        </w:tc>
        <w:tc>
          <w:tcPr>
            <w:tcW w:w="30" w:type="dxa"/>
            <w:vAlign w:val="bottom"/>
          </w:tcPr>
          <w:p w14:paraId="14A6E5D2" w14:textId="77777777" w:rsidR="006C4A37" w:rsidRPr="00225E1F" w:rsidRDefault="006C4A37" w:rsidP="006C4A37"/>
        </w:tc>
      </w:tr>
      <w:tr w:rsidR="006C4A37" w:rsidRPr="00225E1F" w14:paraId="66297021" w14:textId="77777777" w:rsidTr="006C4A37">
        <w:trPr>
          <w:trHeight w:val="20"/>
        </w:trPr>
        <w:tc>
          <w:tcPr>
            <w:tcW w:w="2660" w:type="dxa"/>
            <w:vMerge/>
            <w:tcBorders>
              <w:left w:val="single" w:sz="8" w:space="0" w:color="auto"/>
              <w:right w:val="single" w:sz="8" w:space="0" w:color="auto"/>
            </w:tcBorders>
            <w:vAlign w:val="bottom"/>
          </w:tcPr>
          <w:p w14:paraId="50738B3B" w14:textId="77777777" w:rsidR="006C4A37" w:rsidRPr="00225E1F" w:rsidRDefault="006C4A37" w:rsidP="006C4A37"/>
        </w:tc>
        <w:tc>
          <w:tcPr>
            <w:tcW w:w="2460" w:type="dxa"/>
            <w:vMerge/>
            <w:tcBorders>
              <w:right w:val="single" w:sz="8" w:space="0" w:color="auto"/>
            </w:tcBorders>
            <w:vAlign w:val="bottom"/>
          </w:tcPr>
          <w:p w14:paraId="7BB12CE6" w14:textId="77777777" w:rsidR="006C4A37" w:rsidRPr="00225E1F" w:rsidRDefault="006C4A37" w:rsidP="006C4A37">
            <w:pPr>
              <w:ind w:left="100"/>
            </w:pPr>
          </w:p>
        </w:tc>
        <w:tc>
          <w:tcPr>
            <w:tcW w:w="2460" w:type="dxa"/>
            <w:vMerge/>
            <w:tcBorders>
              <w:right w:val="single" w:sz="8" w:space="0" w:color="auto"/>
            </w:tcBorders>
            <w:vAlign w:val="bottom"/>
          </w:tcPr>
          <w:p w14:paraId="571464EC" w14:textId="77777777" w:rsidR="006C4A37" w:rsidRPr="00225E1F" w:rsidRDefault="006C4A37" w:rsidP="006C4A37">
            <w:pPr>
              <w:ind w:left="100"/>
            </w:pPr>
          </w:p>
        </w:tc>
        <w:tc>
          <w:tcPr>
            <w:tcW w:w="1800" w:type="dxa"/>
            <w:vMerge/>
            <w:tcBorders>
              <w:right w:val="single" w:sz="8" w:space="0" w:color="auto"/>
            </w:tcBorders>
            <w:vAlign w:val="bottom"/>
          </w:tcPr>
          <w:p w14:paraId="447084D4" w14:textId="77777777" w:rsidR="006C4A37" w:rsidRPr="00225E1F" w:rsidRDefault="006C4A37" w:rsidP="006C4A37">
            <w:pPr>
              <w:ind w:left="100"/>
            </w:pPr>
          </w:p>
        </w:tc>
        <w:tc>
          <w:tcPr>
            <w:tcW w:w="30" w:type="dxa"/>
            <w:vAlign w:val="bottom"/>
          </w:tcPr>
          <w:p w14:paraId="2BA4A3B7" w14:textId="77777777" w:rsidR="006C4A37" w:rsidRPr="00225E1F" w:rsidRDefault="006C4A37" w:rsidP="006C4A37"/>
        </w:tc>
      </w:tr>
      <w:tr w:rsidR="006C4A37" w:rsidRPr="00225E1F" w14:paraId="3108CA12" w14:textId="77777777" w:rsidTr="006C4A37">
        <w:trPr>
          <w:trHeight w:val="20"/>
        </w:trPr>
        <w:tc>
          <w:tcPr>
            <w:tcW w:w="2660" w:type="dxa"/>
            <w:vMerge/>
            <w:tcBorders>
              <w:left w:val="single" w:sz="8" w:space="0" w:color="auto"/>
              <w:right w:val="single" w:sz="8" w:space="0" w:color="auto"/>
            </w:tcBorders>
            <w:vAlign w:val="bottom"/>
          </w:tcPr>
          <w:p w14:paraId="5EBF9B39" w14:textId="77777777" w:rsidR="006C4A37" w:rsidRPr="00225E1F" w:rsidRDefault="006C4A37" w:rsidP="006C4A37"/>
        </w:tc>
        <w:tc>
          <w:tcPr>
            <w:tcW w:w="2460" w:type="dxa"/>
            <w:vMerge/>
            <w:tcBorders>
              <w:right w:val="single" w:sz="8" w:space="0" w:color="auto"/>
            </w:tcBorders>
            <w:vAlign w:val="bottom"/>
          </w:tcPr>
          <w:p w14:paraId="77B2AF7F" w14:textId="77777777" w:rsidR="006C4A37" w:rsidRPr="00225E1F" w:rsidRDefault="006C4A37" w:rsidP="006C4A37">
            <w:pPr>
              <w:ind w:left="100"/>
            </w:pPr>
          </w:p>
        </w:tc>
        <w:tc>
          <w:tcPr>
            <w:tcW w:w="2460" w:type="dxa"/>
            <w:vMerge/>
            <w:tcBorders>
              <w:right w:val="single" w:sz="8" w:space="0" w:color="auto"/>
            </w:tcBorders>
            <w:vAlign w:val="bottom"/>
          </w:tcPr>
          <w:p w14:paraId="1D039A84" w14:textId="77777777" w:rsidR="006C4A37" w:rsidRPr="00225E1F" w:rsidRDefault="006C4A37" w:rsidP="006C4A37">
            <w:pPr>
              <w:ind w:left="100"/>
            </w:pPr>
          </w:p>
        </w:tc>
        <w:tc>
          <w:tcPr>
            <w:tcW w:w="1800" w:type="dxa"/>
            <w:vMerge/>
            <w:tcBorders>
              <w:right w:val="single" w:sz="8" w:space="0" w:color="auto"/>
            </w:tcBorders>
            <w:vAlign w:val="bottom"/>
          </w:tcPr>
          <w:p w14:paraId="2E4B8BB4" w14:textId="77777777" w:rsidR="006C4A37" w:rsidRPr="00225E1F" w:rsidRDefault="006C4A37" w:rsidP="006C4A37"/>
        </w:tc>
        <w:tc>
          <w:tcPr>
            <w:tcW w:w="30" w:type="dxa"/>
            <w:vAlign w:val="bottom"/>
          </w:tcPr>
          <w:p w14:paraId="233B3263" w14:textId="77777777" w:rsidR="006C4A37" w:rsidRPr="00225E1F" w:rsidRDefault="006C4A37" w:rsidP="006C4A37"/>
        </w:tc>
      </w:tr>
      <w:tr w:rsidR="006C4A37" w:rsidRPr="00225E1F" w14:paraId="5C34E0B5" w14:textId="77777777" w:rsidTr="006C4A37">
        <w:trPr>
          <w:trHeight w:val="20"/>
        </w:trPr>
        <w:tc>
          <w:tcPr>
            <w:tcW w:w="2660" w:type="dxa"/>
            <w:vMerge/>
            <w:tcBorders>
              <w:left w:val="single" w:sz="8" w:space="0" w:color="auto"/>
              <w:right w:val="single" w:sz="8" w:space="0" w:color="auto"/>
            </w:tcBorders>
            <w:vAlign w:val="bottom"/>
          </w:tcPr>
          <w:p w14:paraId="393CE0AB" w14:textId="77777777" w:rsidR="006C4A37" w:rsidRPr="00225E1F" w:rsidRDefault="006C4A37" w:rsidP="006C4A37"/>
        </w:tc>
        <w:tc>
          <w:tcPr>
            <w:tcW w:w="2460" w:type="dxa"/>
            <w:vMerge/>
            <w:tcBorders>
              <w:right w:val="single" w:sz="8" w:space="0" w:color="auto"/>
            </w:tcBorders>
            <w:vAlign w:val="bottom"/>
          </w:tcPr>
          <w:p w14:paraId="6F83C893" w14:textId="77777777" w:rsidR="006C4A37" w:rsidRPr="00225E1F" w:rsidRDefault="006C4A37" w:rsidP="006C4A37">
            <w:pPr>
              <w:ind w:left="100"/>
            </w:pPr>
          </w:p>
        </w:tc>
        <w:tc>
          <w:tcPr>
            <w:tcW w:w="2460" w:type="dxa"/>
            <w:vMerge/>
            <w:tcBorders>
              <w:right w:val="single" w:sz="8" w:space="0" w:color="auto"/>
            </w:tcBorders>
            <w:vAlign w:val="bottom"/>
          </w:tcPr>
          <w:p w14:paraId="2DB2A20B" w14:textId="77777777" w:rsidR="006C4A37" w:rsidRPr="00225E1F" w:rsidRDefault="006C4A37" w:rsidP="006C4A37">
            <w:pPr>
              <w:ind w:left="100"/>
            </w:pPr>
          </w:p>
        </w:tc>
        <w:tc>
          <w:tcPr>
            <w:tcW w:w="1800" w:type="dxa"/>
            <w:vMerge/>
            <w:tcBorders>
              <w:right w:val="single" w:sz="8" w:space="0" w:color="auto"/>
            </w:tcBorders>
            <w:vAlign w:val="bottom"/>
          </w:tcPr>
          <w:p w14:paraId="38FF568A" w14:textId="77777777" w:rsidR="006C4A37" w:rsidRPr="00225E1F" w:rsidRDefault="006C4A37" w:rsidP="006C4A37"/>
        </w:tc>
        <w:tc>
          <w:tcPr>
            <w:tcW w:w="30" w:type="dxa"/>
            <w:vAlign w:val="bottom"/>
          </w:tcPr>
          <w:p w14:paraId="36A7BE1B" w14:textId="77777777" w:rsidR="006C4A37" w:rsidRPr="00225E1F" w:rsidRDefault="006C4A37" w:rsidP="006C4A37"/>
        </w:tc>
      </w:tr>
      <w:tr w:rsidR="006C4A37" w:rsidRPr="00225E1F" w14:paraId="21700F00" w14:textId="77777777" w:rsidTr="006C4A37">
        <w:trPr>
          <w:trHeight w:val="20"/>
        </w:trPr>
        <w:tc>
          <w:tcPr>
            <w:tcW w:w="2660" w:type="dxa"/>
            <w:vMerge/>
            <w:tcBorders>
              <w:left w:val="single" w:sz="8" w:space="0" w:color="auto"/>
              <w:bottom w:val="single" w:sz="8" w:space="0" w:color="auto"/>
              <w:right w:val="single" w:sz="8" w:space="0" w:color="auto"/>
            </w:tcBorders>
            <w:vAlign w:val="bottom"/>
          </w:tcPr>
          <w:p w14:paraId="739D63DB" w14:textId="77777777" w:rsidR="006C4A37" w:rsidRPr="00225E1F" w:rsidRDefault="006C4A37" w:rsidP="006C4A37"/>
        </w:tc>
        <w:tc>
          <w:tcPr>
            <w:tcW w:w="2460" w:type="dxa"/>
            <w:vMerge/>
            <w:tcBorders>
              <w:bottom w:val="single" w:sz="8" w:space="0" w:color="auto"/>
              <w:right w:val="single" w:sz="8" w:space="0" w:color="auto"/>
            </w:tcBorders>
            <w:vAlign w:val="bottom"/>
          </w:tcPr>
          <w:p w14:paraId="780CBC2B" w14:textId="77777777" w:rsidR="006C4A37" w:rsidRPr="00225E1F" w:rsidRDefault="006C4A37" w:rsidP="006C4A37">
            <w:pPr>
              <w:ind w:left="100"/>
            </w:pPr>
          </w:p>
        </w:tc>
        <w:tc>
          <w:tcPr>
            <w:tcW w:w="2460" w:type="dxa"/>
            <w:vMerge/>
            <w:tcBorders>
              <w:bottom w:val="single" w:sz="8" w:space="0" w:color="auto"/>
              <w:right w:val="single" w:sz="8" w:space="0" w:color="auto"/>
            </w:tcBorders>
            <w:vAlign w:val="bottom"/>
          </w:tcPr>
          <w:p w14:paraId="1B9BC851" w14:textId="77777777" w:rsidR="006C4A37" w:rsidRPr="00225E1F" w:rsidRDefault="006C4A37" w:rsidP="006C4A37">
            <w:pPr>
              <w:ind w:left="100"/>
            </w:pPr>
          </w:p>
        </w:tc>
        <w:tc>
          <w:tcPr>
            <w:tcW w:w="1800" w:type="dxa"/>
            <w:vMerge/>
            <w:tcBorders>
              <w:bottom w:val="single" w:sz="8" w:space="0" w:color="auto"/>
              <w:right w:val="single" w:sz="8" w:space="0" w:color="auto"/>
            </w:tcBorders>
            <w:vAlign w:val="bottom"/>
          </w:tcPr>
          <w:p w14:paraId="4260874B" w14:textId="77777777" w:rsidR="006C4A37" w:rsidRPr="00225E1F" w:rsidRDefault="006C4A37" w:rsidP="006C4A37"/>
        </w:tc>
        <w:tc>
          <w:tcPr>
            <w:tcW w:w="30" w:type="dxa"/>
            <w:vAlign w:val="bottom"/>
          </w:tcPr>
          <w:p w14:paraId="0C33271C" w14:textId="77777777" w:rsidR="006C4A37" w:rsidRPr="00225E1F" w:rsidRDefault="006C4A37" w:rsidP="006C4A37"/>
        </w:tc>
      </w:tr>
      <w:tr w:rsidR="006C4A37" w:rsidRPr="00225E1F" w14:paraId="7B231FC7" w14:textId="77777777" w:rsidTr="006C4A37">
        <w:trPr>
          <w:trHeight w:val="20"/>
        </w:trPr>
        <w:tc>
          <w:tcPr>
            <w:tcW w:w="2660" w:type="dxa"/>
            <w:vMerge w:val="restart"/>
            <w:tcBorders>
              <w:left w:val="single" w:sz="8" w:space="0" w:color="auto"/>
              <w:right w:val="single" w:sz="8" w:space="0" w:color="auto"/>
            </w:tcBorders>
            <w:vAlign w:val="center"/>
          </w:tcPr>
          <w:p w14:paraId="42A25A62" w14:textId="7A927F3A" w:rsidR="006C4A37" w:rsidRPr="00225E1F" w:rsidRDefault="00C81808" w:rsidP="006C4A37">
            <w:pPr>
              <w:ind w:left="100"/>
            </w:pPr>
            <w:r w:rsidRPr="00C81808">
              <w:rPr>
                <w:rFonts w:eastAsia="Times New Roman"/>
              </w:rPr>
              <w:t>Големи и не-големи клинично значими кръвоизливи</w:t>
            </w:r>
          </w:p>
        </w:tc>
        <w:tc>
          <w:tcPr>
            <w:tcW w:w="2460" w:type="dxa"/>
            <w:vMerge w:val="restart"/>
            <w:tcBorders>
              <w:right w:val="single" w:sz="8" w:space="0" w:color="auto"/>
            </w:tcBorders>
            <w:vAlign w:val="center"/>
          </w:tcPr>
          <w:p w14:paraId="69722E1A" w14:textId="77777777" w:rsidR="006C4A37" w:rsidRPr="00225E1F" w:rsidRDefault="006C4A37" w:rsidP="006C4A37">
            <w:pPr>
              <w:ind w:left="100"/>
            </w:pPr>
            <w:r w:rsidRPr="00225E1F">
              <w:rPr>
                <w:rFonts w:eastAsia="Times New Roman"/>
              </w:rPr>
              <w:t>1,475</w:t>
            </w:r>
          </w:p>
          <w:p w14:paraId="5C5F9DBF" w14:textId="27FE09E4" w:rsidR="006C4A37" w:rsidRPr="00225E1F" w:rsidRDefault="006C4A37" w:rsidP="00C81808">
            <w:pPr>
              <w:ind w:left="100"/>
            </w:pPr>
            <w:r w:rsidRPr="00225E1F">
              <w:rPr>
                <w:rFonts w:eastAsia="Times New Roman"/>
              </w:rPr>
              <w:t>(14</w:t>
            </w:r>
            <w:r w:rsidR="00C81808">
              <w:rPr>
                <w:rFonts w:eastAsia="Times New Roman"/>
                <w:lang w:val="bg-BG"/>
              </w:rPr>
              <w:t>,</w:t>
            </w:r>
            <w:r w:rsidRPr="00225E1F">
              <w:rPr>
                <w:rFonts w:eastAsia="Times New Roman"/>
              </w:rPr>
              <w:t>91)</w:t>
            </w:r>
          </w:p>
        </w:tc>
        <w:tc>
          <w:tcPr>
            <w:tcW w:w="2460" w:type="dxa"/>
            <w:vMerge w:val="restart"/>
            <w:tcBorders>
              <w:right w:val="single" w:sz="8" w:space="0" w:color="auto"/>
            </w:tcBorders>
            <w:vAlign w:val="center"/>
          </w:tcPr>
          <w:p w14:paraId="5B337D5B" w14:textId="77777777" w:rsidR="006C4A37" w:rsidRPr="00225E1F" w:rsidRDefault="006C4A37" w:rsidP="006C4A37">
            <w:pPr>
              <w:ind w:left="100"/>
            </w:pPr>
            <w:r w:rsidRPr="00225E1F">
              <w:rPr>
                <w:rFonts w:eastAsia="Times New Roman"/>
              </w:rPr>
              <w:t>1,449</w:t>
            </w:r>
          </w:p>
          <w:p w14:paraId="615CE526" w14:textId="189186A1" w:rsidR="006C4A37" w:rsidRPr="00225E1F" w:rsidRDefault="00C81808" w:rsidP="006C4A37">
            <w:pPr>
              <w:ind w:left="100"/>
            </w:pPr>
            <w:r>
              <w:rPr>
                <w:rFonts w:eastAsia="Times New Roman"/>
              </w:rPr>
              <w:t>(14,</w:t>
            </w:r>
            <w:r w:rsidR="006C4A37" w:rsidRPr="00225E1F">
              <w:rPr>
                <w:rFonts w:eastAsia="Times New Roman"/>
              </w:rPr>
              <w:t>52)</w:t>
            </w:r>
          </w:p>
        </w:tc>
        <w:tc>
          <w:tcPr>
            <w:tcW w:w="1800" w:type="dxa"/>
            <w:vMerge w:val="restart"/>
            <w:tcBorders>
              <w:right w:val="single" w:sz="8" w:space="0" w:color="auto"/>
            </w:tcBorders>
            <w:vAlign w:val="center"/>
          </w:tcPr>
          <w:p w14:paraId="43CFBB85" w14:textId="5D3CC2B5" w:rsidR="006C4A37" w:rsidRPr="00225E1F" w:rsidRDefault="00C81808" w:rsidP="006C4A37">
            <w:pPr>
              <w:ind w:left="100"/>
            </w:pPr>
            <w:r>
              <w:rPr>
                <w:rFonts w:eastAsia="Times New Roman"/>
              </w:rPr>
              <w:t>1.03 (0,96 – 1,</w:t>
            </w:r>
            <w:r w:rsidR="006C4A37" w:rsidRPr="00225E1F">
              <w:rPr>
                <w:rFonts w:eastAsia="Times New Roman"/>
              </w:rPr>
              <w:t>11)</w:t>
            </w:r>
          </w:p>
          <w:p w14:paraId="1359B98E" w14:textId="187BF495" w:rsidR="006C4A37" w:rsidRPr="00225E1F" w:rsidRDefault="00C81808" w:rsidP="006C4A37">
            <w:pPr>
              <w:ind w:left="100"/>
            </w:pPr>
            <w:r>
              <w:rPr>
                <w:rFonts w:eastAsia="Times New Roman"/>
              </w:rPr>
              <w:t>0,</w:t>
            </w:r>
            <w:r w:rsidR="006C4A37" w:rsidRPr="00225E1F">
              <w:rPr>
                <w:rFonts w:eastAsia="Times New Roman"/>
              </w:rPr>
              <w:t>442</w:t>
            </w:r>
          </w:p>
        </w:tc>
        <w:tc>
          <w:tcPr>
            <w:tcW w:w="30" w:type="dxa"/>
            <w:vAlign w:val="bottom"/>
          </w:tcPr>
          <w:p w14:paraId="74304710" w14:textId="77777777" w:rsidR="006C4A37" w:rsidRPr="00225E1F" w:rsidRDefault="006C4A37" w:rsidP="006C4A37"/>
        </w:tc>
      </w:tr>
      <w:tr w:rsidR="006C4A37" w:rsidRPr="00225E1F" w14:paraId="2B8C8863" w14:textId="77777777" w:rsidTr="006C4A37">
        <w:trPr>
          <w:trHeight w:val="20"/>
        </w:trPr>
        <w:tc>
          <w:tcPr>
            <w:tcW w:w="2660" w:type="dxa"/>
            <w:vMerge/>
            <w:tcBorders>
              <w:left w:val="single" w:sz="8" w:space="0" w:color="auto"/>
              <w:right w:val="single" w:sz="8" w:space="0" w:color="auto"/>
            </w:tcBorders>
            <w:vAlign w:val="center"/>
          </w:tcPr>
          <w:p w14:paraId="0D8715F3" w14:textId="77777777" w:rsidR="006C4A37" w:rsidRPr="00225E1F" w:rsidRDefault="006C4A37" w:rsidP="006C4A37">
            <w:pPr>
              <w:ind w:left="100"/>
            </w:pPr>
          </w:p>
        </w:tc>
        <w:tc>
          <w:tcPr>
            <w:tcW w:w="2460" w:type="dxa"/>
            <w:vMerge/>
            <w:tcBorders>
              <w:right w:val="single" w:sz="8" w:space="0" w:color="auto"/>
            </w:tcBorders>
            <w:vAlign w:val="center"/>
          </w:tcPr>
          <w:p w14:paraId="1261BA1C" w14:textId="77777777" w:rsidR="006C4A37" w:rsidRPr="00225E1F" w:rsidRDefault="006C4A37" w:rsidP="006C4A37">
            <w:pPr>
              <w:ind w:left="100"/>
            </w:pPr>
          </w:p>
        </w:tc>
        <w:tc>
          <w:tcPr>
            <w:tcW w:w="2460" w:type="dxa"/>
            <w:vMerge/>
            <w:tcBorders>
              <w:right w:val="single" w:sz="8" w:space="0" w:color="auto"/>
            </w:tcBorders>
            <w:vAlign w:val="center"/>
          </w:tcPr>
          <w:p w14:paraId="4A2D8BCE" w14:textId="77777777" w:rsidR="006C4A37" w:rsidRPr="00225E1F" w:rsidRDefault="006C4A37" w:rsidP="006C4A37">
            <w:pPr>
              <w:ind w:left="100"/>
            </w:pPr>
          </w:p>
        </w:tc>
        <w:tc>
          <w:tcPr>
            <w:tcW w:w="1800" w:type="dxa"/>
            <w:vMerge/>
            <w:tcBorders>
              <w:right w:val="single" w:sz="8" w:space="0" w:color="auto"/>
            </w:tcBorders>
            <w:vAlign w:val="center"/>
          </w:tcPr>
          <w:p w14:paraId="50592A30" w14:textId="77777777" w:rsidR="006C4A37" w:rsidRPr="00225E1F" w:rsidRDefault="006C4A37" w:rsidP="006C4A37">
            <w:pPr>
              <w:ind w:left="100"/>
            </w:pPr>
          </w:p>
        </w:tc>
        <w:tc>
          <w:tcPr>
            <w:tcW w:w="30" w:type="dxa"/>
            <w:vAlign w:val="bottom"/>
          </w:tcPr>
          <w:p w14:paraId="07B450CD" w14:textId="77777777" w:rsidR="006C4A37" w:rsidRPr="00225E1F" w:rsidRDefault="006C4A37" w:rsidP="006C4A37"/>
        </w:tc>
      </w:tr>
      <w:tr w:rsidR="006C4A37" w:rsidRPr="00225E1F" w14:paraId="46810066" w14:textId="77777777" w:rsidTr="006C4A37">
        <w:trPr>
          <w:trHeight w:val="20"/>
        </w:trPr>
        <w:tc>
          <w:tcPr>
            <w:tcW w:w="2660" w:type="dxa"/>
            <w:vMerge/>
            <w:tcBorders>
              <w:left w:val="single" w:sz="8" w:space="0" w:color="auto"/>
              <w:right w:val="single" w:sz="8" w:space="0" w:color="auto"/>
            </w:tcBorders>
            <w:vAlign w:val="center"/>
          </w:tcPr>
          <w:p w14:paraId="4959157B" w14:textId="77777777" w:rsidR="006C4A37" w:rsidRPr="00225E1F" w:rsidRDefault="006C4A37" w:rsidP="006C4A37">
            <w:pPr>
              <w:ind w:left="100"/>
            </w:pPr>
          </w:p>
        </w:tc>
        <w:tc>
          <w:tcPr>
            <w:tcW w:w="2460" w:type="dxa"/>
            <w:vMerge/>
            <w:tcBorders>
              <w:right w:val="single" w:sz="8" w:space="0" w:color="auto"/>
            </w:tcBorders>
            <w:vAlign w:val="center"/>
          </w:tcPr>
          <w:p w14:paraId="7999EF84" w14:textId="77777777" w:rsidR="006C4A37" w:rsidRPr="00225E1F" w:rsidRDefault="006C4A37" w:rsidP="006C4A37">
            <w:pPr>
              <w:ind w:left="100"/>
            </w:pPr>
          </w:p>
        </w:tc>
        <w:tc>
          <w:tcPr>
            <w:tcW w:w="2460" w:type="dxa"/>
            <w:vMerge/>
            <w:tcBorders>
              <w:right w:val="single" w:sz="8" w:space="0" w:color="auto"/>
            </w:tcBorders>
            <w:vAlign w:val="center"/>
          </w:tcPr>
          <w:p w14:paraId="21868102" w14:textId="77777777" w:rsidR="006C4A37" w:rsidRPr="00225E1F" w:rsidRDefault="006C4A37" w:rsidP="006C4A37">
            <w:pPr>
              <w:ind w:left="100"/>
            </w:pPr>
          </w:p>
        </w:tc>
        <w:tc>
          <w:tcPr>
            <w:tcW w:w="1800" w:type="dxa"/>
            <w:vMerge/>
            <w:tcBorders>
              <w:right w:val="single" w:sz="8" w:space="0" w:color="auto"/>
            </w:tcBorders>
            <w:vAlign w:val="center"/>
          </w:tcPr>
          <w:p w14:paraId="400FEC7D" w14:textId="77777777" w:rsidR="006C4A37" w:rsidRPr="00225E1F" w:rsidRDefault="006C4A37" w:rsidP="006C4A37">
            <w:pPr>
              <w:ind w:left="100"/>
            </w:pPr>
          </w:p>
        </w:tc>
        <w:tc>
          <w:tcPr>
            <w:tcW w:w="30" w:type="dxa"/>
            <w:vAlign w:val="bottom"/>
          </w:tcPr>
          <w:p w14:paraId="3DF04B2E" w14:textId="77777777" w:rsidR="006C4A37" w:rsidRPr="00225E1F" w:rsidRDefault="006C4A37" w:rsidP="006C4A37"/>
        </w:tc>
      </w:tr>
      <w:tr w:rsidR="006C4A37" w:rsidRPr="00225E1F" w14:paraId="37C3E0E3" w14:textId="77777777" w:rsidTr="006C4A37">
        <w:trPr>
          <w:trHeight w:val="20"/>
        </w:trPr>
        <w:tc>
          <w:tcPr>
            <w:tcW w:w="2660" w:type="dxa"/>
            <w:vMerge/>
            <w:tcBorders>
              <w:left w:val="single" w:sz="8" w:space="0" w:color="auto"/>
              <w:right w:val="single" w:sz="8" w:space="0" w:color="auto"/>
            </w:tcBorders>
            <w:vAlign w:val="center"/>
          </w:tcPr>
          <w:p w14:paraId="5DF916FB" w14:textId="77777777" w:rsidR="006C4A37" w:rsidRPr="00225E1F" w:rsidRDefault="006C4A37" w:rsidP="006C4A37">
            <w:pPr>
              <w:ind w:left="100"/>
            </w:pPr>
          </w:p>
        </w:tc>
        <w:tc>
          <w:tcPr>
            <w:tcW w:w="2460" w:type="dxa"/>
            <w:vMerge/>
            <w:tcBorders>
              <w:right w:val="single" w:sz="8" w:space="0" w:color="auto"/>
            </w:tcBorders>
            <w:vAlign w:val="center"/>
          </w:tcPr>
          <w:p w14:paraId="37F3716D" w14:textId="77777777" w:rsidR="006C4A37" w:rsidRPr="00225E1F" w:rsidRDefault="006C4A37" w:rsidP="006C4A37"/>
        </w:tc>
        <w:tc>
          <w:tcPr>
            <w:tcW w:w="2460" w:type="dxa"/>
            <w:vMerge/>
            <w:tcBorders>
              <w:right w:val="single" w:sz="8" w:space="0" w:color="auto"/>
            </w:tcBorders>
            <w:vAlign w:val="center"/>
          </w:tcPr>
          <w:p w14:paraId="11533F10" w14:textId="77777777" w:rsidR="006C4A37" w:rsidRPr="00225E1F" w:rsidRDefault="006C4A37" w:rsidP="006C4A37"/>
        </w:tc>
        <w:tc>
          <w:tcPr>
            <w:tcW w:w="1800" w:type="dxa"/>
            <w:vMerge/>
            <w:tcBorders>
              <w:right w:val="single" w:sz="8" w:space="0" w:color="auto"/>
            </w:tcBorders>
            <w:vAlign w:val="center"/>
          </w:tcPr>
          <w:p w14:paraId="41A701D5" w14:textId="77777777" w:rsidR="006C4A37" w:rsidRPr="00225E1F" w:rsidRDefault="006C4A37" w:rsidP="006C4A37"/>
        </w:tc>
        <w:tc>
          <w:tcPr>
            <w:tcW w:w="30" w:type="dxa"/>
            <w:vAlign w:val="bottom"/>
          </w:tcPr>
          <w:p w14:paraId="3EFE2AFC" w14:textId="77777777" w:rsidR="006C4A37" w:rsidRPr="00225E1F" w:rsidRDefault="006C4A37" w:rsidP="006C4A37"/>
        </w:tc>
      </w:tr>
      <w:tr w:rsidR="006C4A37" w:rsidRPr="00225E1F" w14:paraId="4517E5F7" w14:textId="77777777" w:rsidTr="006C4A37">
        <w:trPr>
          <w:trHeight w:val="20"/>
        </w:trPr>
        <w:tc>
          <w:tcPr>
            <w:tcW w:w="2660" w:type="dxa"/>
            <w:vMerge/>
            <w:tcBorders>
              <w:left w:val="single" w:sz="8" w:space="0" w:color="auto"/>
              <w:bottom w:val="single" w:sz="8" w:space="0" w:color="auto"/>
              <w:right w:val="single" w:sz="8" w:space="0" w:color="auto"/>
            </w:tcBorders>
            <w:vAlign w:val="center"/>
          </w:tcPr>
          <w:p w14:paraId="7097280C" w14:textId="77777777" w:rsidR="006C4A37" w:rsidRPr="00225E1F" w:rsidRDefault="006C4A37" w:rsidP="006C4A37"/>
        </w:tc>
        <w:tc>
          <w:tcPr>
            <w:tcW w:w="2460" w:type="dxa"/>
            <w:vMerge/>
            <w:tcBorders>
              <w:bottom w:val="single" w:sz="8" w:space="0" w:color="auto"/>
              <w:right w:val="single" w:sz="8" w:space="0" w:color="auto"/>
            </w:tcBorders>
            <w:vAlign w:val="center"/>
          </w:tcPr>
          <w:p w14:paraId="71E84E6A" w14:textId="77777777" w:rsidR="006C4A37" w:rsidRPr="00225E1F" w:rsidRDefault="006C4A37" w:rsidP="006C4A37"/>
        </w:tc>
        <w:tc>
          <w:tcPr>
            <w:tcW w:w="2460" w:type="dxa"/>
            <w:vMerge/>
            <w:tcBorders>
              <w:bottom w:val="single" w:sz="8" w:space="0" w:color="auto"/>
              <w:right w:val="single" w:sz="8" w:space="0" w:color="auto"/>
            </w:tcBorders>
            <w:vAlign w:val="center"/>
          </w:tcPr>
          <w:p w14:paraId="781534A9" w14:textId="77777777" w:rsidR="006C4A37" w:rsidRPr="00225E1F" w:rsidRDefault="006C4A37" w:rsidP="006C4A37"/>
        </w:tc>
        <w:tc>
          <w:tcPr>
            <w:tcW w:w="1800" w:type="dxa"/>
            <w:vMerge/>
            <w:tcBorders>
              <w:bottom w:val="single" w:sz="8" w:space="0" w:color="auto"/>
              <w:right w:val="single" w:sz="8" w:space="0" w:color="auto"/>
            </w:tcBorders>
            <w:vAlign w:val="center"/>
          </w:tcPr>
          <w:p w14:paraId="609236D9" w14:textId="77777777" w:rsidR="006C4A37" w:rsidRPr="00225E1F" w:rsidRDefault="006C4A37" w:rsidP="006C4A37"/>
        </w:tc>
        <w:tc>
          <w:tcPr>
            <w:tcW w:w="30" w:type="dxa"/>
            <w:vAlign w:val="bottom"/>
          </w:tcPr>
          <w:p w14:paraId="644EFB9F" w14:textId="77777777" w:rsidR="006C4A37" w:rsidRPr="00225E1F" w:rsidRDefault="006C4A37" w:rsidP="006C4A37"/>
        </w:tc>
      </w:tr>
      <w:tr w:rsidR="006C4A37" w:rsidRPr="00225E1F" w14:paraId="5031534C" w14:textId="77777777" w:rsidTr="006C4A37">
        <w:trPr>
          <w:trHeight w:val="20"/>
        </w:trPr>
        <w:tc>
          <w:tcPr>
            <w:tcW w:w="2660" w:type="dxa"/>
            <w:vMerge w:val="restart"/>
            <w:tcBorders>
              <w:left w:val="single" w:sz="8" w:space="0" w:color="auto"/>
              <w:right w:val="single" w:sz="8" w:space="0" w:color="auto"/>
            </w:tcBorders>
            <w:vAlign w:val="center"/>
          </w:tcPr>
          <w:p w14:paraId="40DE2174" w14:textId="6B4E6CD5" w:rsidR="006C4A37" w:rsidRPr="00225E1F" w:rsidRDefault="00AC548F" w:rsidP="006C4A37">
            <w:pPr>
              <w:ind w:left="280"/>
            </w:pPr>
            <w:r w:rsidRPr="00AC548F">
              <w:rPr>
                <w:rFonts w:eastAsia="Times New Roman"/>
              </w:rPr>
              <w:t>Големи кръвоизливи</w:t>
            </w:r>
          </w:p>
        </w:tc>
        <w:tc>
          <w:tcPr>
            <w:tcW w:w="2460" w:type="dxa"/>
            <w:vMerge w:val="restart"/>
            <w:tcBorders>
              <w:right w:val="single" w:sz="8" w:space="0" w:color="auto"/>
            </w:tcBorders>
            <w:vAlign w:val="center"/>
          </w:tcPr>
          <w:p w14:paraId="24B6281F" w14:textId="77777777" w:rsidR="006C4A37" w:rsidRPr="00225E1F" w:rsidRDefault="006C4A37" w:rsidP="006C4A37">
            <w:pPr>
              <w:ind w:left="100"/>
            </w:pPr>
            <w:r w:rsidRPr="00225E1F">
              <w:rPr>
                <w:rFonts w:eastAsia="Times New Roman"/>
              </w:rPr>
              <w:t>395</w:t>
            </w:r>
          </w:p>
          <w:p w14:paraId="7B2E03F3" w14:textId="4C658A7A" w:rsidR="006C4A37" w:rsidRPr="00225E1F" w:rsidRDefault="00AC548F" w:rsidP="006C4A37">
            <w:pPr>
              <w:ind w:left="100"/>
            </w:pPr>
            <w:r>
              <w:rPr>
                <w:rFonts w:eastAsia="Times New Roman"/>
              </w:rPr>
              <w:t>(3,</w:t>
            </w:r>
            <w:r w:rsidR="006C4A37" w:rsidRPr="00225E1F">
              <w:rPr>
                <w:rFonts w:eastAsia="Times New Roman"/>
              </w:rPr>
              <w:t>60)</w:t>
            </w:r>
          </w:p>
        </w:tc>
        <w:tc>
          <w:tcPr>
            <w:tcW w:w="2460" w:type="dxa"/>
            <w:vMerge w:val="restart"/>
            <w:tcBorders>
              <w:right w:val="single" w:sz="8" w:space="0" w:color="auto"/>
            </w:tcBorders>
            <w:vAlign w:val="center"/>
          </w:tcPr>
          <w:p w14:paraId="2F5A878D" w14:textId="77777777" w:rsidR="006C4A37" w:rsidRPr="00225E1F" w:rsidRDefault="006C4A37" w:rsidP="006C4A37">
            <w:pPr>
              <w:ind w:left="100"/>
            </w:pPr>
            <w:r w:rsidRPr="00225E1F">
              <w:rPr>
                <w:rFonts w:eastAsia="Times New Roman"/>
              </w:rPr>
              <w:t>386</w:t>
            </w:r>
          </w:p>
          <w:p w14:paraId="3F0EF2E1" w14:textId="57A557CF" w:rsidR="006C4A37" w:rsidRPr="00225E1F" w:rsidRDefault="00AC548F" w:rsidP="006C4A37">
            <w:pPr>
              <w:ind w:left="100"/>
            </w:pPr>
            <w:r>
              <w:rPr>
                <w:rFonts w:eastAsia="Times New Roman"/>
              </w:rPr>
              <w:t>(3,</w:t>
            </w:r>
            <w:r w:rsidR="006C4A37" w:rsidRPr="00225E1F">
              <w:rPr>
                <w:rFonts w:eastAsia="Times New Roman"/>
              </w:rPr>
              <w:t>45)</w:t>
            </w:r>
          </w:p>
        </w:tc>
        <w:tc>
          <w:tcPr>
            <w:tcW w:w="1800" w:type="dxa"/>
            <w:vMerge w:val="restart"/>
            <w:tcBorders>
              <w:right w:val="single" w:sz="8" w:space="0" w:color="auto"/>
            </w:tcBorders>
            <w:vAlign w:val="center"/>
          </w:tcPr>
          <w:p w14:paraId="3B888698" w14:textId="4FB7A2FD" w:rsidR="006C4A37" w:rsidRPr="00225E1F" w:rsidRDefault="00AC548F" w:rsidP="006C4A37">
            <w:pPr>
              <w:ind w:left="100"/>
            </w:pPr>
            <w:r>
              <w:rPr>
                <w:rFonts w:eastAsia="Times New Roman"/>
              </w:rPr>
              <w:t>1,04 (0,90 – 1,</w:t>
            </w:r>
            <w:r w:rsidR="006C4A37" w:rsidRPr="00225E1F">
              <w:rPr>
                <w:rFonts w:eastAsia="Times New Roman"/>
              </w:rPr>
              <w:t>20)</w:t>
            </w:r>
          </w:p>
          <w:p w14:paraId="7FA03B6C" w14:textId="79FE0780" w:rsidR="006C4A37" w:rsidRPr="00225E1F" w:rsidRDefault="00AC548F" w:rsidP="006C4A37">
            <w:pPr>
              <w:ind w:left="100"/>
            </w:pPr>
            <w:r>
              <w:rPr>
                <w:rFonts w:eastAsia="Times New Roman"/>
              </w:rPr>
              <w:t>0,</w:t>
            </w:r>
            <w:r w:rsidR="006C4A37" w:rsidRPr="00225E1F">
              <w:rPr>
                <w:rFonts w:eastAsia="Times New Roman"/>
              </w:rPr>
              <w:t>576</w:t>
            </w:r>
          </w:p>
        </w:tc>
        <w:tc>
          <w:tcPr>
            <w:tcW w:w="30" w:type="dxa"/>
            <w:vAlign w:val="bottom"/>
          </w:tcPr>
          <w:p w14:paraId="4114A601" w14:textId="77777777" w:rsidR="006C4A37" w:rsidRPr="00225E1F" w:rsidRDefault="006C4A37" w:rsidP="006C4A37"/>
        </w:tc>
      </w:tr>
      <w:tr w:rsidR="006C4A37" w:rsidRPr="00225E1F" w14:paraId="52B4F5FA" w14:textId="77777777" w:rsidTr="006C4A37">
        <w:trPr>
          <w:trHeight w:val="20"/>
        </w:trPr>
        <w:tc>
          <w:tcPr>
            <w:tcW w:w="2660" w:type="dxa"/>
            <w:vMerge/>
            <w:tcBorders>
              <w:left w:val="single" w:sz="8" w:space="0" w:color="auto"/>
              <w:right w:val="single" w:sz="8" w:space="0" w:color="auto"/>
            </w:tcBorders>
            <w:vAlign w:val="center"/>
          </w:tcPr>
          <w:p w14:paraId="0F5569C6" w14:textId="77777777" w:rsidR="006C4A37" w:rsidRPr="00225E1F" w:rsidRDefault="006C4A37" w:rsidP="006C4A37"/>
        </w:tc>
        <w:tc>
          <w:tcPr>
            <w:tcW w:w="2460" w:type="dxa"/>
            <w:vMerge/>
            <w:tcBorders>
              <w:right w:val="single" w:sz="8" w:space="0" w:color="auto"/>
            </w:tcBorders>
            <w:vAlign w:val="center"/>
          </w:tcPr>
          <w:p w14:paraId="5AC77844" w14:textId="77777777" w:rsidR="006C4A37" w:rsidRPr="00225E1F" w:rsidRDefault="006C4A37" w:rsidP="006C4A37">
            <w:pPr>
              <w:ind w:left="100"/>
            </w:pPr>
          </w:p>
        </w:tc>
        <w:tc>
          <w:tcPr>
            <w:tcW w:w="2460" w:type="dxa"/>
            <w:vMerge/>
            <w:tcBorders>
              <w:right w:val="single" w:sz="8" w:space="0" w:color="auto"/>
            </w:tcBorders>
            <w:vAlign w:val="center"/>
          </w:tcPr>
          <w:p w14:paraId="315DB068" w14:textId="77777777" w:rsidR="006C4A37" w:rsidRPr="00225E1F" w:rsidRDefault="006C4A37" w:rsidP="006C4A37">
            <w:pPr>
              <w:ind w:left="100"/>
            </w:pPr>
          </w:p>
        </w:tc>
        <w:tc>
          <w:tcPr>
            <w:tcW w:w="1800" w:type="dxa"/>
            <w:vMerge/>
            <w:tcBorders>
              <w:right w:val="single" w:sz="8" w:space="0" w:color="auto"/>
            </w:tcBorders>
            <w:vAlign w:val="center"/>
          </w:tcPr>
          <w:p w14:paraId="7245483D" w14:textId="77777777" w:rsidR="006C4A37" w:rsidRPr="00225E1F" w:rsidRDefault="006C4A37" w:rsidP="006C4A37">
            <w:pPr>
              <w:ind w:left="100"/>
            </w:pPr>
          </w:p>
        </w:tc>
        <w:tc>
          <w:tcPr>
            <w:tcW w:w="30" w:type="dxa"/>
            <w:vAlign w:val="bottom"/>
          </w:tcPr>
          <w:p w14:paraId="66F150C8" w14:textId="77777777" w:rsidR="006C4A37" w:rsidRPr="00225E1F" w:rsidRDefault="006C4A37" w:rsidP="006C4A37"/>
        </w:tc>
      </w:tr>
      <w:tr w:rsidR="006C4A37" w:rsidRPr="00225E1F" w14:paraId="57037B3D" w14:textId="77777777" w:rsidTr="006C4A37">
        <w:trPr>
          <w:trHeight w:val="20"/>
        </w:trPr>
        <w:tc>
          <w:tcPr>
            <w:tcW w:w="2660" w:type="dxa"/>
            <w:vMerge/>
            <w:tcBorders>
              <w:left w:val="single" w:sz="8" w:space="0" w:color="auto"/>
              <w:bottom w:val="single" w:sz="8" w:space="0" w:color="auto"/>
              <w:right w:val="single" w:sz="8" w:space="0" w:color="auto"/>
            </w:tcBorders>
            <w:vAlign w:val="center"/>
          </w:tcPr>
          <w:p w14:paraId="034D5230" w14:textId="77777777" w:rsidR="006C4A37" w:rsidRPr="00225E1F" w:rsidRDefault="006C4A37" w:rsidP="006C4A37"/>
        </w:tc>
        <w:tc>
          <w:tcPr>
            <w:tcW w:w="2460" w:type="dxa"/>
            <w:vMerge/>
            <w:tcBorders>
              <w:bottom w:val="single" w:sz="8" w:space="0" w:color="auto"/>
              <w:right w:val="single" w:sz="8" w:space="0" w:color="auto"/>
            </w:tcBorders>
            <w:vAlign w:val="center"/>
          </w:tcPr>
          <w:p w14:paraId="4856B129" w14:textId="77777777" w:rsidR="006C4A37" w:rsidRPr="00225E1F" w:rsidRDefault="006C4A37" w:rsidP="006C4A37"/>
        </w:tc>
        <w:tc>
          <w:tcPr>
            <w:tcW w:w="2460" w:type="dxa"/>
            <w:vMerge/>
            <w:tcBorders>
              <w:bottom w:val="single" w:sz="8" w:space="0" w:color="auto"/>
              <w:right w:val="single" w:sz="8" w:space="0" w:color="auto"/>
            </w:tcBorders>
            <w:vAlign w:val="center"/>
          </w:tcPr>
          <w:p w14:paraId="40D754CD" w14:textId="77777777" w:rsidR="006C4A37" w:rsidRPr="00225E1F" w:rsidRDefault="006C4A37" w:rsidP="006C4A37"/>
        </w:tc>
        <w:tc>
          <w:tcPr>
            <w:tcW w:w="1800" w:type="dxa"/>
            <w:vMerge/>
            <w:tcBorders>
              <w:bottom w:val="single" w:sz="8" w:space="0" w:color="auto"/>
              <w:right w:val="single" w:sz="8" w:space="0" w:color="auto"/>
            </w:tcBorders>
            <w:vAlign w:val="center"/>
          </w:tcPr>
          <w:p w14:paraId="1FDD2453" w14:textId="77777777" w:rsidR="006C4A37" w:rsidRPr="00225E1F" w:rsidRDefault="006C4A37" w:rsidP="006C4A37"/>
        </w:tc>
        <w:tc>
          <w:tcPr>
            <w:tcW w:w="30" w:type="dxa"/>
            <w:vAlign w:val="bottom"/>
          </w:tcPr>
          <w:p w14:paraId="01C7548E" w14:textId="77777777" w:rsidR="006C4A37" w:rsidRPr="00225E1F" w:rsidRDefault="006C4A37" w:rsidP="006C4A37"/>
        </w:tc>
      </w:tr>
      <w:tr w:rsidR="006C4A37" w:rsidRPr="00225E1F" w14:paraId="2BA7C14C" w14:textId="77777777" w:rsidTr="006C4A37">
        <w:trPr>
          <w:trHeight w:val="20"/>
        </w:trPr>
        <w:tc>
          <w:tcPr>
            <w:tcW w:w="2660" w:type="dxa"/>
            <w:vMerge w:val="restart"/>
            <w:tcBorders>
              <w:left w:val="single" w:sz="8" w:space="0" w:color="auto"/>
              <w:right w:val="single" w:sz="8" w:space="0" w:color="auto"/>
            </w:tcBorders>
            <w:vAlign w:val="center"/>
          </w:tcPr>
          <w:p w14:paraId="614B1F04" w14:textId="5E20C5DC" w:rsidR="006C4A37" w:rsidRPr="00225E1F" w:rsidRDefault="00AC548F" w:rsidP="006C4A37">
            <w:pPr>
              <w:ind w:left="700"/>
            </w:pPr>
            <w:r w:rsidRPr="00AC548F">
              <w:rPr>
                <w:rFonts w:eastAsia="Times New Roman"/>
              </w:rPr>
              <w:t>Смърт в резултат на кървене*</w:t>
            </w:r>
          </w:p>
        </w:tc>
        <w:tc>
          <w:tcPr>
            <w:tcW w:w="2460" w:type="dxa"/>
            <w:vMerge w:val="restart"/>
            <w:tcBorders>
              <w:right w:val="single" w:sz="8" w:space="0" w:color="auto"/>
            </w:tcBorders>
            <w:vAlign w:val="center"/>
          </w:tcPr>
          <w:p w14:paraId="19F1B4DF" w14:textId="77777777" w:rsidR="006C4A37" w:rsidRPr="00225E1F" w:rsidRDefault="006C4A37" w:rsidP="006C4A37">
            <w:pPr>
              <w:ind w:left="100"/>
            </w:pPr>
            <w:r w:rsidRPr="00225E1F">
              <w:rPr>
                <w:rFonts w:eastAsia="Times New Roman"/>
              </w:rPr>
              <w:t>27</w:t>
            </w:r>
          </w:p>
          <w:p w14:paraId="68B48F5F" w14:textId="72E9743D" w:rsidR="006C4A37" w:rsidRPr="00225E1F" w:rsidRDefault="00AC548F" w:rsidP="006C4A37">
            <w:pPr>
              <w:ind w:left="100"/>
            </w:pPr>
            <w:r>
              <w:rPr>
                <w:rFonts w:eastAsia="Times New Roman"/>
              </w:rPr>
              <w:t>(0,</w:t>
            </w:r>
            <w:r w:rsidR="006C4A37" w:rsidRPr="00225E1F">
              <w:rPr>
                <w:rFonts w:eastAsia="Times New Roman"/>
              </w:rPr>
              <w:t>24)</w:t>
            </w:r>
          </w:p>
        </w:tc>
        <w:tc>
          <w:tcPr>
            <w:tcW w:w="2460" w:type="dxa"/>
            <w:vMerge w:val="restart"/>
            <w:tcBorders>
              <w:right w:val="single" w:sz="8" w:space="0" w:color="auto"/>
            </w:tcBorders>
            <w:vAlign w:val="center"/>
          </w:tcPr>
          <w:p w14:paraId="71ED30D6" w14:textId="77777777" w:rsidR="006C4A37" w:rsidRPr="00225E1F" w:rsidRDefault="006C4A37" w:rsidP="006C4A37">
            <w:pPr>
              <w:ind w:left="100"/>
            </w:pPr>
            <w:r w:rsidRPr="00225E1F">
              <w:rPr>
                <w:rFonts w:eastAsia="Times New Roman"/>
              </w:rPr>
              <w:t>55</w:t>
            </w:r>
          </w:p>
          <w:p w14:paraId="33776F37" w14:textId="61E2E526" w:rsidR="006C4A37" w:rsidRPr="00225E1F" w:rsidRDefault="006C4A37" w:rsidP="00AC548F">
            <w:pPr>
              <w:ind w:left="100"/>
            </w:pPr>
            <w:r w:rsidRPr="00225E1F">
              <w:rPr>
                <w:rFonts w:eastAsia="Times New Roman"/>
              </w:rPr>
              <w:t>(0</w:t>
            </w:r>
            <w:r w:rsidR="00AC548F">
              <w:rPr>
                <w:rFonts w:eastAsia="Times New Roman"/>
                <w:lang w:val="bg-BG"/>
              </w:rPr>
              <w:t>,</w:t>
            </w:r>
            <w:r w:rsidRPr="00225E1F">
              <w:rPr>
                <w:rFonts w:eastAsia="Times New Roman"/>
              </w:rPr>
              <w:t>48)</w:t>
            </w:r>
          </w:p>
        </w:tc>
        <w:tc>
          <w:tcPr>
            <w:tcW w:w="1800" w:type="dxa"/>
            <w:vMerge w:val="restart"/>
            <w:tcBorders>
              <w:right w:val="single" w:sz="8" w:space="0" w:color="auto"/>
            </w:tcBorders>
            <w:vAlign w:val="center"/>
          </w:tcPr>
          <w:p w14:paraId="07F252FF" w14:textId="7CA630E4" w:rsidR="006C4A37" w:rsidRPr="00225E1F" w:rsidRDefault="006C4A37" w:rsidP="006C4A37">
            <w:pPr>
              <w:ind w:left="100"/>
            </w:pPr>
            <w:r w:rsidRPr="00225E1F">
              <w:rPr>
                <w:rFonts w:eastAsia="Times New Roman"/>
              </w:rPr>
              <w:t>0</w:t>
            </w:r>
            <w:r w:rsidR="00AC548F">
              <w:rPr>
                <w:rFonts w:eastAsia="Times New Roman"/>
              </w:rPr>
              <w:t>,50 (0,31 – 0,</w:t>
            </w:r>
            <w:r w:rsidRPr="00225E1F">
              <w:rPr>
                <w:rFonts w:eastAsia="Times New Roman"/>
              </w:rPr>
              <w:t>79)</w:t>
            </w:r>
          </w:p>
          <w:p w14:paraId="7666B515" w14:textId="1A16EEBD" w:rsidR="006C4A37" w:rsidRPr="00225E1F" w:rsidRDefault="00AC548F" w:rsidP="006C4A37">
            <w:pPr>
              <w:ind w:left="100"/>
            </w:pPr>
            <w:r>
              <w:rPr>
                <w:rFonts w:eastAsia="Times New Roman"/>
              </w:rPr>
              <w:t>0,</w:t>
            </w:r>
            <w:r w:rsidR="006C4A37" w:rsidRPr="00225E1F">
              <w:rPr>
                <w:rFonts w:eastAsia="Times New Roman"/>
              </w:rPr>
              <w:t>003</w:t>
            </w:r>
          </w:p>
        </w:tc>
        <w:tc>
          <w:tcPr>
            <w:tcW w:w="30" w:type="dxa"/>
            <w:vAlign w:val="bottom"/>
          </w:tcPr>
          <w:p w14:paraId="5D3DEC86" w14:textId="77777777" w:rsidR="006C4A37" w:rsidRPr="00225E1F" w:rsidRDefault="006C4A37" w:rsidP="006C4A37"/>
        </w:tc>
      </w:tr>
      <w:tr w:rsidR="006C4A37" w:rsidRPr="00225E1F" w14:paraId="657BEE30" w14:textId="77777777" w:rsidTr="006C4A37">
        <w:trPr>
          <w:trHeight w:val="20"/>
        </w:trPr>
        <w:tc>
          <w:tcPr>
            <w:tcW w:w="2660" w:type="dxa"/>
            <w:vMerge/>
            <w:tcBorders>
              <w:left w:val="single" w:sz="8" w:space="0" w:color="auto"/>
              <w:bottom w:val="single" w:sz="8" w:space="0" w:color="auto"/>
              <w:right w:val="single" w:sz="8" w:space="0" w:color="auto"/>
            </w:tcBorders>
            <w:vAlign w:val="center"/>
          </w:tcPr>
          <w:p w14:paraId="5DAF5AAC" w14:textId="77777777" w:rsidR="006C4A37" w:rsidRPr="00225E1F" w:rsidRDefault="006C4A37" w:rsidP="006C4A37">
            <w:pPr>
              <w:ind w:left="700"/>
            </w:pPr>
          </w:p>
        </w:tc>
        <w:tc>
          <w:tcPr>
            <w:tcW w:w="2460" w:type="dxa"/>
            <w:vMerge/>
            <w:tcBorders>
              <w:bottom w:val="single" w:sz="8" w:space="0" w:color="auto"/>
              <w:right w:val="single" w:sz="8" w:space="0" w:color="auto"/>
            </w:tcBorders>
            <w:vAlign w:val="center"/>
          </w:tcPr>
          <w:p w14:paraId="2B365F10" w14:textId="77777777" w:rsidR="006C4A37" w:rsidRPr="00225E1F" w:rsidRDefault="006C4A37" w:rsidP="006C4A37">
            <w:pPr>
              <w:ind w:left="100"/>
            </w:pPr>
          </w:p>
        </w:tc>
        <w:tc>
          <w:tcPr>
            <w:tcW w:w="2460" w:type="dxa"/>
            <w:vMerge/>
            <w:tcBorders>
              <w:bottom w:val="single" w:sz="8" w:space="0" w:color="auto"/>
              <w:right w:val="single" w:sz="8" w:space="0" w:color="auto"/>
            </w:tcBorders>
            <w:vAlign w:val="center"/>
          </w:tcPr>
          <w:p w14:paraId="5FE9B5D6" w14:textId="77777777" w:rsidR="006C4A37" w:rsidRPr="00225E1F" w:rsidRDefault="006C4A37" w:rsidP="006C4A37">
            <w:pPr>
              <w:ind w:left="100"/>
            </w:pPr>
          </w:p>
        </w:tc>
        <w:tc>
          <w:tcPr>
            <w:tcW w:w="1800" w:type="dxa"/>
            <w:vMerge/>
            <w:tcBorders>
              <w:bottom w:val="single" w:sz="8" w:space="0" w:color="auto"/>
              <w:right w:val="single" w:sz="8" w:space="0" w:color="auto"/>
            </w:tcBorders>
            <w:vAlign w:val="center"/>
          </w:tcPr>
          <w:p w14:paraId="23F1C875" w14:textId="77777777" w:rsidR="006C4A37" w:rsidRPr="00225E1F" w:rsidRDefault="006C4A37" w:rsidP="006C4A37">
            <w:pPr>
              <w:ind w:left="100"/>
            </w:pPr>
          </w:p>
        </w:tc>
        <w:tc>
          <w:tcPr>
            <w:tcW w:w="30" w:type="dxa"/>
            <w:vAlign w:val="bottom"/>
          </w:tcPr>
          <w:p w14:paraId="0DA3F1B2" w14:textId="77777777" w:rsidR="006C4A37" w:rsidRPr="00225E1F" w:rsidRDefault="006C4A37" w:rsidP="006C4A37"/>
        </w:tc>
      </w:tr>
      <w:tr w:rsidR="006C4A37" w:rsidRPr="00225E1F" w14:paraId="1525DBAC" w14:textId="77777777" w:rsidTr="006C4A37">
        <w:trPr>
          <w:trHeight w:val="20"/>
        </w:trPr>
        <w:tc>
          <w:tcPr>
            <w:tcW w:w="2660" w:type="dxa"/>
            <w:vMerge w:val="restart"/>
            <w:tcBorders>
              <w:left w:val="single" w:sz="8" w:space="0" w:color="auto"/>
              <w:right w:val="single" w:sz="8" w:space="0" w:color="auto"/>
            </w:tcBorders>
            <w:vAlign w:val="center"/>
          </w:tcPr>
          <w:p w14:paraId="2BEB1C9C" w14:textId="52AAD16E" w:rsidR="006C4A37" w:rsidRPr="00225E1F" w:rsidRDefault="00AC548F" w:rsidP="006C4A37">
            <w:pPr>
              <w:ind w:left="700"/>
            </w:pPr>
            <w:r w:rsidRPr="00AC548F">
              <w:rPr>
                <w:rFonts w:eastAsia="Times New Roman"/>
              </w:rPr>
              <w:t>Кървене от критичен орган*</w:t>
            </w:r>
          </w:p>
        </w:tc>
        <w:tc>
          <w:tcPr>
            <w:tcW w:w="2460" w:type="dxa"/>
            <w:vMerge w:val="restart"/>
            <w:tcBorders>
              <w:right w:val="single" w:sz="8" w:space="0" w:color="auto"/>
            </w:tcBorders>
            <w:vAlign w:val="center"/>
          </w:tcPr>
          <w:p w14:paraId="75B56024" w14:textId="77777777" w:rsidR="006C4A37" w:rsidRPr="00225E1F" w:rsidRDefault="006C4A37" w:rsidP="006C4A37">
            <w:pPr>
              <w:ind w:left="100"/>
            </w:pPr>
            <w:r w:rsidRPr="00225E1F">
              <w:rPr>
                <w:rFonts w:eastAsia="Times New Roman"/>
              </w:rPr>
              <w:t>91</w:t>
            </w:r>
          </w:p>
          <w:p w14:paraId="4A362C41" w14:textId="4C44A616" w:rsidR="006C4A37" w:rsidRPr="00225E1F" w:rsidRDefault="00AC548F" w:rsidP="006C4A37">
            <w:pPr>
              <w:ind w:left="100"/>
            </w:pPr>
            <w:r>
              <w:rPr>
                <w:rFonts w:eastAsia="Times New Roman"/>
              </w:rPr>
              <w:t>(0,</w:t>
            </w:r>
            <w:r w:rsidR="006C4A37" w:rsidRPr="00225E1F">
              <w:rPr>
                <w:rFonts w:eastAsia="Times New Roman"/>
              </w:rPr>
              <w:t>82)</w:t>
            </w:r>
          </w:p>
        </w:tc>
        <w:tc>
          <w:tcPr>
            <w:tcW w:w="2460" w:type="dxa"/>
            <w:vMerge w:val="restart"/>
            <w:tcBorders>
              <w:right w:val="single" w:sz="8" w:space="0" w:color="auto"/>
            </w:tcBorders>
            <w:vAlign w:val="center"/>
          </w:tcPr>
          <w:p w14:paraId="1B4C981A" w14:textId="77777777" w:rsidR="006C4A37" w:rsidRPr="00225E1F" w:rsidRDefault="006C4A37" w:rsidP="006C4A37">
            <w:pPr>
              <w:ind w:left="100"/>
            </w:pPr>
            <w:r w:rsidRPr="00225E1F">
              <w:rPr>
                <w:rFonts w:eastAsia="Times New Roman"/>
              </w:rPr>
              <w:t>133</w:t>
            </w:r>
          </w:p>
          <w:p w14:paraId="6473D2CB" w14:textId="3F2092B9" w:rsidR="006C4A37" w:rsidRPr="00225E1F" w:rsidRDefault="00AC548F" w:rsidP="006C4A37">
            <w:pPr>
              <w:ind w:left="100"/>
            </w:pPr>
            <w:r>
              <w:rPr>
                <w:rFonts w:eastAsia="Times New Roman"/>
              </w:rPr>
              <w:t>(1,</w:t>
            </w:r>
            <w:r w:rsidR="006C4A37" w:rsidRPr="00225E1F">
              <w:rPr>
                <w:rFonts w:eastAsia="Times New Roman"/>
              </w:rPr>
              <w:t>18)</w:t>
            </w:r>
          </w:p>
        </w:tc>
        <w:tc>
          <w:tcPr>
            <w:tcW w:w="1800" w:type="dxa"/>
            <w:vMerge w:val="restart"/>
            <w:tcBorders>
              <w:right w:val="single" w:sz="8" w:space="0" w:color="auto"/>
            </w:tcBorders>
            <w:vAlign w:val="center"/>
          </w:tcPr>
          <w:p w14:paraId="4A6A9C2C" w14:textId="35FB4B2E" w:rsidR="006C4A37" w:rsidRPr="00225E1F" w:rsidRDefault="00AC548F" w:rsidP="006C4A37">
            <w:pPr>
              <w:ind w:left="100"/>
            </w:pPr>
            <w:r>
              <w:rPr>
                <w:rFonts w:eastAsia="Times New Roman"/>
              </w:rPr>
              <w:t>0,69 (0,53 – 0,</w:t>
            </w:r>
            <w:r w:rsidR="006C4A37" w:rsidRPr="00225E1F">
              <w:rPr>
                <w:rFonts w:eastAsia="Times New Roman"/>
              </w:rPr>
              <w:t>91)</w:t>
            </w:r>
          </w:p>
          <w:p w14:paraId="76F6296F" w14:textId="6E5C6B14" w:rsidR="006C4A37" w:rsidRPr="00225E1F" w:rsidRDefault="00AC548F" w:rsidP="006C4A37">
            <w:pPr>
              <w:ind w:left="100"/>
            </w:pPr>
            <w:r>
              <w:rPr>
                <w:rFonts w:eastAsia="Times New Roman"/>
              </w:rPr>
              <w:t>0,</w:t>
            </w:r>
            <w:r w:rsidR="006C4A37" w:rsidRPr="00225E1F">
              <w:rPr>
                <w:rFonts w:eastAsia="Times New Roman"/>
              </w:rPr>
              <w:t>07</w:t>
            </w:r>
          </w:p>
        </w:tc>
        <w:tc>
          <w:tcPr>
            <w:tcW w:w="30" w:type="dxa"/>
            <w:vAlign w:val="bottom"/>
          </w:tcPr>
          <w:p w14:paraId="5CA08547" w14:textId="77777777" w:rsidR="006C4A37" w:rsidRPr="00225E1F" w:rsidRDefault="006C4A37" w:rsidP="006C4A37"/>
        </w:tc>
      </w:tr>
      <w:tr w:rsidR="006C4A37" w:rsidRPr="00225E1F" w14:paraId="0EAF50E4" w14:textId="77777777" w:rsidTr="006C4A37">
        <w:trPr>
          <w:trHeight w:val="20"/>
        </w:trPr>
        <w:tc>
          <w:tcPr>
            <w:tcW w:w="2660" w:type="dxa"/>
            <w:vMerge/>
            <w:tcBorders>
              <w:left w:val="single" w:sz="8" w:space="0" w:color="auto"/>
              <w:bottom w:val="single" w:sz="8" w:space="0" w:color="auto"/>
              <w:right w:val="single" w:sz="8" w:space="0" w:color="auto"/>
            </w:tcBorders>
            <w:vAlign w:val="center"/>
          </w:tcPr>
          <w:p w14:paraId="68691805" w14:textId="77777777" w:rsidR="006C4A37" w:rsidRPr="00225E1F" w:rsidRDefault="006C4A37" w:rsidP="006C4A37">
            <w:pPr>
              <w:ind w:left="700"/>
            </w:pPr>
          </w:p>
        </w:tc>
        <w:tc>
          <w:tcPr>
            <w:tcW w:w="2460" w:type="dxa"/>
            <w:vMerge/>
            <w:tcBorders>
              <w:bottom w:val="single" w:sz="8" w:space="0" w:color="auto"/>
              <w:right w:val="single" w:sz="8" w:space="0" w:color="auto"/>
            </w:tcBorders>
            <w:vAlign w:val="center"/>
          </w:tcPr>
          <w:p w14:paraId="22CB5D0C" w14:textId="77777777" w:rsidR="006C4A37" w:rsidRPr="00225E1F" w:rsidRDefault="006C4A37" w:rsidP="006C4A37">
            <w:pPr>
              <w:ind w:left="100"/>
            </w:pPr>
          </w:p>
        </w:tc>
        <w:tc>
          <w:tcPr>
            <w:tcW w:w="2460" w:type="dxa"/>
            <w:vMerge/>
            <w:tcBorders>
              <w:bottom w:val="single" w:sz="8" w:space="0" w:color="auto"/>
              <w:right w:val="single" w:sz="8" w:space="0" w:color="auto"/>
            </w:tcBorders>
            <w:vAlign w:val="center"/>
          </w:tcPr>
          <w:p w14:paraId="6EBD580B" w14:textId="77777777" w:rsidR="006C4A37" w:rsidRPr="00225E1F" w:rsidRDefault="006C4A37" w:rsidP="006C4A37">
            <w:pPr>
              <w:ind w:left="100"/>
            </w:pPr>
          </w:p>
        </w:tc>
        <w:tc>
          <w:tcPr>
            <w:tcW w:w="1800" w:type="dxa"/>
            <w:vMerge/>
            <w:tcBorders>
              <w:bottom w:val="single" w:sz="8" w:space="0" w:color="auto"/>
              <w:right w:val="single" w:sz="8" w:space="0" w:color="auto"/>
            </w:tcBorders>
            <w:vAlign w:val="center"/>
          </w:tcPr>
          <w:p w14:paraId="70E79129" w14:textId="77777777" w:rsidR="006C4A37" w:rsidRPr="00225E1F" w:rsidRDefault="006C4A37" w:rsidP="006C4A37">
            <w:pPr>
              <w:ind w:left="100"/>
            </w:pPr>
          </w:p>
        </w:tc>
        <w:tc>
          <w:tcPr>
            <w:tcW w:w="30" w:type="dxa"/>
            <w:vAlign w:val="bottom"/>
          </w:tcPr>
          <w:p w14:paraId="7EB8B2C6" w14:textId="77777777" w:rsidR="006C4A37" w:rsidRPr="00225E1F" w:rsidRDefault="006C4A37" w:rsidP="006C4A37"/>
        </w:tc>
      </w:tr>
      <w:tr w:rsidR="006C4A37" w:rsidRPr="00225E1F" w14:paraId="2F515AD4" w14:textId="77777777" w:rsidTr="006C4A37">
        <w:trPr>
          <w:trHeight w:val="20"/>
        </w:trPr>
        <w:tc>
          <w:tcPr>
            <w:tcW w:w="2660" w:type="dxa"/>
            <w:vMerge w:val="restart"/>
            <w:tcBorders>
              <w:left w:val="single" w:sz="8" w:space="0" w:color="auto"/>
              <w:right w:val="single" w:sz="8" w:space="0" w:color="auto"/>
            </w:tcBorders>
            <w:vAlign w:val="center"/>
          </w:tcPr>
          <w:p w14:paraId="16363319" w14:textId="24D2FF0E" w:rsidR="006C4A37" w:rsidRPr="00225E1F" w:rsidRDefault="00AC548F" w:rsidP="006C4A37">
            <w:pPr>
              <w:ind w:left="700"/>
            </w:pPr>
            <w:r w:rsidRPr="00AC548F">
              <w:rPr>
                <w:rFonts w:eastAsia="Times New Roman"/>
              </w:rPr>
              <w:t>Интракраниален кръвоизлив*</w:t>
            </w:r>
          </w:p>
        </w:tc>
        <w:tc>
          <w:tcPr>
            <w:tcW w:w="2460" w:type="dxa"/>
            <w:vMerge w:val="restart"/>
            <w:tcBorders>
              <w:right w:val="single" w:sz="8" w:space="0" w:color="auto"/>
            </w:tcBorders>
            <w:vAlign w:val="center"/>
          </w:tcPr>
          <w:p w14:paraId="3852F5F6" w14:textId="77777777" w:rsidR="006C4A37" w:rsidRPr="00225E1F" w:rsidRDefault="006C4A37" w:rsidP="006C4A37">
            <w:pPr>
              <w:ind w:left="100"/>
            </w:pPr>
            <w:r w:rsidRPr="00225E1F">
              <w:rPr>
                <w:rFonts w:eastAsia="Times New Roman"/>
              </w:rPr>
              <w:t>55</w:t>
            </w:r>
          </w:p>
          <w:p w14:paraId="61B2BAD4" w14:textId="1EB90D9B" w:rsidR="006C4A37" w:rsidRPr="00225E1F" w:rsidRDefault="00AC548F" w:rsidP="006C4A37">
            <w:pPr>
              <w:ind w:left="100"/>
            </w:pPr>
            <w:r>
              <w:rPr>
                <w:rFonts w:eastAsia="Times New Roman"/>
              </w:rPr>
              <w:t>(0,</w:t>
            </w:r>
            <w:r w:rsidR="006C4A37" w:rsidRPr="00225E1F">
              <w:rPr>
                <w:rFonts w:eastAsia="Times New Roman"/>
              </w:rPr>
              <w:t>49)</w:t>
            </w:r>
          </w:p>
        </w:tc>
        <w:tc>
          <w:tcPr>
            <w:tcW w:w="2460" w:type="dxa"/>
            <w:vMerge w:val="restart"/>
            <w:tcBorders>
              <w:right w:val="single" w:sz="8" w:space="0" w:color="auto"/>
            </w:tcBorders>
            <w:vAlign w:val="center"/>
          </w:tcPr>
          <w:p w14:paraId="20B63667" w14:textId="77777777" w:rsidR="006C4A37" w:rsidRPr="00225E1F" w:rsidRDefault="006C4A37" w:rsidP="006C4A37">
            <w:pPr>
              <w:ind w:left="100"/>
            </w:pPr>
            <w:r w:rsidRPr="00225E1F">
              <w:rPr>
                <w:rFonts w:eastAsia="Times New Roman"/>
              </w:rPr>
              <w:t>84</w:t>
            </w:r>
          </w:p>
          <w:p w14:paraId="0951C9AA" w14:textId="51291A00" w:rsidR="006C4A37" w:rsidRPr="00225E1F" w:rsidRDefault="006C4A37" w:rsidP="00AC548F">
            <w:pPr>
              <w:ind w:left="100"/>
            </w:pPr>
            <w:r w:rsidRPr="00225E1F">
              <w:rPr>
                <w:rFonts w:eastAsia="Times New Roman"/>
              </w:rPr>
              <w:t>(0</w:t>
            </w:r>
            <w:r w:rsidR="00AC548F">
              <w:rPr>
                <w:rFonts w:eastAsia="Times New Roman"/>
                <w:lang w:val="bg-BG"/>
              </w:rPr>
              <w:t>,</w:t>
            </w:r>
            <w:r w:rsidRPr="00225E1F">
              <w:rPr>
                <w:rFonts w:eastAsia="Times New Roman"/>
              </w:rPr>
              <w:t>74)</w:t>
            </w:r>
          </w:p>
        </w:tc>
        <w:tc>
          <w:tcPr>
            <w:tcW w:w="1800" w:type="dxa"/>
            <w:vMerge w:val="restart"/>
            <w:tcBorders>
              <w:right w:val="single" w:sz="8" w:space="0" w:color="auto"/>
            </w:tcBorders>
            <w:vAlign w:val="center"/>
          </w:tcPr>
          <w:p w14:paraId="21B233BC" w14:textId="6F86A208" w:rsidR="006C4A37" w:rsidRPr="00225E1F" w:rsidRDefault="006C4A37" w:rsidP="006C4A37">
            <w:pPr>
              <w:ind w:left="100"/>
            </w:pPr>
            <w:r w:rsidRPr="00225E1F">
              <w:rPr>
                <w:rFonts w:eastAsia="Times New Roman"/>
              </w:rPr>
              <w:t>0</w:t>
            </w:r>
            <w:r w:rsidR="00AC548F">
              <w:rPr>
                <w:rFonts w:eastAsia="Times New Roman"/>
              </w:rPr>
              <w:t>,67 (0,47 – 0,</w:t>
            </w:r>
            <w:r w:rsidRPr="00225E1F">
              <w:rPr>
                <w:rFonts w:eastAsia="Times New Roman"/>
              </w:rPr>
              <w:t>93)</w:t>
            </w:r>
          </w:p>
          <w:p w14:paraId="4C7776E2" w14:textId="29F6C072" w:rsidR="006C4A37" w:rsidRPr="00225E1F" w:rsidRDefault="00AC548F" w:rsidP="006C4A37">
            <w:pPr>
              <w:ind w:left="100"/>
            </w:pPr>
            <w:r>
              <w:rPr>
                <w:rFonts w:eastAsia="Times New Roman"/>
              </w:rPr>
              <w:t>0,</w:t>
            </w:r>
            <w:r w:rsidR="006C4A37" w:rsidRPr="00225E1F">
              <w:rPr>
                <w:rFonts w:eastAsia="Times New Roman"/>
              </w:rPr>
              <w:t>019</w:t>
            </w:r>
          </w:p>
        </w:tc>
        <w:tc>
          <w:tcPr>
            <w:tcW w:w="30" w:type="dxa"/>
            <w:vAlign w:val="bottom"/>
          </w:tcPr>
          <w:p w14:paraId="1E188FCD" w14:textId="77777777" w:rsidR="006C4A37" w:rsidRPr="00225E1F" w:rsidRDefault="006C4A37" w:rsidP="006C4A37"/>
        </w:tc>
      </w:tr>
      <w:tr w:rsidR="006C4A37" w:rsidRPr="00225E1F" w14:paraId="5CFADF5F" w14:textId="77777777" w:rsidTr="006C4A37">
        <w:trPr>
          <w:trHeight w:val="20"/>
        </w:trPr>
        <w:tc>
          <w:tcPr>
            <w:tcW w:w="2660" w:type="dxa"/>
            <w:vMerge/>
            <w:tcBorders>
              <w:left w:val="single" w:sz="8" w:space="0" w:color="auto"/>
              <w:bottom w:val="single" w:sz="8" w:space="0" w:color="auto"/>
              <w:right w:val="single" w:sz="8" w:space="0" w:color="auto"/>
            </w:tcBorders>
            <w:vAlign w:val="center"/>
          </w:tcPr>
          <w:p w14:paraId="5F16490F" w14:textId="77777777" w:rsidR="006C4A37" w:rsidRPr="00225E1F" w:rsidRDefault="006C4A37" w:rsidP="006C4A37">
            <w:pPr>
              <w:ind w:left="700"/>
            </w:pPr>
          </w:p>
        </w:tc>
        <w:tc>
          <w:tcPr>
            <w:tcW w:w="2460" w:type="dxa"/>
            <w:vMerge/>
            <w:tcBorders>
              <w:bottom w:val="single" w:sz="8" w:space="0" w:color="auto"/>
              <w:right w:val="single" w:sz="8" w:space="0" w:color="auto"/>
            </w:tcBorders>
            <w:vAlign w:val="center"/>
          </w:tcPr>
          <w:p w14:paraId="74FDC0AD" w14:textId="77777777" w:rsidR="006C4A37" w:rsidRPr="00225E1F" w:rsidRDefault="006C4A37" w:rsidP="006C4A37">
            <w:pPr>
              <w:ind w:left="100"/>
            </w:pPr>
          </w:p>
        </w:tc>
        <w:tc>
          <w:tcPr>
            <w:tcW w:w="2460" w:type="dxa"/>
            <w:vMerge/>
            <w:tcBorders>
              <w:bottom w:val="single" w:sz="8" w:space="0" w:color="auto"/>
              <w:right w:val="single" w:sz="8" w:space="0" w:color="auto"/>
            </w:tcBorders>
            <w:vAlign w:val="center"/>
          </w:tcPr>
          <w:p w14:paraId="45D5B332" w14:textId="77777777" w:rsidR="006C4A37" w:rsidRPr="00225E1F" w:rsidRDefault="006C4A37" w:rsidP="006C4A37">
            <w:pPr>
              <w:ind w:left="100"/>
            </w:pPr>
          </w:p>
        </w:tc>
        <w:tc>
          <w:tcPr>
            <w:tcW w:w="1800" w:type="dxa"/>
            <w:vMerge/>
            <w:tcBorders>
              <w:bottom w:val="single" w:sz="8" w:space="0" w:color="auto"/>
              <w:right w:val="single" w:sz="8" w:space="0" w:color="auto"/>
            </w:tcBorders>
            <w:vAlign w:val="center"/>
          </w:tcPr>
          <w:p w14:paraId="324852DE" w14:textId="77777777" w:rsidR="006C4A37" w:rsidRPr="00225E1F" w:rsidRDefault="006C4A37" w:rsidP="006C4A37">
            <w:pPr>
              <w:ind w:left="100"/>
            </w:pPr>
          </w:p>
        </w:tc>
        <w:tc>
          <w:tcPr>
            <w:tcW w:w="30" w:type="dxa"/>
            <w:vAlign w:val="bottom"/>
          </w:tcPr>
          <w:p w14:paraId="1B9FCFFD" w14:textId="77777777" w:rsidR="006C4A37" w:rsidRPr="00225E1F" w:rsidRDefault="006C4A37" w:rsidP="006C4A37"/>
        </w:tc>
      </w:tr>
      <w:tr w:rsidR="006C4A37" w:rsidRPr="00225E1F" w14:paraId="3BD005FD" w14:textId="77777777" w:rsidTr="006C4A37">
        <w:trPr>
          <w:trHeight w:val="20"/>
        </w:trPr>
        <w:tc>
          <w:tcPr>
            <w:tcW w:w="2660" w:type="dxa"/>
            <w:vMerge w:val="restart"/>
            <w:tcBorders>
              <w:left w:val="single" w:sz="8" w:space="0" w:color="auto"/>
              <w:right w:val="single" w:sz="8" w:space="0" w:color="auto"/>
            </w:tcBorders>
            <w:vAlign w:val="center"/>
          </w:tcPr>
          <w:p w14:paraId="1F581DC6" w14:textId="13E44DE8" w:rsidR="006C4A37" w:rsidRPr="00225E1F" w:rsidRDefault="00AC548F" w:rsidP="006C4A37">
            <w:pPr>
              <w:ind w:left="700"/>
            </w:pPr>
            <w:r w:rsidRPr="00AC548F">
              <w:rPr>
                <w:rFonts w:eastAsia="Times New Roman"/>
              </w:rPr>
              <w:t>Спад на хемоглобина*</w:t>
            </w:r>
          </w:p>
        </w:tc>
        <w:tc>
          <w:tcPr>
            <w:tcW w:w="2460" w:type="dxa"/>
            <w:vMerge w:val="restart"/>
            <w:tcBorders>
              <w:right w:val="single" w:sz="8" w:space="0" w:color="auto"/>
            </w:tcBorders>
            <w:vAlign w:val="center"/>
          </w:tcPr>
          <w:p w14:paraId="127AFBBD" w14:textId="77777777" w:rsidR="006C4A37" w:rsidRPr="00225E1F" w:rsidRDefault="006C4A37" w:rsidP="006C4A37">
            <w:pPr>
              <w:ind w:left="100"/>
            </w:pPr>
            <w:r w:rsidRPr="00225E1F">
              <w:rPr>
                <w:rFonts w:eastAsia="Times New Roman"/>
              </w:rPr>
              <w:t>305</w:t>
            </w:r>
          </w:p>
          <w:p w14:paraId="13184E17" w14:textId="2002C8EC" w:rsidR="006C4A37" w:rsidRPr="00225E1F" w:rsidRDefault="00AC548F" w:rsidP="006C4A37">
            <w:pPr>
              <w:ind w:left="100"/>
            </w:pPr>
            <w:r>
              <w:rPr>
                <w:rFonts w:eastAsia="Times New Roman"/>
              </w:rPr>
              <w:t>(2,</w:t>
            </w:r>
            <w:r w:rsidR="006C4A37" w:rsidRPr="00225E1F">
              <w:rPr>
                <w:rFonts w:eastAsia="Times New Roman"/>
              </w:rPr>
              <w:t>77)</w:t>
            </w:r>
          </w:p>
        </w:tc>
        <w:tc>
          <w:tcPr>
            <w:tcW w:w="2460" w:type="dxa"/>
            <w:vMerge w:val="restart"/>
            <w:tcBorders>
              <w:right w:val="single" w:sz="8" w:space="0" w:color="auto"/>
            </w:tcBorders>
            <w:vAlign w:val="center"/>
          </w:tcPr>
          <w:p w14:paraId="26788653" w14:textId="77777777" w:rsidR="006C4A37" w:rsidRPr="00225E1F" w:rsidRDefault="006C4A37" w:rsidP="006C4A37">
            <w:pPr>
              <w:ind w:left="100"/>
            </w:pPr>
            <w:r w:rsidRPr="00225E1F">
              <w:rPr>
                <w:rFonts w:eastAsia="Times New Roman"/>
              </w:rPr>
              <w:t>254</w:t>
            </w:r>
          </w:p>
          <w:p w14:paraId="78C5D9F1" w14:textId="6FAF6D8E" w:rsidR="006C4A37" w:rsidRPr="00225E1F" w:rsidRDefault="00AC548F" w:rsidP="006C4A37">
            <w:pPr>
              <w:ind w:left="100"/>
            </w:pPr>
            <w:r>
              <w:rPr>
                <w:rFonts w:eastAsia="Times New Roman"/>
              </w:rPr>
              <w:t>(2,</w:t>
            </w:r>
            <w:r w:rsidR="006C4A37" w:rsidRPr="00225E1F">
              <w:rPr>
                <w:rFonts w:eastAsia="Times New Roman"/>
              </w:rPr>
              <w:t>26)</w:t>
            </w:r>
          </w:p>
        </w:tc>
        <w:tc>
          <w:tcPr>
            <w:tcW w:w="1800" w:type="dxa"/>
            <w:vMerge w:val="restart"/>
            <w:tcBorders>
              <w:right w:val="single" w:sz="8" w:space="0" w:color="auto"/>
            </w:tcBorders>
            <w:vAlign w:val="center"/>
          </w:tcPr>
          <w:p w14:paraId="5946F0CE" w14:textId="2E2A1937" w:rsidR="006C4A37" w:rsidRPr="00225E1F" w:rsidRDefault="00AC548F" w:rsidP="006C4A37">
            <w:pPr>
              <w:ind w:left="100"/>
            </w:pPr>
            <w:r>
              <w:rPr>
                <w:rFonts w:eastAsia="Times New Roman"/>
              </w:rPr>
              <w:t>1,22 (1,03 – 1,</w:t>
            </w:r>
            <w:r w:rsidR="006C4A37" w:rsidRPr="00225E1F">
              <w:rPr>
                <w:rFonts w:eastAsia="Times New Roman"/>
              </w:rPr>
              <w:t>44)</w:t>
            </w:r>
          </w:p>
          <w:p w14:paraId="1190EB3A" w14:textId="06485049" w:rsidR="006C4A37" w:rsidRPr="00225E1F" w:rsidRDefault="00AC548F" w:rsidP="006C4A37">
            <w:pPr>
              <w:ind w:left="100"/>
            </w:pPr>
            <w:r>
              <w:rPr>
                <w:rFonts w:eastAsia="Times New Roman"/>
              </w:rPr>
              <w:t>0,</w:t>
            </w:r>
            <w:r w:rsidR="006C4A37" w:rsidRPr="00225E1F">
              <w:rPr>
                <w:rFonts w:eastAsia="Times New Roman"/>
              </w:rPr>
              <w:t>019</w:t>
            </w:r>
          </w:p>
        </w:tc>
        <w:tc>
          <w:tcPr>
            <w:tcW w:w="30" w:type="dxa"/>
            <w:vAlign w:val="bottom"/>
          </w:tcPr>
          <w:p w14:paraId="7F9CC21E" w14:textId="77777777" w:rsidR="006C4A37" w:rsidRPr="00225E1F" w:rsidRDefault="006C4A37" w:rsidP="006C4A37"/>
        </w:tc>
      </w:tr>
      <w:tr w:rsidR="006C4A37" w:rsidRPr="00225E1F" w14:paraId="1A60D943" w14:textId="77777777" w:rsidTr="006C4A37">
        <w:trPr>
          <w:trHeight w:val="20"/>
        </w:trPr>
        <w:tc>
          <w:tcPr>
            <w:tcW w:w="2660" w:type="dxa"/>
            <w:vMerge/>
            <w:tcBorders>
              <w:left w:val="single" w:sz="8" w:space="0" w:color="auto"/>
              <w:bottom w:val="single" w:sz="8" w:space="0" w:color="auto"/>
              <w:right w:val="single" w:sz="8" w:space="0" w:color="auto"/>
            </w:tcBorders>
            <w:vAlign w:val="center"/>
          </w:tcPr>
          <w:p w14:paraId="368295F3" w14:textId="77777777" w:rsidR="006C4A37" w:rsidRPr="00225E1F" w:rsidRDefault="006C4A37" w:rsidP="006C4A37"/>
        </w:tc>
        <w:tc>
          <w:tcPr>
            <w:tcW w:w="2460" w:type="dxa"/>
            <w:vMerge/>
            <w:tcBorders>
              <w:bottom w:val="single" w:sz="8" w:space="0" w:color="auto"/>
              <w:right w:val="single" w:sz="8" w:space="0" w:color="auto"/>
            </w:tcBorders>
            <w:vAlign w:val="center"/>
          </w:tcPr>
          <w:p w14:paraId="4ABF595A" w14:textId="77777777" w:rsidR="006C4A37" w:rsidRPr="00225E1F" w:rsidRDefault="006C4A37" w:rsidP="006C4A37">
            <w:pPr>
              <w:ind w:left="100"/>
            </w:pPr>
          </w:p>
        </w:tc>
        <w:tc>
          <w:tcPr>
            <w:tcW w:w="2460" w:type="dxa"/>
            <w:vMerge/>
            <w:tcBorders>
              <w:bottom w:val="single" w:sz="8" w:space="0" w:color="auto"/>
              <w:right w:val="single" w:sz="8" w:space="0" w:color="auto"/>
            </w:tcBorders>
            <w:vAlign w:val="center"/>
          </w:tcPr>
          <w:p w14:paraId="29D3B5E0" w14:textId="77777777" w:rsidR="006C4A37" w:rsidRPr="00225E1F" w:rsidRDefault="006C4A37" w:rsidP="006C4A37">
            <w:pPr>
              <w:ind w:left="100"/>
            </w:pPr>
          </w:p>
        </w:tc>
        <w:tc>
          <w:tcPr>
            <w:tcW w:w="1800" w:type="dxa"/>
            <w:vMerge/>
            <w:tcBorders>
              <w:bottom w:val="single" w:sz="8" w:space="0" w:color="auto"/>
              <w:right w:val="single" w:sz="8" w:space="0" w:color="auto"/>
            </w:tcBorders>
            <w:vAlign w:val="center"/>
          </w:tcPr>
          <w:p w14:paraId="39F52698" w14:textId="77777777" w:rsidR="006C4A37" w:rsidRPr="00225E1F" w:rsidRDefault="006C4A37" w:rsidP="006C4A37">
            <w:pPr>
              <w:ind w:left="100"/>
            </w:pPr>
          </w:p>
        </w:tc>
        <w:tc>
          <w:tcPr>
            <w:tcW w:w="30" w:type="dxa"/>
            <w:vAlign w:val="bottom"/>
          </w:tcPr>
          <w:p w14:paraId="0CD6755B" w14:textId="77777777" w:rsidR="006C4A37" w:rsidRPr="00225E1F" w:rsidRDefault="006C4A37" w:rsidP="006C4A37"/>
        </w:tc>
      </w:tr>
      <w:tr w:rsidR="006C4A37" w:rsidRPr="00225E1F" w14:paraId="21DE9BCD" w14:textId="77777777" w:rsidTr="006C4A37">
        <w:trPr>
          <w:trHeight w:val="20"/>
        </w:trPr>
        <w:tc>
          <w:tcPr>
            <w:tcW w:w="2660" w:type="dxa"/>
            <w:vMerge w:val="restart"/>
            <w:tcBorders>
              <w:left w:val="single" w:sz="8" w:space="0" w:color="auto"/>
              <w:right w:val="single" w:sz="8" w:space="0" w:color="auto"/>
            </w:tcBorders>
            <w:vAlign w:val="center"/>
          </w:tcPr>
          <w:p w14:paraId="309CFD8F" w14:textId="73F8EF51" w:rsidR="006C4A37" w:rsidRPr="00225E1F" w:rsidRDefault="00AC548F" w:rsidP="006C4A37">
            <w:pPr>
              <w:ind w:left="700"/>
            </w:pPr>
            <w:r w:rsidRPr="00AC548F">
              <w:rPr>
                <w:rFonts w:eastAsia="Times New Roman"/>
              </w:rPr>
              <w:t>Кръвопреливане на 2 или повече единици еритроцити или цяла кръв*</w:t>
            </w:r>
          </w:p>
        </w:tc>
        <w:tc>
          <w:tcPr>
            <w:tcW w:w="2460" w:type="dxa"/>
            <w:vMerge w:val="restart"/>
            <w:tcBorders>
              <w:right w:val="single" w:sz="8" w:space="0" w:color="auto"/>
            </w:tcBorders>
            <w:vAlign w:val="center"/>
          </w:tcPr>
          <w:p w14:paraId="11B81212" w14:textId="77777777" w:rsidR="006C4A37" w:rsidRPr="00225E1F" w:rsidRDefault="006C4A37" w:rsidP="006C4A37">
            <w:pPr>
              <w:ind w:left="100"/>
            </w:pPr>
            <w:r w:rsidRPr="00225E1F">
              <w:rPr>
                <w:rFonts w:eastAsia="Times New Roman"/>
              </w:rPr>
              <w:t>183</w:t>
            </w:r>
          </w:p>
          <w:p w14:paraId="5D99FC14" w14:textId="77777777" w:rsidR="006C4A37" w:rsidRPr="00225E1F" w:rsidRDefault="006C4A37" w:rsidP="006C4A37">
            <w:pPr>
              <w:ind w:left="100"/>
            </w:pPr>
            <w:r w:rsidRPr="00225E1F">
              <w:rPr>
                <w:rFonts w:eastAsia="Times New Roman"/>
              </w:rPr>
              <w:t>(1.65)</w:t>
            </w:r>
          </w:p>
        </w:tc>
        <w:tc>
          <w:tcPr>
            <w:tcW w:w="2460" w:type="dxa"/>
            <w:vMerge w:val="restart"/>
            <w:tcBorders>
              <w:right w:val="single" w:sz="8" w:space="0" w:color="auto"/>
            </w:tcBorders>
            <w:vAlign w:val="center"/>
          </w:tcPr>
          <w:p w14:paraId="7768664D" w14:textId="77777777" w:rsidR="006C4A37" w:rsidRPr="00225E1F" w:rsidRDefault="006C4A37" w:rsidP="006C4A37">
            <w:pPr>
              <w:ind w:left="100"/>
            </w:pPr>
            <w:r w:rsidRPr="00225E1F">
              <w:rPr>
                <w:rFonts w:eastAsia="Times New Roman"/>
              </w:rPr>
              <w:t>149</w:t>
            </w:r>
          </w:p>
          <w:p w14:paraId="7B298C68" w14:textId="77777777" w:rsidR="006C4A37" w:rsidRPr="00225E1F" w:rsidRDefault="006C4A37" w:rsidP="006C4A37">
            <w:pPr>
              <w:ind w:left="100"/>
            </w:pPr>
            <w:r w:rsidRPr="00225E1F">
              <w:rPr>
                <w:rFonts w:eastAsia="Times New Roman"/>
              </w:rPr>
              <w:t>(1.32)</w:t>
            </w:r>
          </w:p>
        </w:tc>
        <w:tc>
          <w:tcPr>
            <w:tcW w:w="1800" w:type="dxa"/>
            <w:vMerge w:val="restart"/>
            <w:tcBorders>
              <w:right w:val="single" w:sz="8" w:space="0" w:color="auto"/>
            </w:tcBorders>
            <w:vAlign w:val="center"/>
          </w:tcPr>
          <w:p w14:paraId="03FC7C7A" w14:textId="77777777" w:rsidR="006C4A37" w:rsidRPr="00225E1F" w:rsidRDefault="006C4A37" w:rsidP="006C4A37">
            <w:pPr>
              <w:ind w:left="100"/>
            </w:pPr>
            <w:r w:rsidRPr="00225E1F">
              <w:rPr>
                <w:rFonts w:eastAsia="Times New Roman"/>
              </w:rPr>
              <w:t>1.25 (1.01 - 1.55)</w:t>
            </w:r>
          </w:p>
          <w:p w14:paraId="08401031" w14:textId="77777777" w:rsidR="006C4A37" w:rsidRPr="00225E1F" w:rsidRDefault="006C4A37" w:rsidP="006C4A37">
            <w:pPr>
              <w:ind w:left="100"/>
            </w:pPr>
            <w:r w:rsidRPr="00225E1F">
              <w:rPr>
                <w:rFonts w:eastAsia="Times New Roman"/>
              </w:rPr>
              <w:t>0.044</w:t>
            </w:r>
          </w:p>
        </w:tc>
        <w:tc>
          <w:tcPr>
            <w:tcW w:w="30" w:type="dxa"/>
            <w:vAlign w:val="bottom"/>
          </w:tcPr>
          <w:p w14:paraId="1CB9E04D" w14:textId="77777777" w:rsidR="006C4A37" w:rsidRPr="00225E1F" w:rsidRDefault="006C4A37" w:rsidP="006C4A37"/>
        </w:tc>
      </w:tr>
      <w:tr w:rsidR="006C4A37" w:rsidRPr="00225E1F" w14:paraId="3AC0A55B" w14:textId="77777777" w:rsidTr="006C4A37">
        <w:trPr>
          <w:trHeight w:val="20"/>
        </w:trPr>
        <w:tc>
          <w:tcPr>
            <w:tcW w:w="2660" w:type="dxa"/>
            <w:vMerge/>
            <w:tcBorders>
              <w:left w:val="single" w:sz="8" w:space="0" w:color="auto"/>
              <w:right w:val="single" w:sz="8" w:space="0" w:color="auto"/>
            </w:tcBorders>
            <w:vAlign w:val="center"/>
          </w:tcPr>
          <w:p w14:paraId="740BD94B" w14:textId="77777777" w:rsidR="006C4A37" w:rsidRPr="00225E1F" w:rsidRDefault="006C4A37" w:rsidP="006C4A37">
            <w:pPr>
              <w:ind w:left="700"/>
            </w:pPr>
          </w:p>
        </w:tc>
        <w:tc>
          <w:tcPr>
            <w:tcW w:w="2460" w:type="dxa"/>
            <w:vMerge/>
            <w:tcBorders>
              <w:right w:val="single" w:sz="8" w:space="0" w:color="auto"/>
            </w:tcBorders>
            <w:vAlign w:val="center"/>
          </w:tcPr>
          <w:p w14:paraId="059BF993" w14:textId="77777777" w:rsidR="006C4A37" w:rsidRPr="00225E1F" w:rsidRDefault="006C4A37" w:rsidP="006C4A37">
            <w:pPr>
              <w:ind w:left="100"/>
            </w:pPr>
          </w:p>
        </w:tc>
        <w:tc>
          <w:tcPr>
            <w:tcW w:w="2460" w:type="dxa"/>
            <w:vMerge/>
            <w:tcBorders>
              <w:right w:val="single" w:sz="8" w:space="0" w:color="auto"/>
            </w:tcBorders>
            <w:vAlign w:val="center"/>
          </w:tcPr>
          <w:p w14:paraId="4BC24276" w14:textId="77777777" w:rsidR="006C4A37" w:rsidRPr="00225E1F" w:rsidRDefault="006C4A37" w:rsidP="006C4A37">
            <w:pPr>
              <w:ind w:left="100"/>
            </w:pPr>
          </w:p>
        </w:tc>
        <w:tc>
          <w:tcPr>
            <w:tcW w:w="1800" w:type="dxa"/>
            <w:vMerge/>
            <w:tcBorders>
              <w:right w:val="single" w:sz="8" w:space="0" w:color="auto"/>
            </w:tcBorders>
            <w:vAlign w:val="center"/>
          </w:tcPr>
          <w:p w14:paraId="767C7C56" w14:textId="77777777" w:rsidR="006C4A37" w:rsidRPr="00225E1F" w:rsidRDefault="006C4A37" w:rsidP="006C4A37">
            <w:pPr>
              <w:ind w:left="100"/>
            </w:pPr>
          </w:p>
        </w:tc>
        <w:tc>
          <w:tcPr>
            <w:tcW w:w="30" w:type="dxa"/>
            <w:vAlign w:val="bottom"/>
          </w:tcPr>
          <w:p w14:paraId="20BAD66C" w14:textId="77777777" w:rsidR="006C4A37" w:rsidRPr="00225E1F" w:rsidRDefault="006C4A37" w:rsidP="006C4A37"/>
        </w:tc>
      </w:tr>
      <w:tr w:rsidR="006C4A37" w:rsidRPr="00225E1F" w14:paraId="40CB2398" w14:textId="77777777" w:rsidTr="006C4A37">
        <w:trPr>
          <w:trHeight w:val="20"/>
        </w:trPr>
        <w:tc>
          <w:tcPr>
            <w:tcW w:w="2660" w:type="dxa"/>
            <w:vMerge/>
            <w:tcBorders>
              <w:left w:val="single" w:sz="8" w:space="0" w:color="auto"/>
              <w:right w:val="single" w:sz="8" w:space="0" w:color="auto"/>
            </w:tcBorders>
            <w:vAlign w:val="center"/>
          </w:tcPr>
          <w:p w14:paraId="0B946FC6" w14:textId="77777777" w:rsidR="006C4A37" w:rsidRPr="00225E1F" w:rsidRDefault="006C4A37" w:rsidP="006C4A37">
            <w:pPr>
              <w:ind w:left="700"/>
            </w:pPr>
          </w:p>
        </w:tc>
        <w:tc>
          <w:tcPr>
            <w:tcW w:w="2460" w:type="dxa"/>
            <w:vMerge/>
            <w:tcBorders>
              <w:right w:val="single" w:sz="8" w:space="0" w:color="auto"/>
            </w:tcBorders>
            <w:vAlign w:val="center"/>
          </w:tcPr>
          <w:p w14:paraId="5890BEFE" w14:textId="77777777" w:rsidR="006C4A37" w:rsidRPr="00225E1F" w:rsidRDefault="006C4A37" w:rsidP="006C4A37"/>
        </w:tc>
        <w:tc>
          <w:tcPr>
            <w:tcW w:w="2460" w:type="dxa"/>
            <w:vMerge/>
            <w:tcBorders>
              <w:right w:val="single" w:sz="8" w:space="0" w:color="auto"/>
            </w:tcBorders>
            <w:vAlign w:val="center"/>
          </w:tcPr>
          <w:p w14:paraId="43FBFBBA" w14:textId="77777777" w:rsidR="006C4A37" w:rsidRPr="00225E1F" w:rsidRDefault="006C4A37" w:rsidP="006C4A37"/>
        </w:tc>
        <w:tc>
          <w:tcPr>
            <w:tcW w:w="1800" w:type="dxa"/>
            <w:vMerge/>
            <w:tcBorders>
              <w:right w:val="single" w:sz="8" w:space="0" w:color="auto"/>
            </w:tcBorders>
            <w:vAlign w:val="center"/>
          </w:tcPr>
          <w:p w14:paraId="34F4E62A" w14:textId="77777777" w:rsidR="006C4A37" w:rsidRPr="00225E1F" w:rsidRDefault="006C4A37" w:rsidP="006C4A37"/>
        </w:tc>
        <w:tc>
          <w:tcPr>
            <w:tcW w:w="30" w:type="dxa"/>
            <w:vAlign w:val="bottom"/>
          </w:tcPr>
          <w:p w14:paraId="322E99B3" w14:textId="77777777" w:rsidR="006C4A37" w:rsidRPr="00225E1F" w:rsidRDefault="006C4A37" w:rsidP="006C4A37"/>
        </w:tc>
      </w:tr>
      <w:tr w:rsidR="006C4A37" w:rsidRPr="00225E1F" w14:paraId="08C79887" w14:textId="77777777" w:rsidTr="006C4A37">
        <w:trPr>
          <w:trHeight w:val="20"/>
        </w:trPr>
        <w:tc>
          <w:tcPr>
            <w:tcW w:w="2660" w:type="dxa"/>
            <w:vMerge/>
            <w:tcBorders>
              <w:left w:val="single" w:sz="8" w:space="0" w:color="auto"/>
              <w:right w:val="single" w:sz="8" w:space="0" w:color="auto"/>
            </w:tcBorders>
            <w:vAlign w:val="center"/>
          </w:tcPr>
          <w:p w14:paraId="4C216791" w14:textId="77777777" w:rsidR="006C4A37" w:rsidRPr="00225E1F" w:rsidRDefault="006C4A37" w:rsidP="006C4A37">
            <w:pPr>
              <w:ind w:left="700"/>
            </w:pPr>
          </w:p>
        </w:tc>
        <w:tc>
          <w:tcPr>
            <w:tcW w:w="2460" w:type="dxa"/>
            <w:vMerge/>
            <w:tcBorders>
              <w:right w:val="single" w:sz="8" w:space="0" w:color="auto"/>
            </w:tcBorders>
            <w:vAlign w:val="center"/>
          </w:tcPr>
          <w:p w14:paraId="388F0E5A" w14:textId="77777777" w:rsidR="006C4A37" w:rsidRPr="00225E1F" w:rsidRDefault="006C4A37" w:rsidP="006C4A37"/>
        </w:tc>
        <w:tc>
          <w:tcPr>
            <w:tcW w:w="2460" w:type="dxa"/>
            <w:vMerge/>
            <w:tcBorders>
              <w:right w:val="single" w:sz="8" w:space="0" w:color="auto"/>
            </w:tcBorders>
            <w:vAlign w:val="center"/>
          </w:tcPr>
          <w:p w14:paraId="63266304" w14:textId="77777777" w:rsidR="006C4A37" w:rsidRPr="00225E1F" w:rsidRDefault="006C4A37" w:rsidP="006C4A37"/>
        </w:tc>
        <w:tc>
          <w:tcPr>
            <w:tcW w:w="1800" w:type="dxa"/>
            <w:vMerge/>
            <w:tcBorders>
              <w:right w:val="single" w:sz="8" w:space="0" w:color="auto"/>
            </w:tcBorders>
            <w:vAlign w:val="center"/>
          </w:tcPr>
          <w:p w14:paraId="52B185DD" w14:textId="77777777" w:rsidR="006C4A37" w:rsidRPr="00225E1F" w:rsidRDefault="006C4A37" w:rsidP="006C4A37"/>
        </w:tc>
        <w:tc>
          <w:tcPr>
            <w:tcW w:w="30" w:type="dxa"/>
            <w:vAlign w:val="bottom"/>
          </w:tcPr>
          <w:p w14:paraId="7F696153" w14:textId="77777777" w:rsidR="006C4A37" w:rsidRPr="00225E1F" w:rsidRDefault="006C4A37" w:rsidP="006C4A37"/>
        </w:tc>
      </w:tr>
      <w:tr w:rsidR="006C4A37" w:rsidRPr="00225E1F" w14:paraId="7BC3BCEC" w14:textId="77777777" w:rsidTr="006C4A37">
        <w:trPr>
          <w:trHeight w:val="20"/>
        </w:trPr>
        <w:tc>
          <w:tcPr>
            <w:tcW w:w="2660" w:type="dxa"/>
            <w:vMerge/>
            <w:tcBorders>
              <w:left w:val="single" w:sz="8" w:space="0" w:color="auto"/>
              <w:bottom w:val="single" w:sz="8" w:space="0" w:color="auto"/>
              <w:right w:val="single" w:sz="8" w:space="0" w:color="auto"/>
            </w:tcBorders>
            <w:vAlign w:val="center"/>
          </w:tcPr>
          <w:p w14:paraId="6C3331C1" w14:textId="77777777" w:rsidR="006C4A37" w:rsidRPr="00225E1F" w:rsidRDefault="006C4A37" w:rsidP="006C4A37">
            <w:pPr>
              <w:ind w:left="700"/>
            </w:pPr>
          </w:p>
        </w:tc>
        <w:tc>
          <w:tcPr>
            <w:tcW w:w="2460" w:type="dxa"/>
            <w:vMerge/>
            <w:tcBorders>
              <w:bottom w:val="single" w:sz="8" w:space="0" w:color="auto"/>
              <w:right w:val="single" w:sz="8" w:space="0" w:color="auto"/>
            </w:tcBorders>
            <w:vAlign w:val="center"/>
          </w:tcPr>
          <w:p w14:paraId="0308BA98" w14:textId="77777777" w:rsidR="006C4A37" w:rsidRPr="00225E1F" w:rsidRDefault="006C4A37" w:rsidP="006C4A37"/>
        </w:tc>
        <w:tc>
          <w:tcPr>
            <w:tcW w:w="2460" w:type="dxa"/>
            <w:vMerge/>
            <w:tcBorders>
              <w:bottom w:val="single" w:sz="8" w:space="0" w:color="auto"/>
              <w:right w:val="single" w:sz="8" w:space="0" w:color="auto"/>
            </w:tcBorders>
            <w:vAlign w:val="center"/>
          </w:tcPr>
          <w:p w14:paraId="00EB07E7" w14:textId="77777777" w:rsidR="006C4A37" w:rsidRPr="00225E1F" w:rsidRDefault="006C4A37" w:rsidP="006C4A37"/>
        </w:tc>
        <w:tc>
          <w:tcPr>
            <w:tcW w:w="1800" w:type="dxa"/>
            <w:vMerge/>
            <w:tcBorders>
              <w:bottom w:val="single" w:sz="8" w:space="0" w:color="auto"/>
              <w:right w:val="single" w:sz="8" w:space="0" w:color="auto"/>
            </w:tcBorders>
            <w:vAlign w:val="center"/>
          </w:tcPr>
          <w:p w14:paraId="539AE29D" w14:textId="77777777" w:rsidR="006C4A37" w:rsidRPr="00225E1F" w:rsidRDefault="006C4A37" w:rsidP="006C4A37"/>
        </w:tc>
        <w:tc>
          <w:tcPr>
            <w:tcW w:w="30" w:type="dxa"/>
            <w:vAlign w:val="bottom"/>
          </w:tcPr>
          <w:p w14:paraId="77F48CA0" w14:textId="77777777" w:rsidR="006C4A37" w:rsidRPr="00225E1F" w:rsidRDefault="006C4A37" w:rsidP="006C4A37"/>
        </w:tc>
      </w:tr>
      <w:tr w:rsidR="006C4A37" w:rsidRPr="00225E1F" w14:paraId="50AD1248" w14:textId="77777777" w:rsidTr="006C4A37">
        <w:trPr>
          <w:trHeight w:val="20"/>
        </w:trPr>
        <w:tc>
          <w:tcPr>
            <w:tcW w:w="2660" w:type="dxa"/>
            <w:vMerge w:val="restart"/>
            <w:tcBorders>
              <w:left w:val="single" w:sz="8" w:space="0" w:color="auto"/>
              <w:right w:val="single" w:sz="8" w:space="0" w:color="auto"/>
            </w:tcBorders>
            <w:vAlign w:val="center"/>
          </w:tcPr>
          <w:p w14:paraId="1D419FF8" w14:textId="66940641" w:rsidR="006C4A37" w:rsidRPr="00225E1F" w:rsidRDefault="00AC548F" w:rsidP="006C4A37">
            <w:pPr>
              <w:ind w:left="280"/>
            </w:pPr>
            <w:r w:rsidRPr="00AC548F">
              <w:rPr>
                <w:rFonts w:eastAsia="Times New Roman"/>
              </w:rPr>
              <w:lastRenderedPageBreak/>
              <w:t>Неголеми клинично значими кръвоизливи</w:t>
            </w:r>
          </w:p>
        </w:tc>
        <w:tc>
          <w:tcPr>
            <w:tcW w:w="2460" w:type="dxa"/>
            <w:vMerge w:val="restart"/>
            <w:tcBorders>
              <w:right w:val="single" w:sz="8" w:space="0" w:color="auto"/>
            </w:tcBorders>
            <w:vAlign w:val="center"/>
          </w:tcPr>
          <w:p w14:paraId="79A2B65F" w14:textId="77777777" w:rsidR="006C4A37" w:rsidRPr="00225E1F" w:rsidRDefault="006C4A37" w:rsidP="006C4A37">
            <w:pPr>
              <w:ind w:left="100"/>
            </w:pPr>
            <w:r w:rsidRPr="00225E1F">
              <w:rPr>
                <w:rFonts w:eastAsia="Times New Roman"/>
              </w:rPr>
              <w:t>1,185</w:t>
            </w:r>
          </w:p>
          <w:p w14:paraId="723B4D13" w14:textId="35865B34" w:rsidR="006C4A37" w:rsidRPr="00225E1F" w:rsidRDefault="00AC548F" w:rsidP="006C4A37">
            <w:pPr>
              <w:ind w:left="100"/>
            </w:pPr>
            <w:r>
              <w:rPr>
                <w:rFonts w:eastAsia="Times New Roman"/>
              </w:rPr>
              <w:t>(11,</w:t>
            </w:r>
            <w:r w:rsidR="006C4A37" w:rsidRPr="00225E1F">
              <w:rPr>
                <w:rFonts w:eastAsia="Times New Roman"/>
              </w:rPr>
              <w:t>80)</w:t>
            </w:r>
          </w:p>
        </w:tc>
        <w:tc>
          <w:tcPr>
            <w:tcW w:w="2460" w:type="dxa"/>
            <w:vMerge w:val="restart"/>
            <w:tcBorders>
              <w:right w:val="single" w:sz="8" w:space="0" w:color="auto"/>
            </w:tcBorders>
            <w:vAlign w:val="center"/>
          </w:tcPr>
          <w:p w14:paraId="6808C7C3" w14:textId="77777777" w:rsidR="006C4A37" w:rsidRPr="00225E1F" w:rsidRDefault="006C4A37" w:rsidP="006C4A37">
            <w:pPr>
              <w:ind w:left="100"/>
            </w:pPr>
            <w:r w:rsidRPr="00225E1F">
              <w:rPr>
                <w:rFonts w:eastAsia="Times New Roman"/>
              </w:rPr>
              <w:t>1,151</w:t>
            </w:r>
          </w:p>
          <w:p w14:paraId="33E47967" w14:textId="5F8B7CB7" w:rsidR="006C4A37" w:rsidRPr="00225E1F" w:rsidRDefault="006C4A37" w:rsidP="006C4A37">
            <w:pPr>
              <w:ind w:left="100"/>
            </w:pPr>
            <w:r w:rsidRPr="00225E1F">
              <w:rPr>
                <w:rFonts w:eastAsia="Times New Roman"/>
              </w:rPr>
              <w:t>(1</w:t>
            </w:r>
            <w:r w:rsidR="00AC548F">
              <w:rPr>
                <w:rFonts w:eastAsia="Times New Roman"/>
              </w:rPr>
              <w:t>1,</w:t>
            </w:r>
            <w:r w:rsidRPr="00225E1F">
              <w:rPr>
                <w:rFonts w:eastAsia="Times New Roman"/>
              </w:rPr>
              <w:t>37)</w:t>
            </w:r>
          </w:p>
        </w:tc>
        <w:tc>
          <w:tcPr>
            <w:tcW w:w="1800" w:type="dxa"/>
            <w:vMerge w:val="restart"/>
            <w:tcBorders>
              <w:right w:val="single" w:sz="8" w:space="0" w:color="auto"/>
            </w:tcBorders>
            <w:vAlign w:val="center"/>
          </w:tcPr>
          <w:p w14:paraId="5F123E08" w14:textId="40259C15" w:rsidR="006C4A37" w:rsidRPr="00225E1F" w:rsidRDefault="00AC548F" w:rsidP="006C4A37">
            <w:pPr>
              <w:ind w:left="100"/>
            </w:pPr>
            <w:r>
              <w:rPr>
                <w:rFonts w:eastAsia="Times New Roman"/>
              </w:rPr>
              <w:t>1,04 (0,</w:t>
            </w:r>
            <w:r w:rsidR="006C4A37" w:rsidRPr="00225E1F">
              <w:rPr>
                <w:rFonts w:eastAsia="Times New Roman"/>
              </w:rPr>
              <w:t xml:space="preserve">96 </w:t>
            </w:r>
            <w:r>
              <w:rPr>
                <w:rFonts w:eastAsia="Times New Roman"/>
              </w:rPr>
              <w:t>–</w:t>
            </w:r>
            <w:r w:rsidR="006C4A37" w:rsidRPr="00225E1F">
              <w:rPr>
                <w:rFonts w:eastAsia="Times New Roman"/>
              </w:rPr>
              <w:t xml:space="preserve"> 1</w:t>
            </w:r>
            <w:r>
              <w:rPr>
                <w:rFonts w:eastAsia="Times New Roman"/>
                <w:lang w:val="bg-BG"/>
              </w:rPr>
              <w:t>,</w:t>
            </w:r>
            <w:r w:rsidR="006C4A37" w:rsidRPr="00225E1F">
              <w:rPr>
                <w:rFonts w:eastAsia="Times New Roman"/>
              </w:rPr>
              <w:t>13)</w:t>
            </w:r>
          </w:p>
          <w:p w14:paraId="59E29C09" w14:textId="31403E58" w:rsidR="006C4A37" w:rsidRPr="00225E1F" w:rsidRDefault="00AC548F" w:rsidP="006C4A37">
            <w:pPr>
              <w:ind w:left="100"/>
            </w:pPr>
            <w:r>
              <w:rPr>
                <w:rFonts w:eastAsia="Times New Roman"/>
              </w:rPr>
              <w:t>0,</w:t>
            </w:r>
            <w:r w:rsidR="006C4A37" w:rsidRPr="00225E1F">
              <w:rPr>
                <w:rFonts w:eastAsia="Times New Roman"/>
              </w:rPr>
              <w:t>345</w:t>
            </w:r>
          </w:p>
        </w:tc>
        <w:tc>
          <w:tcPr>
            <w:tcW w:w="30" w:type="dxa"/>
            <w:vAlign w:val="bottom"/>
          </w:tcPr>
          <w:p w14:paraId="6588EB05" w14:textId="77777777" w:rsidR="006C4A37" w:rsidRPr="00225E1F" w:rsidRDefault="006C4A37" w:rsidP="006C4A37"/>
        </w:tc>
      </w:tr>
      <w:tr w:rsidR="006C4A37" w:rsidRPr="00225E1F" w14:paraId="157851B1" w14:textId="77777777" w:rsidTr="006C4A37">
        <w:trPr>
          <w:trHeight w:val="20"/>
        </w:trPr>
        <w:tc>
          <w:tcPr>
            <w:tcW w:w="2660" w:type="dxa"/>
            <w:vMerge/>
            <w:tcBorders>
              <w:left w:val="single" w:sz="8" w:space="0" w:color="auto"/>
              <w:bottom w:val="single" w:sz="8" w:space="0" w:color="auto"/>
              <w:right w:val="single" w:sz="8" w:space="0" w:color="auto"/>
            </w:tcBorders>
            <w:vAlign w:val="center"/>
          </w:tcPr>
          <w:p w14:paraId="1AA32A7A" w14:textId="77777777" w:rsidR="006C4A37" w:rsidRPr="00225E1F" w:rsidRDefault="006C4A37" w:rsidP="006C4A37">
            <w:pPr>
              <w:ind w:left="280"/>
            </w:pPr>
          </w:p>
        </w:tc>
        <w:tc>
          <w:tcPr>
            <w:tcW w:w="2460" w:type="dxa"/>
            <w:vMerge/>
            <w:tcBorders>
              <w:bottom w:val="single" w:sz="8" w:space="0" w:color="auto"/>
              <w:right w:val="single" w:sz="8" w:space="0" w:color="auto"/>
            </w:tcBorders>
            <w:vAlign w:val="center"/>
          </w:tcPr>
          <w:p w14:paraId="00A14764" w14:textId="77777777" w:rsidR="006C4A37" w:rsidRPr="00225E1F" w:rsidRDefault="006C4A37" w:rsidP="006C4A37">
            <w:pPr>
              <w:ind w:left="100"/>
            </w:pPr>
          </w:p>
        </w:tc>
        <w:tc>
          <w:tcPr>
            <w:tcW w:w="2460" w:type="dxa"/>
            <w:vMerge/>
            <w:tcBorders>
              <w:bottom w:val="single" w:sz="8" w:space="0" w:color="auto"/>
              <w:right w:val="single" w:sz="8" w:space="0" w:color="auto"/>
            </w:tcBorders>
            <w:vAlign w:val="center"/>
          </w:tcPr>
          <w:p w14:paraId="463C7C3A" w14:textId="77777777" w:rsidR="006C4A37" w:rsidRPr="00225E1F" w:rsidRDefault="006C4A37" w:rsidP="006C4A37">
            <w:pPr>
              <w:ind w:left="100"/>
            </w:pPr>
          </w:p>
        </w:tc>
        <w:tc>
          <w:tcPr>
            <w:tcW w:w="1800" w:type="dxa"/>
            <w:vMerge/>
            <w:tcBorders>
              <w:bottom w:val="single" w:sz="8" w:space="0" w:color="auto"/>
              <w:right w:val="single" w:sz="8" w:space="0" w:color="auto"/>
            </w:tcBorders>
            <w:vAlign w:val="center"/>
          </w:tcPr>
          <w:p w14:paraId="1976A00E" w14:textId="77777777" w:rsidR="006C4A37" w:rsidRPr="00225E1F" w:rsidRDefault="006C4A37" w:rsidP="006C4A37">
            <w:pPr>
              <w:ind w:left="100"/>
            </w:pPr>
          </w:p>
        </w:tc>
        <w:tc>
          <w:tcPr>
            <w:tcW w:w="30" w:type="dxa"/>
            <w:vAlign w:val="bottom"/>
          </w:tcPr>
          <w:p w14:paraId="76E6F600" w14:textId="77777777" w:rsidR="006C4A37" w:rsidRPr="00225E1F" w:rsidRDefault="006C4A37" w:rsidP="006C4A37"/>
        </w:tc>
      </w:tr>
      <w:tr w:rsidR="006C4A37" w:rsidRPr="00225E1F" w14:paraId="0B841004" w14:textId="77777777" w:rsidTr="006C4A37">
        <w:trPr>
          <w:trHeight w:val="20"/>
        </w:trPr>
        <w:tc>
          <w:tcPr>
            <w:tcW w:w="2660" w:type="dxa"/>
            <w:vMerge w:val="restart"/>
            <w:tcBorders>
              <w:left w:val="single" w:sz="8" w:space="0" w:color="auto"/>
              <w:right w:val="single" w:sz="8" w:space="0" w:color="auto"/>
            </w:tcBorders>
            <w:vAlign w:val="center"/>
          </w:tcPr>
          <w:p w14:paraId="43E2B829" w14:textId="321D6093" w:rsidR="006C4A37" w:rsidRPr="00225E1F" w:rsidRDefault="00AC548F" w:rsidP="006C4A37">
            <w:pPr>
              <w:ind w:left="100"/>
            </w:pPr>
            <w:r w:rsidRPr="00AC548F">
              <w:rPr>
                <w:rFonts w:eastAsia="Times New Roman"/>
              </w:rPr>
              <w:t>Смъртност по всякакви причини</w:t>
            </w:r>
          </w:p>
        </w:tc>
        <w:tc>
          <w:tcPr>
            <w:tcW w:w="2460" w:type="dxa"/>
            <w:vMerge w:val="restart"/>
            <w:tcBorders>
              <w:right w:val="single" w:sz="8" w:space="0" w:color="auto"/>
            </w:tcBorders>
            <w:vAlign w:val="center"/>
          </w:tcPr>
          <w:p w14:paraId="6BBFD3F5" w14:textId="77777777" w:rsidR="006C4A37" w:rsidRPr="00225E1F" w:rsidRDefault="006C4A37" w:rsidP="006C4A37">
            <w:pPr>
              <w:ind w:left="100"/>
            </w:pPr>
            <w:r w:rsidRPr="00225E1F">
              <w:rPr>
                <w:rFonts w:eastAsia="Times New Roman"/>
              </w:rPr>
              <w:t>208</w:t>
            </w:r>
          </w:p>
          <w:p w14:paraId="393360C1" w14:textId="01DCFE33" w:rsidR="006C4A37" w:rsidRPr="00225E1F" w:rsidRDefault="006C4A37" w:rsidP="00AC548F">
            <w:pPr>
              <w:ind w:left="100"/>
            </w:pPr>
            <w:r w:rsidRPr="00225E1F">
              <w:rPr>
                <w:rFonts w:eastAsia="Times New Roman"/>
              </w:rPr>
              <w:t>(1</w:t>
            </w:r>
            <w:r w:rsidR="00AC548F">
              <w:rPr>
                <w:rFonts w:eastAsia="Times New Roman"/>
                <w:lang w:val="bg-BG"/>
              </w:rPr>
              <w:t>,</w:t>
            </w:r>
            <w:r w:rsidRPr="00225E1F">
              <w:rPr>
                <w:rFonts w:eastAsia="Times New Roman"/>
              </w:rPr>
              <w:t>87)</w:t>
            </w:r>
          </w:p>
        </w:tc>
        <w:tc>
          <w:tcPr>
            <w:tcW w:w="2460" w:type="dxa"/>
            <w:vMerge w:val="restart"/>
            <w:tcBorders>
              <w:right w:val="single" w:sz="8" w:space="0" w:color="auto"/>
            </w:tcBorders>
            <w:vAlign w:val="center"/>
          </w:tcPr>
          <w:p w14:paraId="0313A49C" w14:textId="77777777" w:rsidR="006C4A37" w:rsidRPr="00225E1F" w:rsidRDefault="006C4A37" w:rsidP="006C4A37">
            <w:pPr>
              <w:ind w:left="100"/>
            </w:pPr>
            <w:r w:rsidRPr="00225E1F">
              <w:rPr>
                <w:rFonts w:eastAsia="Times New Roman"/>
              </w:rPr>
              <w:t>250</w:t>
            </w:r>
          </w:p>
          <w:p w14:paraId="239E95A4" w14:textId="0201C846" w:rsidR="006C4A37" w:rsidRPr="00225E1F" w:rsidRDefault="00AC548F" w:rsidP="006C4A37">
            <w:pPr>
              <w:ind w:left="100"/>
            </w:pPr>
            <w:r>
              <w:rPr>
                <w:rFonts w:eastAsia="Times New Roman"/>
              </w:rPr>
              <w:t>(2,</w:t>
            </w:r>
            <w:r w:rsidR="006C4A37" w:rsidRPr="00225E1F">
              <w:rPr>
                <w:rFonts w:eastAsia="Times New Roman"/>
              </w:rPr>
              <w:t>21)</w:t>
            </w:r>
          </w:p>
        </w:tc>
        <w:tc>
          <w:tcPr>
            <w:tcW w:w="1800" w:type="dxa"/>
            <w:vMerge w:val="restart"/>
            <w:tcBorders>
              <w:right w:val="single" w:sz="8" w:space="0" w:color="auto"/>
            </w:tcBorders>
            <w:vAlign w:val="center"/>
          </w:tcPr>
          <w:p w14:paraId="15DF8B6D" w14:textId="140383F6" w:rsidR="006C4A37" w:rsidRPr="00225E1F" w:rsidRDefault="00AC548F" w:rsidP="006C4A37">
            <w:pPr>
              <w:ind w:left="100"/>
            </w:pPr>
            <w:r>
              <w:rPr>
                <w:rFonts w:eastAsia="Times New Roman"/>
              </w:rPr>
              <w:t>0,85 (0,70 – 1,</w:t>
            </w:r>
            <w:r w:rsidR="006C4A37" w:rsidRPr="00225E1F">
              <w:rPr>
                <w:rFonts w:eastAsia="Times New Roman"/>
              </w:rPr>
              <w:t>02)</w:t>
            </w:r>
          </w:p>
          <w:p w14:paraId="3BF48CB8" w14:textId="32ACC045" w:rsidR="006C4A37" w:rsidRPr="00225E1F" w:rsidRDefault="00AC548F" w:rsidP="006C4A37">
            <w:pPr>
              <w:ind w:left="100"/>
            </w:pPr>
            <w:r>
              <w:rPr>
                <w:rFonts w:eastAsia="Times New Roman"/>
              </w:rPr>
              <w:t>0,</w:t>
            </w:r>
            <w:r w:rsidR="006C4A37" w:rsidRPr="00225E1F">
              <w:rPr>
                <w:rFonts w:eastAsia="Times New Roman"/>
              </w:rPr>
              <w:t>073</w:t>
            </w:r>
          </w:p>
        </w:tc>
        <w:tc>
          <w:tcPr>
            <w:tcW w:w="30" w:type="dxa"/>
            <w:vAlign w:val="bottom"/>
          </w:tcPr>
          <w:p w14:paraId="2FC74A8F" w14:textId="77777777" w:rsidR="006C4A37" w:rsidRPr="00225E1F" w:rsidRDefault="006C4A37" w:rsidP="006C4A37"/>
        </w:tc>
      </w:tr>
      <w:tr w:rsidR="006C4A37" w:rsidRPr="00225E1F" w14:paraId="77BF07D6" w14:textId="77777777" w:rsidTr="006C4A37">
        <w:trPr>
          <w:trHeight w:val="20"/>
        </w:trPr>
        <w:tc>
          <w:tcPr>
            <w:tcW w:w="2660" w:type="dxa"/>
            <w:vMerge/>
            <w:tcBorders>
              <w:left w:val="single" w:sz="8" w:space="0" w:color="auto"/>
              <w:right w:val="single" w:sz="8" w:space="0" w:color="auto"/>
            </w:tcBorders>
            <w:vAlign w:val="bottom"/>
          </w:tcPr>
          <w:p w14:paraId="6467288A" w14:textId="77777777" w:rsidR="006C4A37" w:rsidRPr="00225E1F" w:rsidRDefault="006C4A37" w:rsidP="006C4A37"/>
        </w:tc>
        <w:tc>
          <w:tcPr>
            <w:tcW w:w="2460" w:type="dxa"/>
            <w:vMerge/>
            <w:tcBorders>
              <w:right w:val="single" w:sz="8" w:space="0" w:color="auto"/>
            </w:tcBorders>
            <w:vAlign w:val="bottom"/>
          </w:tcPr>
          <w:p w14:paraId="648B3416" w14:textId="77777777" w:rsidR="006C4A37" w:rsidRPr="00225E1F" w:rsidRDefault="006C4A37" w:rsidP="006C4A37">
            <w:pPr>
              <w:ind w:left="100"/>
            </w:pPr>
          </w:p>
        </w:tc>
        <w:tc>
          <w:tcPr>
            <w:tcW w:w="2460" w:type="dxa"/>
            <w:vMerge/>
            <w:tcBorders>
              <w:right w:val="single" w:sz="8" w:space="0" w:color="auto"/>
            </w:tcBorders>
            <w:vAlign w:val="bottom"/>
          </w:tcPr>
          <w:p w14:paraId="4B5A16CB" w14:textId="77777777" w:rsidR="006C4A37" w:rsidRPr="00225E1F" w:rsidRDefault="006C4A37" w:rsidP="006C4A37">
            <w:pPr>
              <w:ind w:left="100"/>
            </w:pPr>
          </w:p>
        </w:tc>
        <w:tc>
          <w:tcPr>
            <w:tcW w:w="1800" w:type="dxa"/>
            <w:vMerge/>
            <w:tcBorders>
              <w:right w:val="single" w:sz="8" w:space="0" w:color="auto"/>
            </w:tcBorders>
            <w:vAlign w:val="bottom"/>
          </w:tcPr>
          <w:p w14:paraId="5A294BAD" w14:textId="77777777" w:rsidR="006C4A37" w:rsidRPr="00225E1F" w:rsidRDefault="006C4A37" w:rsidP="006C4A37">
            <w:pPr>
              <w:ind w:left="100"/>
            </w:pPr>
          </w:p>
        </w:tc>
        <w:tc>
          <w:tcPr>
            <w:tcW w:w="30" w:type="dxa"/>
            <w:vAlign w:val="bottom"/>
          </w:tcPr>
          <w:p w14:paraId="7D491532" w14:textId="77777777" w:rsidR="006C4A37" w:rsidRPr="00225E1F" w:rsidRDefault="006C4A37" w:rsidP="006C4A37"/>
        </w:tc>
      </w:tr>
      <w:tr w:rsidR="006C4A37" w:rsidRPr="00225E1F" w14:paraId="23F59C4C" w14:textId="77777777" w:rsidTr="006C4A37">
        <w:trPr>
          <w:trHeight w:val="20"/>
        </w:trPr>
        <w:tc>
          <w:tcPr>
            <w:tcW w:w="2660" w:type="dxa"/>
            <w:vMerge/>
            <w:tcBorders>
              <w:left w:val="single" w:sz="8" w:space="0" w:color="auto"/>
              <w:bottom w:val="single" w:sz="8" w:space="0" w:color="auto"/>
              <w:right w:val="single" w:sz="8" w:space="0" w:color="auto"/>
            </w:tcBorders>
            <w:vAlign w:val="bottom"/>
          </w:tcPr>
          <w:p w14:paraId="769C9380" w14:textId="77777777" w:rsidR="006C4A37" w:rsidRPr="00225E1F" w:rsidRDefault="006C4A37" w:rsidP="006C4A37"/>
        </w:tc>
        <w:tc>
          <w:tcPr>
            <w:tcW w:w="2460" w:type="dxa"/>
            <w:vMerge/>
            <w:tcBorders>
              <w:bottom w:val="single" w:sz="8" w:space="0" w:color="auto"/>
              <w:right w:val="single" w:sz="8" w:space="0" w:color="auto"/>
            </w:tcBorders>
            <w:vAlign w:val="bottom"/>
          </w:tcPr>
          <w:p w14:paraId="6FD391F4" w14:textId="77777777" w:rsidR="006C4A37" w:rsidRPr="00225E1F" w:rsidRDefault="006C4A37" w:rsidP="006C4A37"/>
        </w:tc>
        <w:tc>
          <w:tcPr>
            <w:tcW w:w="2460" w:type="dxa"/>
            <w:vMerge/>
            <w:tcBorders>
              <w:bottom w:val="single" w:sz="8" w:space="0" w:color="auto"/>
              <w:right w:val="single" w:sz="8" w:space="0" w:color="auto"/>
            </w:tcBorders>
            <w:vAlign w:val="bottom"/>
          </w:tcPr>
          <w:p w14:paraId="2293329B" w14:textId="77777777" w:rsidR="006C4A37" w:rsidRPr="00225E1F" w:rsidRDefault="006C4A37" w:rsidP="006C4A37"/>
        </w:tc>
        <w:tc>
          <w:tcPr>
            <w:tcW w:w="1800" w:type="dxa"/>
            <w:vMerge/>
            <w:tcBorders>
              <w:bottom w:val="single" w:sz="8" w:space="0" w:color="auto"/>
              <w:right w:val="single" w:sz="8" w:space="0" w:color="auto"/>
            </w:tcBorders>
            <w:vAlign w:val="bottom"/>
          </w:tcPr>
          <w:p w14:paraId="04092C9E" w14:textId="77777777" w:rsidR="006C4A37" w:rsidRPr="00225E1F" w:rsidRDefault="006C4A37" w:rsidP="006C4A37"/>
        </w:tc>
        <w:tc>
          <w:tcPr>
            <w:tcW w:w="30" w:type="dxa"/>
            <w:vAlign w:val="bottom"/>
          </w:tcPr>
          <w:p w14:paraId="6F0167BC" w14:textId="77777777" w:rsidR="006C4A37" w:rsidRPr="00225E1F" w:rsidRDefault="006C4A37" w:rsidP="006C4A37"/>
        </w:tc>
      </w:tr>
    </w:tbl>
    <w:p w14:paraId="70FE4C9B" w14:textId="0592A5E9" w:rsidR="00AC548F" w:rsidRDefault="006C4A37" w:rsidP="00AC548F">
      <w:pPr>
        <w:ind w:right="300"/>
        <w:rPr>
          <w:rFonts w:eastAsia="Times New Roman"/>
        </w:rPr>
      </w:pPr>
      <w:r w:rsidRPr="00225E1F">
        <w:rPr>
          <w:rFonts w:eastAsia="Times New Roman"/>
        </w:rPr>
        <w:t xml:space="preserve">a) </w:t>
      </w:r>
      <w:r w:rsidR="00533EE2">
        <w:rPr>
          <w:rFonts w:eastAsia="Times New Roman"/>
        </w:rPr>
        <w:tab/>
      </w:r>
      <w:r w:rsidR="00AC548F" w:rsidRPr="00AC548F">
        <w:rPr>
          <w:rFonts w:eastAsia="Times New Roman"/>
        </w:rPr>
        <w:t>Популация, изпитвана по отношение на безопасност, на лечение</w:t>
      </w:r>
    </w:p>
    <w:p w14:paraId="7C9F593E" w14:textId="63ACCF60" w:rsidR="006C4A37" w:rsidRPr="00225E1F" w:rsidRDefault="006C4A37" w:rsidP="00AC548F">
      <w:pPr>
        <w:ind w:right="300"/>
        <w:rPr>
          <w:rFonts w:eastAsia="Times New Roman"/>
        </w:rPr>
      </w:pPr>
      <w:r w:rsidRPr="00225E1F">
        <w:rPr>
          <w:rFonts w:eastAsia="Times New Roman"/>
        </w:rPr>
        <w:t xml:space="preserve">* </w:t>
      </w:r>
      <w:r w:rsidR="00533EE2">
        <w:rPr>
          <w:rFonts w:eastAsia="Times New Roman"/>
        </w:rPr>
        <w:tab/>
      </w:r>
      <w:r w:rsidR="00AC548F" w:rsidRPr="00AC548F">
        <w:rPr>
          <w:rFonts w:eastAsia="Times New Roman"/>
        </w:rPr>
        <w:t>Номинално значими</w:t>
      </w:r>
    </w:p>
    <w:p w14:paraId="1156C252" w14:textId="6838F373" w:rsidR="006C4A37" w:rsidRDefault="006C4A37" w:rsidP="006C4A37">
      <w:pPr>
        <w:ind w:right="-3"/>
        <w:rPr>
          <w:rFonts w:eastAsia="Times New Roman"/>
          <w:i/>
          <w:iCs/>
          <w:lang w:val="bg-BG"/>
        </w:rPr>
      </w:pPr>
    </w:p>
    <w:p w14:paraId="6C04261F" w14:textId="3A632ACF" w:rsidR="00AC548F" w:rsidRDefault="00AC548F" w:rsidP="00AC548F">
      <w:pPr>
        <w:pStyle w:val="Default"/>
        <w:rPr>
          <w:sz w:val="22"/>
          <w:szCs w:val="22"/>
        </w:rPr>
      </w:pPr>
      <w:r>
        <w:rPr>
          <w:sz w:val="22"/>
          <w:szCs w:val="22"/>
        </w:rPr>
        <w:t xml:space="preserve">В допълнение към проучването фаза III ROCKET AF, е проведено проспективно, постмаркетингово, неинтервенцианално, отворено кохортно проучване с едно рамо (XANTUS) с основен изход, включващ тромбоемболични събития и голямо кръвене. 6 785 пациента с неклапно предсърдно мъждене са били включени за профилактика на инсулт и емболия извън централната нервна система (ЦНС) при реални условия. Средните резулатати на CHADS2 и HAS-BLED са били 2,0 при XANTUS, в сравнение със средните резулатати на CHADS2 и HAS-BLED от 3,5 и 2,8 съответно при ROCKET AF. Голямо кръвене е наблюдавано при 2,1 случая за 100 пациенто-години. Съобщава се за летален кръвоизлив при 0,2 случая за 100 пациенто-години и вътречерепен кръвоизлив при 0,4 случая за 100 пациентогодини. Инсулт или емболия извън ЦНС са регистрирани при 0,8 случая за 100 пациентогодини. </w:t>
      </w:r>
    </w:p>
    <w:p w14:paraId="6BE0641B" w14:textId="314C5EB2" w:rsidR="00AC548F" w:rsidRDefault="00AC548F" w:rsidP="00AC548F">
      <w:pPr>
        <w:ind w:right="-3"/>
      </w:pPr>
      <w:r>
        <w:t>Тези наблюдения в реални условия са в съответствие с установения профил на безопасност при това показание.</w:t>
      </w:r>
    </w:p>
    <w:p w14:paraId="59D98D7C" w14:textId="77777777" w:rsidR="00AC548F" w:rsidRPr="00AC548F" w:rsidRDefault="00AC548F" w:rsidP="00AC548F">
      <w:pPr>
        <w:ind w:right="-3"/>
        <w:rPr>
          <w:i/>
        </w:rPr>
      </w:pPr>
    </w:p>
    <w:p w14:paraId="62D43165" w14:textId="77777777" w:rsidR="00AC548F" w:rsidRPr="00AC548F" w:rsidRDefault="00AC548F" w:rsidP="00AC548F">
      <w:pPr>
        <w:pStyle w:val="Default"/>
        <w:rPr>
          <w:i/>
          <w:sz w:val="22"/>
          <w:szCs w:val="22"/>
        </w:rPr>
      </w:pPr>
      <w:r w:rsidRPr="00AC548F">
        <w:rPr>
          <w:i/>
          <w:sz w:val="22"/>
          <w:szCs w:val="22"/>
        </w:rPr>
        <w:t xml:space="preserve">Пациенти, подложени на кардиоверзио </w:t>
      </w:r>
    </w:p>
    <w:p w14:paraId="07D3E590" w14:textId="3179D180" w:rsidR="00AC548F" w:rsidRDefault="00AC548F" w:rsidP="00AC548F">
      <w:pPr>
        <w:ind w:right="-3"/>
      </w:pPr>
      <w:r>
        <w:t>Проспективно, рандомизирано, отворено, многоцентрово, експлораторно проучване със заслепена оценка на крайната точка (X-VERT) е проведено при 1 504 пациенти (нелекувани досега с перорални антикоагуланти и лекувани предварително) с неклапно предсърдно мъждене планирано за кардиоверзио, за да се направи сравнение между ривароксабан и адаптирана доза АВК (рандомизирано 2:1), за превенция на сърдечносъдови събития. Използвани са стратегии с помощта на насочване чрез ТЕЕ (1-5 дни предварително лечение) или конвенционално кардиоверзио (най-малко три седмици предварително лечение). Първичните резултати за ефикасност (всички инсулти, преходна исхемична атака, системна емболия несвързан с ЦНС, инфаркт на миокарда (МИ) и сърдечносъдова смърт) са се появили при 5 (0,5%) пациенти в гупата на ривароксабан (n=978) и 5 (1,0%) пациента в групата на АВК (n=492; RR 0,50; 95% CI 0.15-1,73; модифицирана ITT-популация). Основният резултат за безопасност (масивно кървене) се е появил при 6 (0,6%) и 4 (0,8%) пациенти в групите на ривароксабан (n=988) и АВК (n=499) съответно (RR 0,76; 95% CI 0,21-2,67; безопасна популация). Това експлораторно проучване е показало сравнима ефикасност и безопасност между групите на лечение с ривароксабан и АВК в условията на кардиоверзио.</w:t>
      </w:r>
    </w:p>
    <w:p w14:paraId="2966F8CA" w14:textId="5AA76F80" w:rsidR="00AC548F" w:rsidRDefault="00AC548F" w:rsidP="00AC548F">
      <w:pPr>
        <w:ind w:right="-3"/>
      </w:pPr>
    </w:p>
    <w:p w14:paraId="307FE336" w14:textId="77777777" w:rsidR="00AC548F" w:rsidRPr="00533EE2" w:rsidRDefault="00AC548F" w:rsidP="00AC548F">
      <w:pPr>
        <w:pStyle w:val="Default"/>
        <w:rPr>
          <w:i/>
          <w:sz w:val="22"/>
          <w:szCs w:val="22"/>
        </w:rPr>
      </w:pPr>
      <w:r w:rsidRPr="00533EE2">
        <w:rPr>
          <w:i/>
          <w:sz w:val="22"/>
          <w:szCs w:val="22"/>
        </w:rPr>
        <w:t xml:space="preserve">Пациенти с неклапно предсърдно мъждене, които подлежат на ПКИ с поставяне на стент </w:t>
      </w:r>
    </w:p>
    <w:p w14:paraId="353C5606" w14:textId="77777777" w:rsidR="00AC548F" w:rsidRDefault="00AC548F" w:rsidP="00AC548F">
      <w:pPr>
        <w:pStyle w:val="Default"/>
        <w:rPr>
          <w:sz w:val="22"/>
          <w:szCs w:val="22"/>
        </w:rPr>
      </w:pPr>
      <w:r>
        <w:rPr>
          <w:sz w:val="22"/>
          <w:szCs w:val="22"/>
        </w:rPr>
        <w:t xml:space="preserve">Извършено е рандомизирано, открито, многоцентрово проучване (PIONEER AF-PCI) с 2124 пациенти с неклапно предсърдно мъждене, които са били подложени на ПКИ, с поставяне на стент за първично атеросклеротично заболяване, за сравняване на безопасността на две схеми на ривароксабан и една VKA-схема. Пациентите са били разпределени на случаен принцип 1:1:1 за обща 12-месечна терапия. Пациенти с анамнеза за инсулт или ПИП са изключени. </w:t>
      </w:r>
    </w:p>
    <w:p w14:paraId="66BD01FD" w14:textId="77777777" w:rsidR="00AC548F" w:rsidRDefault="00AC548F" w:rsidP="00AC548F">
      <w:pPr>
        <w:pStyle w:val="Default"/>
        <w:rPr>
          <w:sz w:val="22"/>
          <w:szCs w:val="22"/>
        </w:rPr>
      </w:pPr>
      <w:r>
        <w:rPr>
          <w:sz w:val="22"/>
          <w:szCs w:val="22"/>
        </w:rPr>
        <w:t xml:space="preserve">Група 1 получава ривароксабан веднъж дневно 15 mg (10 mg веднъж дневно при пациенти с </w:t>
      </w:r>
    </w:p>
    <w:p w14:paraId="7C0230A1" w14:textId="77777777" w:rsidR="00AC548F" w:rsidRDefault="00AC548F" w:rsidP="00AC548F">
      <w:pPr>
        <w:pStyle w:val="Default"/>
        <w:rPr>
          <w:sz w:val="22"/>
          <w:szCs w:val="22"/>
        </w:rPr>
      </w:pPr>
      <w:r>
        <w:rPr>
          <w:sz w:val="22"/>
          <w:szCs w:val="22"/>
        </w:rPr>
        <w:t xml:space="preserve">креатининов клирънс 30 - 49 ml/min) плюс P2Y12 инхибитор. Група 2 получава 2,5 mg ривароксабан два пъти дневно заедно с ДТАС (двойна терапия с антиагрегантни средства, например клопидогрел 75 mg [или заместващия P2Y12 инхибитор] плюс ниска доза ацетилсалицилова киселина [АСК]) за 1, 6 или 12 месеца, последвана от ривароксабан 15 mg (или 10 mg за пациенти с креатининов клирънс 30 - 49 ml/min) веднъж дневно, плюс ниска доза АСК. </w:t>
      </w:r>
      <w:r>
        <w:rPr>
          <w:sz w:val="22"/>
          <w:szCs w:val="22"/>
        </w:rPr>
        <w:lastRenderedPageBreak/>
        <w:t xml:space="preserve">Група 3 получава коригирана доза VKA плюс ДТАС за 1, 6 или 12 месеца, последвана от коригирана доза VKA, плюс ниска доза АСК. </w:t>
      </w:r>
    </w:p>
    <w:p w14:paraId="646D611B" w14:textId="7B109C00" w:rsidR="00AC548F" w:rsidRDefault="00AC548F" w:rsidP="00AC548F">
      <w:pPr>
        <w:ind w:right="-3"/>
      </w:pPr>
      <w:r>
        <w:t>Първичната крайна точка за безопасност, клинично значимите случаи на кървене, се появяват при 109 (15,7%), 117 (16,6%) и 167 (24,0%) участници в група 1, група 2 и група 3, респективно (HR 0,59; 95% CI 0,47-0,76; p&lt;0,001 и HR 0,63; 95% CI 0,50-0,80; p&lt;0,001, респективно). Вторичната крайна точка (съставена от сърдечно-съдови събития СС смърт, МИ или инсулт), е наблюдавана при 41 (5,9%), 36 (5,1%) и 36 (5,2%) пациенти в група 1, група 2 и група 3, съответно. Всяка от схемите на ривароксабан показва значително намаляване на клинично значимите случаи на кървене, в сравнение с VKA-схемата при пациенти с неклапно предсърдно мъждене, които са били подложени на ПКИ с поставяне на стент.</w:t>
      </w:r>
    </w:p>
    <w:p w14:paraId="5A1CA936" w14:textId="01D7DDA4" w:rsidR="00AC548F" w:rsidRDefault="00AC548F" w:rsidP="00AC548F">
      <w:pPr>
        <w:ind w:right="-3"/>
      </w:pPr>
      <w:r>
        <w:t>Основната цел на PIONEER AF-PCI е оценка на безопасността. Данните относно ефикасността (включително тромбоемболични явления) при тази популация са ограничени.</w:t>
      </w:r>
    </w:p>
    <w:p w14:paraId="515E814B" w14:textId="0DC5A259" w:rsidR="00AC548F" w:rsidRDefault="00AC548F" w:rsidP="00AC548F">
      <w:pPr>
        <w:ind w:right="-3"/>
      </w:pPr>
    </w:p>
    <w:p w14:paraId="7DD88EEB" w14:textId="77777777" w:rsidR="00AC548F" w:rsidRDefault="00AC548F" w:rsidP="00AC548F">
      <w:pPr>
        <w:pStyle w:val="Default"/>
        <w:rPr>
          <w:sz w:val="22"/>
          <w:szCs w:val="22"/>
        </w:rPr>
      </w:pPr>
      <w:r>
        <w:rPr>
          <w:i/>
          <w:iCs/>
          <w:sz w:val="22"/>
          <w:szCs w:val="22"/>
        </w:rPr>
        <w:t xml:space="preserve">Лечение на ДВТ, БЕ и профилактика на рецидивиращи ДВТ и БЕ </w:t>
      </w:r>
    </w:p>
    <w:p w14:paraId="77EFBC90" w14:textId="77777777" w:rsidR="00AC548F" w:rsidRDefault="00AC548F" w:rsidP="00AC548F">
      <w:pPr>
        <w:pStyle w:val="Default"/>
        <w:rPr>
          <w:sz w:val="22"/>
          <w:szCs w:val="22"/>
        </w:rPr>
      </w:pPr>
      <w:r>
        <w:rPr>
          <w:sz w:val="22"/>
          <w:szCs w:val="22"/>
        </w:rPr>
        <w:t xml:space="preserve">Клиничната програма с ривароксабан е планирана с цел да демонстрира ефикасността на ривароксабан при началното и продължителното лечение на остри ДВТ и БЕ и профилактиката на рецидиви. </w:t>
      </w:r>
    </w:p>
    <w:p w14:paraId="71F1E681" w14:textId="7B730D61" w:rsidR="00AC548F" w:rsidRDefault="00AC548F" w:rsidP="00AC548F">
      <w:pPr>
        <w:ind w:right="-3"/>
      </w:pPr>
      <w:r>
        <w:t>Над 12 800 пациенти са проучени в четири рандомизирани, контролирани клинични проучвания фаза III (Einstein DVT, Einsten PE, Einstein Extension и Einstein Choice) и допълнително е проведен предварително дефиниран сборен анализ на проучванията Einstein DVT и Einsten PE. Общата комбинирана продължителност на лечението за всички проучвания е до 21 месеца.</w:t>
      </w:r>
    </w:p>
    <w:p w14:paraId="08E4CFF7" w14:textId="77777777" w:rsidR="00AC548F" w:rsidRDefault="00AC548F" w:rsidP="00AC548F">
      <w:pPr>
        <w:ind w:right="-3"/>
      </w:pPr>
    </w:p>
    <w:p w14:paraId="76C1D871" w14:textId="579276A0" w:rsidR="00AC548F" w:rsidRDefault="00AC548F" w:rsidP="00AC548F">
      <w:pPr>
        <w:pStyle w:val="Default"/>
        <w:rPr>
          <w:sz w:val="22"/>
          <w:szCs w:val="22"/>
        </w:rPr>
      </w:pPr>
      <w:r>
        <w:rPr>
          <w:sz w:val="22"/>
          <w:szCs w:val="22"/>
        </w:rPr>
        <w:t>В проучването Einstein DVT 3 449 пациенти с остра ДВТ са проучени за лечението на ДВТ и за профилактика на рецидивиращи ДВТ и БЕ (пациентите със симптоматичен БЕ са изключени от</w:t>
      </w:r>
      <w:r w:rsidRPr="00AC548F">
        <w:t xml:space="preserve"> </w:t>
      </w:r>
      <w:r>
        <w:rPr>
          <w:sz w:val="22"/>
          <w:szCs w:val="22"/>
        </w:rPr>
        <w:t xml:space="preserve">това проучване). Продължителността на лечението е 3, 6 или 12 месеца в зависимост от клиничната преценка на изследователя. </w:t>
      </w:r>
    </w:p>
    <w:p w14:paraId="05996CCD" w14:textId="0C3FD154" w:rsidR="00AC548F" w:rsidRDefault="00AC548F" w:rsidP="00AC548F">
      <w:pPr>
        <w:pStyle w:val="Default"/>
        <w:rPr>
          <w:sz w:val="22"/>
          <w:szCs w:val="22"/>
        </w:rPr>
      </w:pPr>
      <w:r>
        <w:rPr>
          <w:sz w:val="22"/>
          <w:szCs w:val="22"/>
        </w:rPr>
        <w:t xml:space="preserve">За лечението през първите 3 седмици на остра ДВТ са прилагани 15 mg ривароксабан два пъти дневно. След това лечението продължава с 20 mg ривароксабан един път дневно. </w:t>
      </w:r>
    </w:p>
    <w:p w14:paraId="46BE51A2" w14:textId="77777777" w:rsidR="00FD65E0" w:rsidRDefault="00FD65E0" w:rsidP="00AC548F">
      <w:pPr>
        <w:pStyle w:val="Default"/>
        <w:rPr>
          <w:sz w:val="22"/>
          <w:szCs w:val="22"/>
        </w:rPr>
      </w:pPr>
    </w:p>
    <w:p w14:paraId="66971945" w14:textId="1CEFE434" w:rsidR="00FD65E0" w:rsidRDefault="00AC548F" w:rsidP="00AC548F">
      <w:pPr>
        <w:pStyle w:val="Default"/>
        <w:rPr>
          <w:sz w:val="22"/>
          <w:szCs w:val="22"/>
        </w:rPr>
      </w:pPr>
      <w:r>
        <w:rPr>
          <w:sz w:val="22"/>
          <w:szCs w:val="22"/>
        </w:rPr>
        <w:t>В проучването Einsten PE 4 832 пациенти с остър БЕ са проучени за лечението на БЕ и за профилактика на рецидивиращи ДВТ и БЕ. Продължителността на лечението е 3, 6 или 12 месеца в зависимост от клиничн</w:t>
      </w:r>
      <w:r w:rsidR="00FD65E0">
        <w:rPr>
          <w:sz w:val="22"/>
          <w:szCs w:val="22"/>
        </w:rPr>
        <w:t xml:space="preserve">ата преценка на изследователя. </w:t>
      </w:r>
    </w:p>
    <w:p w14:paraId="2B5E17B1" w14:textId="5D7D48B6" w:rsidR="00AC548F" w:rsidRDefault="00AC548F" w:rsidP="00AC548F">
      <w:pPr>
        <w:pStyle w:val="Default"/>
        <w:rPr>
          <w:sz w:val="22"/>
          <w:szCs w:val="22"/>
        </w:rPr>
      </w:pPr>
      <w:r>
        <w:rPr>
          <w:sz w:val="22"/>
          <w:szCs w:val="22"/>
        </w:rPr>
        <w:t xml:space="preserve">За лечението на остър БЕ през първите 3 седмици са прилагани 15 mg ривароксабан два пъти дневно. След това лечението продължава с 20 mg ривароксабан един път дневно. </w:t>
      </w:r>
    </w:p>
    <w:p w14:paraId="2A5B45C9" w14:textId="77777777" w:rsidR="00FD65E0" w:rsidRDefault="00FD65E0" w:rsidP="00AC548F">
      <w:pPr>
        <w:pStyle w:val="Default"/>
        <w:rPr>
          <w:sz w:val="22"/>
          <w:szCs w:val="22"/>
        </w:rPr>
      </w:pPr>
    </w:p>
    <w:p w14:paraId="17D38EFE" w14:textId="7D1EF293" w:rsidR="00FD65E0" w:rsidRPr="00533EE2" w:rsidRDefault="00AC548F" w:rsidP="00533EE2">
      <w:pPr>
        <w:pStyle w:val="Default"/>
        <w:rPr>
          <w:sz w:val="22"/>
          <w:szCs w:val="22"/>
        </w:rPr>
      </w:pPr>
      <w:r>
        <w:rPr>
          <w:sz w:val="22"/>
          <w:szCs w:val="22"/>
        </w:rPr>
        <w:t>И при двете проучвания Einstein DVT и Einsten PE сравнителното лечение включва еноксапарин в продължение на поне 5 дни в комбинация с антагонист на витамин К до постигане на стойност за PT/INR в терапевтичните граници (≥ 2,0). Лечението продължава с антагонист на витамин К, като дозата му е такава, че стойностите за PT/INR да са в терапев</w:t>
      </w:r>
      <w:r w:rsidR="00533EE2">
        <w:rPr>
          <w:sz w:val="22"/>
          <w:szCs w:val="22"/>
        </w:rPr>
        <w:t xml:space="preserve">тичните граници от 2,0 до 3,0. </w:t>
      </w:r>
    </w:p>
    <w:p w14:paraId="07D52CCA" w14:textId="642D8B23" w:rsidR="00AC548F" w:rsidRDefault="00AC548F" w:rsidP="00AC548F">
      <w:pPr>
        <w:ind w:right="-3"/>
      </w:pPr>
      <w:r>
        <w:t>В проучването Einstein Extension 1 197 пациенти с ДВТ или БЕ са проучени за профилактиката на рецидивиращи ДВТ и БЕ. Продължителността на лечението обхваща допълнителни 6 до 12 месеца при пациенти, които са преминали курс на лечение от 6 до 12 месеца на венозен тромбоемболизъм в зависимост от клиничната преценка на изследователя. Сравнява се ривароксабан 20 mg веднъж дневно с плацебо.</w:t>
      </w:r>
    </w:p>
    <w:p w14:paraId="423FA963" w14:textId="1C4B9E97" w:rsidR="00FD65E0" w:rsidRDefault="00FD65E0" w:rsidP="00AC548F">
      <w:pPr>
        <w:ind w:right="-3"/>
      </w:pPr>
    </w:p>
    <w:p w14:paraId="7A5B1C62" w14:textId="3CC4D9D9" w:rsidR="00FD65E0" w:rsidRDefault="00FD65E0" w:rsidP="00FD65E0">
      <w:pPr>
        <w:pStyle w:val="Default"/>
        <w:rPr>
          <w:sz w:val="22"/>
          <w:szCs w:val="22"/>
        </w:rPr>
      </w:pPr>
      <w:r>
        <w:rPr>
          <w:sz w:val="22"/>
          <w:szCs w:val="22"/>
        </w:rPr>
        <w:t xml:space="preserve">Проучванията Einstein DVT, PE и Extension използват едни и същи предварително дефинирани първични и вторични резултати за ефикасност. Първичният резултат за ефикасност е симптоматичен рецидивиращ венозен тромбоемболизъм (ВТЕ), дефиниран като съставен от рецидивираща ДВТ или летален или нелетален БЕ. Вторичният резултат за ефикасност се дефинира като съставен от рецидивираща ДВТ, нелетален БЕ и смъртност независимо от причината. </w:t>
      </w:r>
    </w:p>
    <w:p w14:paraId="66E63C23" w14:textId="77777777" w:rsidR="00FD65E0" w:rsidRDefault="00FD65E0" w:rsidP="00FD65E0">
      <w:pPr>
        <w:pStyle w:val="Default"/>
        <w:rPr>
          <w:sz w:val="22"/>
          <w:szCs w:val="22"/>
        </w:rPr>
      </w:pPr>
    </w:p>
    <w:p w14:paraId="145CC4BB" w14:textId="77777777" w:rsidR="00FD65E0" w:rsidRDefault="00FD65E0" w:rsidP="00FD65E0">
      <w:pPr>
        <w:pStyle w:val="Default"/>
        <w:rPr>
          <w:sz w:val="22"/>
          <w:szCs w:val="22"/>
        </w:rPr>
      </w:pPr>
      <w:r>
        <w:rPr>
          <w:sz w:val="22"/>
          <w:szCs w:val="22"/>
        </w:rPr>
        <w:t xml:space="preserve">В проучване Einstein Choice 3 396 пациенти с потвърдена симптоматична ДВТ и/или БЕ, които са завършили 6 до 12-месечно антикоагулантно лечение, са проучени за профилактика на летален БЕ и нелетални симптоматични ДВТ и БЕ. Пациентите с показание за продължително антикоагулантно лечение с терапевтична доза са изключени от проучването. Продължителността на лечението е до 12 месеца в зависимост от датата на индивидуалното рандомизиране (медиана: 351 дни). Ривароксабан 20 mg веднъж дневно и ривароксабан 10 mg веднъж дневно са сравнени със 100 mg ацетилсалицилова киселина веднъж дневно. </w:t>
      </w:r>
    </w:p>
    <w:p w14:paraId="45F3E76A" w14:textId="41389F32" w:rsidR="00FD65E0" w:rsidRDefault="00FD65E0" w:rsidP="00FD65E0">
      <w:pPr>
        <w:pStyle w:val="Default"/>
        <w:rPr>
          <w:sz w:val="22"/>
          <w:szCs w:val="22"/>
        </w:rPr>
      </w:pPr>
      <w:r>
        <w:rPr>
          <w:sz w:val="22"/>
          <w:szCs w:val="22"/>
        </w:rPr>
        <w:t xml:space="preserve">Първичният резултат за ефикасност е симптоматичен рецидивиращ венозен тромбоемболизъм (ВТЕ), дефиниран като смесицата от рецидивираща ДВТ или летален или нелетален БЕ. </w:t>
      </w:r>
    </w:p>
    <w:p w14:paraId="1571DC3B" w14:textId="77777777" w:rsidR="00FD65E0" w:rsidRDefault="00FD65E0" w:rsidP="00FD65E0">
      <w:pPr>
        <w:ind w:right="-3"/>
      </w:pPr>
    </w:p>
    <w:p w14:paraId="1C0FD3F6" w14:textId="501A957E" w:rsidR="00FD65E0" w:rsidRDefault="00FD65E0" w:rsidP="00FD65E0">
      <w:pPr>
        <w:ind w:right="-3"/>
      </w:pPr>
      <w:r>
        <w:t>В проучването Einstein DVT (вж. Таблица 6) се показва, че ривароксабан е с не по-малка ефективност от еноксапарин/АВК за първичния резултат за ефикасност (p &lt; 0,0001 (тест за не по-малка ефективност)); HR: 0,680 (0,443 - 1,042), p = 0,076 (тест за превъзходство)). Предварително дефинираната нетна клинична полза (първичен резултат за ефикасност плюс големи кръвоизливи) се съобщава с HR 0,67 ((95% ДИ= 0,47 - 0,95), номинална p стойност p = 0,027) в полза на ривароксабан. INR стойностите са в терапевтичния диапазон средно 60,3% от времето при средна продължителност на лечението от 189 дни, и 55,4%, 60,1% и 62,8% от времето при групите с планирано лечение с продължителност съответно 3, 6 и 12 месеца.</w:t>
      </w:r>
      <w:r>
        <w:rPr>
          <w:lang w:val="bg-BG"/>
        </w:rPr>
        <w:t xml:space="preserve">  </w:t>
      </w:r>
      <w:r>
        <w:t>В групата на еноксапарин/АВК няма ясна връзка между нивото на средното централно TTR (време в таргетен INR диапазон 2,0 - 3,0) при терцилите с еднакъв размер и честотата на рецидивиращите ВТЕ (р = 0,932 за взаимодействие). В най-горния терцил по отношение на центъра HR при ривароксабан спрямо варфарин е 0,69 (95% ДИ; 0,35 - 1,35).</w:t>
      </w:r>
    </w:p>
    <w:p w14:paraId="26E5D32C" w14:textId="2A2B7F4E" w:rsidR="00FD65E0" w:rsidRDefault="00FD65E0" w:rsidP="00FD65E0">
      <w:pPr>
        <w:ind w:right="-3"/>
      </w:pPr>
    </w:p>
    <w:p w14:paraId="61BF9EB6" w14:textId="389F5A8C" w:rsidR="00FD65E0" w:rsidRPr="00FD65E0" w:rsidRDefault="00FD65E0" w:rsidP="00FD65E0">
      <w:pPr>
        <w:ind w:right="-3"/>
        <w:rPr>
          <w:lang w:val="bg-BG"/>
        </w:rPr>
      </w:pPr>
      <w:r>
        <w:t>Честотата на първичните резултати, свързани с безопасността (големи или клинично значими неголеми кръвооизливи), както и вторичните резултати свързани с безопасността (големи кръвоизливи) е сходна при двете терапевтични групи.</w:t>
      </w:r>
    </w:p>
    <w:p w14:paraId="04779FCE" w14:textId="77777777" w:rsidR="004762C7" w:rsidRPr="00566CE6" w:rsidRDefault="004762C7" w:rsidP="004B3035"/>
    <w:p w14:paraId="4BE2437C" w14:textId="5171F739" w:rsidR="00746104" w:rsidRDefault="00FD65E0" w:rsidP="00746104">
      <w:pPr>
        <w:pStyle w:val="Default"/>
        <w:rPr>
          <w:sz w:val="22"/>
          <w:szCs w:val="22"/>
        </w:rPr>
      </w:pPr>
      <w:r>
        <w:rPr>
          <w:b/>
          <w:bCs/>
          <w:sz w:val="22"/>
          <w:szCs w:val="22"/>
        </w:rPr>
        <w:t>Таблица 6</w:t>
      </w:r>
      <w:r w:rsidR="00746104">
        <w:rPr>
          <w:b/>
          <w:bCs/>
          <w:sz w:val="22"/>
          <w:szCs w:val="22"/>
        </w:rPr>
        <w:t xml:space="preserve">: Резултати за ефикасност от фаза III </w:t>
      </w:r>
      <w:r w:rsidR="00642B2F" w:rsidRPr="00642B2F">
        <w:rPr>
          <w:b/>
          <w:bCs/>
          <w:sz w:val="22"/>
          <w:szCs w:val="22"/>
        </w:rPr>
        <w:t>Einstein DVT</w:t>
      </w:r>
    </w:p>
    <w:tbl>
      <w:tblPr>
        <w:tblW w:w="97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00"/>
        <w:gridCol w:w="4140"/>
        <w:gridCol w:w="2126"/>
      </w:tblGrid>
      <w:tr w:rsidR="004F69FD" w:rsidRPr="00566CE6" w14:paraId="61C5A624" w14:textId="77777777" w:rsidTr="007A3DC9">
        <w:trPr>
          <w:trHeight w:val="441"/>
        </w:trPr>
        <w:tc>
          <w:tcPr>
            <w:tcW w:w="3500" w:type="dxa"/>
            <w:vAlign w:val="center"/>
          </w:tcPr>
          <w:p w14:paraId="140A75D6" w14:textId="01CF47FA" w:rsidR="004F69FD" w:rsidRPr="00566CE6" w:rsidRDefault="00746104" w:rsidP="00E30E07">
            <w:pPr>
              <w:ind w:left="140"/>
            </w:pPr>
            <w:r w:rsidRPr="00746104">
              <w:rPr>
                <w:rFonts w:eastAsia="Times New Roman"/>
                <w:b/>
                <w:bCs/>
              </w:rPr>
              <w:t>Проучвана популация</w:t>
            </w:r>
          </w:p>
        </w:tc>
        <w:tc>
          <w:tcPr>
            <w:tcW w:w="6266" w:type="dxa"/>
            <w:gridSpan w:val="2"/>
            <w:vAlign w:val="center"/>
          </w:tcPr>
          <w:p w14:paraId="70575786" w14:textId="3A9EF817" w:rsidR="003A1BCA" w:rsidRPr="00746104" w:rsidRDefault="00642B2F" w:rsidP="00746104">
            <w:pPr>
              <w:pStyle w:val="Default"/>
            </w:pPr>
            <w:r w:rsidRPr="00642B2F">
              <w:rPr>
                <w:b/>
                <w:bCs/>
                <w:sz w:val="22"/>
                <w:szCs w:val="22"/>
              </w:rPr>
              <w:t>3 449 пациенти със симптоматична остра дълбока венозна тромбоза</w:t>
            </w:r>
          </w:p>
        </w:tc>
      </w:tr>
      <w:tr w:rsidR="004F69FD" w:rsidRPr="00566CE6" w14:paraId="71A4650B" w14:textId="77777777" w:rsidTr="007A3DC9">
        <w:trPr>
          <w:trHeight w:val="20"/>
        </w:trPr>
        <w:tc>
          <w:tcPr>
            <w:tcW w:w="3500" w:type="dxa"/>
          </w:tcPr>
          <w:p w14:paraId="768393A8" w14:textId="05FB6AE6" w:rsidR="004F69FD" w:rsidRPr="00566CE6" w:rsidRDefault="00642B2F" w:rsidP="004B3035">
            <w:pPr>
              <w:ind w:left="100"/>
            </w:pPr>
            <w:r w:rsidRPr="00642B2F">
              <w:rPr>
                <w:rFonts w:eastAsia="Times New Roman"/>
                <w:b/>
                <w:bCs/>
              </w:rPr>
              <w:t>Доза и продължителност на лечението</w:t>
            </w:r>
          </w:p>
        </w:tc>
        <w:tc>
          <w:tcPr>
            <w:tcW w:w="4140" w:type="dxa"/>
          </w:tcPr>
          <w:p w14:paraId="521CE70D" w14:textId="77777777" w:rsidR="00642B2F" w:rsidRPr="00642B2F" w:rsidRDefault="00642B2F" w:rsidP="00642B2F">
            <w:pPr>
              <w:pStyle w:val="Default"/>
              <w:rPr>
                <w:b/>
                <w:sz w:val="14"/>
                <w:szCs w:val="14"/>
              </w:rPr>
            </w:pPr>
            <w:r w:rsidRPr="00642B2F">
              <w:rPr>
                <w:b/>
                <w:sz w:val="22"/>
                <w:szCs w:val="22"/>
              </w:rPr>
              <w:t>Ривароксабан</w:t>
            </w:r>
            <w:r w:rsidRPr="00642B2F">
              <w:rPr>
                <w:rFonts w:ascii="ZWAdobeF" w:hAnsi="ZWAdobeF" w:cs="ZWAdobeF"/>
                <w:b/>
                <w:sz w:val="2"/>
                <w:szCs w:val="2"/>
              </w:rPr>
              <w:t>P</w:t>
            </w:r>
            <w:r w:rsidRPr="00642B2F">
              <w:rPr>
                <w:b/>
                <w:sz w:val="20"/>
                <w:szCs w:val="20"/>
                <w:vertAlign w:val="superscript"/>
              </w:rPr>
              <w:t xml:space="preserve">a) </w:t>
            </w:r>
          </w:p>
          <w:p w14:paraId="39D8AE1F" w14:textId="77777777" w:rsidR="00642B2F" w:rsidRPr="00642B2F" w:rsidRDefault="00642B2F" w:rsidP="00642B2F">
            <w:pPr>
              <w:pStyle w:val="Default"/>
              <w:rPr>
                <w:b/>
                <w:sz w:val="22"/>
                <w:szCs w:val="22"/>
              </w:rPr>
            </w:pPr>
            <w:r w:rsidRPr="00642B2F">
              <w:rPr>
                <w:b/>
                <w:sz w:val="22"/>
                <w:szCs w:val="22"/>
              </w:rPr>
              <w:t xml:space="preserve">3, 6 или 12 месеца </w:t>
            </w:r>
          </w:p>
          <w:p w14:paraId="3ED89EC4" w14:textId="70BB61D9" w:rsidR="004F69FD" w:rsidRPr="00746104" w:rsidRDefault="00642B2F" w:rsidP="00642B2F">
            <w:pPr>
              <w:pStyle w:val="Default"/>
              <w:rPr>
                <w:sz w:val="2"/>
                <w:szCs w:val="2"/>
              </w:rPr>
            </w:pPr>
            <w:r w:rsidRPr="00642B2F">
              <w:rPr>
                <w:b/>
                <w:sz w:val="22"/>
                <w:szCs w:val="22"/>
              </w:rPr>
              <w:t>N=1 731</w:t>
            </w:r>
            <w:r>
              <w:rPr>
                <w:sz w:val="22"/>
                <w:szCs w:val="22"/>
              </w:rPr>
              <w:t xml:space="preserve"> </w:t>
            </w:r>
          </w:p>
        </w:tc>
        <w:tc>
          <w:tcPr>
            <w:tcW w:w="2126" w:type="dxa"/>
          </w:tcPr>
          <w:p w14:paraId="7C61EDBE" w14:textId="060DB508" w:rsidR="00642B2F" w:rsidRPr="00642B2F" w:rsidRDefault="00642B2F" w:rsidP="00642B2F">
            <w:pPr>
              <w:pStyle w:val="Default"/>
              <w:rPr>
                <w:b/>
                <w:sz w:val="22"/>
                <w:szCs w:val="22"/>
              </w:rPr>
            </w:pPr>
            <w:r w:rsidRPr="00642B2F">
              <w:rPr>
                <w:b/>
                <w:sz w:val="22"/>
                <w:szCs w:val="22"/>
              </w:rPr>
              <w:t>Еноксапарин/АВК</w:t>
            </w:r>
            <w:r w:rsidRPr="00642B2F">
              <w:rPr>
                <w:b/>
                <w:sz w:val="22"/>
                <w:szCs w:val="22"/>
                <w:vertAlign w:val="superscript"/>
              </w:rPr>
              <w:t>b)</w:t>
            </w:r>
            <w:r w:rsidRPr="00642B2F">
              <w:rPr>
                <w:b/>
                <w:sz w:val="22"/>
                <w:szCs w:val="22"/>
              </w:rPr>
              <w:t xml:space="preserve"> </w:t>
            </w:r>
          </w:p>
          <w:p w14:paraId="53EA79A6" w14:textId="77777777" w:rsidR="00642B2F" w:rsidRPr="00642B2F" w:rsidRDefault="00642B2F" w:rsidP="00642B2F">
            <w:pPr>
              <w:pStyle w:val="Default"/>
              <w:rPr>
                <w:b/>
                <w:sz w:val="22"/>
                <w:szCs w:val="22"/>
              </w:rPr>
            </w:pPr>
            <w:r w:rsidRPr="00642B2F">
              <w:rPr>
                <w:b/>
                <w:sz w:val="22"/>
                <w:szCs w:val="22"/>
              </w:rPr>
              <w:t xml:space="preserve">3, 6 или 12 месеца </w:t>
            </w:r>
          </w:p>
          <w:p w14:paraId="0F4F560A" w14:textId="3A7C8028" w:rsidR="004F69FD" w:rsidRPr="00566CE6" w:rsidRDefault="00642B2F" w:rsidP="00642B2F">
            <w:r w:rsidRPr="00642B2F">
              <w:rPr>
                <w:b/>
              </w:rPr>
              <w:t>N=1 718</w:t>
            </w:r>
            <w:r>
              <w:t xml:space="preserve"> </w:t>
            </w:r>
          </w:p>
        </w:tc>
      </w:tr>
      <w:tr w:rsidR="004F69FD" w:rsidRPr="00566CE6" w14:paraId="12EBB25B" w14:textId="77777777" w:rsidTr="007A3DC9">
        <w:trPr>
          <w:trHeight w:val="20"/>
        </w:trPr>
        <w:tc>
          <w:tcPr>
            <w:tcW w:w="3500" w:type="dxa"/>
          </w:tcPr>
          <w:p w14:paraId="4AC545AA" w14:textId="7EF55731" w:rsidR="004F69FD" w:rsidRPr="00566CE6" w:rsidRDefault="00642B2F" w:rsidP="004B3035">
            <w:pPr>
              <w:ind w:left="140"/>
            </w:pPr>
            <w:r w:rsidRPr="00642B2F">
              <w:rPr>
                <w:rFonts w:eastAsia="Times New Roman"/>
              </w:rPr>
              <w:t>Симптоматичен рецидивиращ ВТЕ*</w:t>
            </w:r>
          </w:p>
        </w:tc>
        <w:tc>
          <w:tcPr>
            <w:tcW w:w="4140" w:type="dxa"/>
          </w:tcPr>
          <w:p w14:paraId="2575ED15" w14:textId="77777777" w:rsidR="00642B2F" w:rsidRDefault="00642B2F" w:rsidP="00746104">
            <w:pPr>
              <w:ind w:left="120"/>
              <w:rPr>
                <w:rFonts w:eastAsia="Times New Roman"/>
              </w:rPr>
            </w:pPr>
            <w:r w:rsidRPr="00642B2F">
              <w:rPr>
                <w:rFonts w:eastAsia="Times New Roman"/>
              </w:rPr>
              <w:t xml:space="preserve">36 </w:t>
            </w:r>
          </w:p>
          <w:p w14:paraId="25B5E20B" w14:textId="15EA8F63" w:rsidR="004F69FD" w:rsidRPr="00566CE6" w:rsidRDefault="00642B2F" w:rsidP="00642B2F">
            <w:r>
              <w:rPr>
                <w:rFonts w:eastAsia="Times New Roman"/>
                <w:lang w:val="bg-BG"/>
              </w:rPr>
              <w:t xml:space="preserve"> </w:t>
            </w:r>
            <w:r w:rsidRPr="00642B2F">
              <w:rPr>
                <w:rFonts w:eastAsia="Times New Roman"/>
              </w:rPr>
              <w:t>(2,1%)</w:t>
            </w:r>
          </w:p>
        </w:tc>
        <w:tc>
          <w:tcPr>
            <w:tcW w:w="2126" w:type="dxa"/>
          </w:tcPr>
          <w:p w14:paraId="2491D3D8" w14:textId="77777777" w:rsidR="00642B2F" w:rsidRDefault="00642B2F" w:rsidP="00642B2F">
            <w:pPr>
              <w:pStyle w:val="Default"/>
              <w:rPr>
                <w:sz w:val="22"/>
                <w:szCs w:val="22"/>
              </w:rPr>
            </w:pPr>
            <w:r>
              <w:rPr>
                <w:sz w:val="22"/>
                <w:szCs w:val="22"/>
              </w:rPr>
              <w:t xml:space="preserve">51 </w:t>
            </w:r>
          </w:p>
          <w:p w14:paraId="5B190FCF" w14:textId="7D042F27" w:rsidR="00642B2F" w:rsidRDefault="00642B2F" w:rsidP="00642B2F">
            <w:pPr>
              <w:pStyle w:val="Default"/>
            </w:pPr>
            <w:r>
              <w:rPr>
                <w:sz w:val="22"/>
                <w:szCs w:val="22"/>
              </w:rPr>
              <w:t xml:space="preserve">(3,0%) </w:t>
            </w:r>
          </w:p>
          <w:p w14:paraId="4DAD7844" w14:textId="0401BC49" w:rsidR="004F69FD" w:rsidRPr="00566CE6" w:rsidRDefault="004F69FD" w:rsidP="004B3035">
            <w:pPr>
              <w:ind w:left="120"/>
            </w:pPr>
          </w:p>
        </w:tc>
      </w:tr>
      <w:tr w:rsidR="004F69FD" w:rsidRPr="00566CE6" w14:paraId="213846E0" w14:textId="77777777" w:rsidTr="007A3DC9">
        <w:trPr>
          <w:trHeight w:val="20"/>
        </w:trPr>
        <w:tc>
          <w:tcPr>
            <w:tcW w:w="3500" w:type="dxa"/>
          </w:tcPr>
          <w:p w14:paraId="373ED7DA" w14:textId="77777777" w:rsidR="00642B2F" w:rsidRDefault="00642B2F" w:rsidP="004B3035">
            <w:pPr>
              <w:ind w:left="140"/>
              <w:rPr>
                <w:rFonts w:eastAsia="Times New Roman"/>
              </w:rPr>
            </w:pPr>
            <w:r w:rsidRPr="00642B2F">
              <w:rPr>
                <w:rFonts w:eastAsia="Times New Roman"/>
              </w:rPr>
              <w:t xml:space="preserve">Симптоматичен </w:t>
            </w:r>
          </w:p>
          <w:p w14:paraId="772604E1" w14:textId="3EF0CEEB" w:rsidR="004F69FD" w:rsidRPr="00566CE6" w:rsidRDefault="00642B2F" w:rsidP="004B3035">
            <w:pPr>
              <w:ind w:left="140"/>
            </w:pPr>
            <w:r w:rsidRPr="00642B2F">
              <w:rPr>
                <w:rFonts w:eastAsia="Times New Roman"/>
              </w:rPr>
              <w:t>рецидивиращ БЕ</w:t>
            </w:r>
          </w:p>
        </w:tc>
        <w:tc>
          <w:tcPr>
            <w:tcW w:w="4140" w:type="dxa"/>
          </w:tcPr>
          <w:p w14:paraId="723A8B39" w14:textId="77777777" w:rsidR="00642B2F" w:rsidRDefault="00642B2F" w:rsidP="00642B2F">
            <w:pPr>
              <w:pStyle w:val="Default"/>
              <w:rPr>
                <w:sz w:val="22"/>
                <w:szCs w:val="22"/>
              </w:rPr>
            </w:pPr>
            <w:r>
              <w:rPr>
                <w:sz w:val="22"/>
                <w:szCs w:val="22"/>
              </w:rPr>
              <w:t xml:space="preserve">20 </w:t>
            </w:r>
          </w:p>
          <w:p w14:paraId="1D3510C7" w14:textId="026B8784" w:rsidR="00642B2F" w:rsidRDefault="00642B2F" w:rsidP="00642B2F">
            <w:pPr>
              <w:pStyle w:val="Default"/>
            </w:pPr>
            <w:r>
              <w:rPr>
                <w:sz w:val="22"/>
                <w:szCs w:val="22"/>
              </w:rPr>
              <w:t xml:space="preserve">(1,2%) </w:t>
            </w:r>
          </w:p>
          <w:p w14:paraId="768B7209" w14:textId="37CFD2EE" w:rsidR="004F69FD" w:rsidRPr="00566CE6" w:rsidRDefault="004F69FD" w:rsidP="00746104">
            <w:pPr>
              <w:ind w:left="120"/>
            </w:pPr>
          </w:p>
        </w:tc>
        <w:tc>
          <w:tcPr>
            <w:tcW w:w="2126" w:type="dxa"/>
          </w:tcPr>
          <w:p w14:paraId="70315AEF" w14:textId="77777777" w:rsidR="00642B2F" w:rsidRDefault="00642B2F" w:rsidP="00642B2F">
            <w:pPr>
              <w:pStyle w:val="Default"/>
              <w:rPr>
                <w:sz w:val="22"/>
                <w:szCs w:val="22"/>
              </w:rPr>
            </w:pPr>
            <w:r>
              <w:rPr>
                <w:sz w:val="22"/>
                <w:szCs w:val="22"/>
              </w:rPr>
              <w:t>18</w:t>
            </w:r>
          </w:p>
          <w:p w14:paraId="5EA2A8F2" w14:textId="19C46B1F" w:rsidR="004F69FD" w:rsidRPr="00566CE6" w:rsidRDefault="00642B2F" w:rsidP="00642B2F">
            <w:pPr>
              <w:pStyle w:val="Default"/>
            </w:pPr>
            <w:r>
              <w:rPr>
                <w:sz w:val="22"/>
                <w:szCs w:val="22"/>
              </w:rPr>
              <w:t xml:space="preserve"> (1,0%) </w:t>
            </w:r>
          </w:p>
        </w:tc>
      </w:tr>
      <w:tr w:rsidR="004F69FD" w:rsidRPr="00566CE6" w14:paraId="74144C5C" w14:textId="77777777" w:rsidTr="007A3DC9">
        <w:trPr>
          <w:trHeight w:val="20"/>
        </w:trPr>
        <w:tc>
          <w:tcPr>
            <w:tcW w:w="3500" w:type="dxa"/>
          </w:tcPr>
          <w:p w14:paraId="4E3C3A5A" w14:textId="1B7B5DC5" w:rsidR="00642B2F" w:rsidRDefault="00642B2F" w:rsidP="00642B2F">
            <w:pPr>
              <w:pStyle w:val="Default"/>
              <w:rPr>
                <w:sz w:val="22"/>
                <w:szCs w:val="22"/>
              </w:rPr>
            </w:pPr>
            <w:r>
              <w:rPr>
                <w:sz w:val="22"/>
                <w:szCs w:val="22"/>
              </w:rPr>
              <w:t xml:space="preserve">  Симптоматична </w:t>
            </w:r>
          </w:p>
          <w:p w14:paraId="12F5656C" w14:textId="188F34E5" w:rsidR="00642B2F" w:rsidRDefault="00642B2F" w:rsidP="00642B2F">
            <w:pPr>
              <w:pStyle w:val="Default"/>
            </w:pPr>
            <w:r>
              <w:rPr>
                <w:sz w:val="22"/>
                <w:szCs w:val="22"/>
              </w:rPr>
              <w:t xml:space="preserve">  рецидивираща ДВТ </w:t>
            </w:r>
          </w:p>
          <w:p w14:paraId="0703B5A0" w14:textId="599C7770" w:rsidR="004F69FD" w:rsidRPr="00566CE6" w:rsidRDefault="004F69FD" w:rsidP="004B3035">
            <w:pPr>
              <w:ind w:left="140"/>
            </w:pPr>
          </w:p>
        </w:tc>
        <w:tc>
          <w:tcPr>
            <w:tcW w:w="4140" w:type="dxa"/>
          </w:tcPr>
          <w:p w14:paraId="10B94FBD" w14:textId="77777777" w:rsidR="00642B2F" w:rsidRDefault="00642B2F" w:rsidP="00642B2F">
            <w:pPr>
              <w:pStyle w:val="Default"/>
              <w:rPr>
                <w:sz w:val="22"/>
                <w:szCs w:val="22"/>
              </w:rPr>
            </w:pPr>
            <w:r>
              <w:rPr>
                <w:sz w:val="22"/>
                <w:szCs w:val="22"/>
              </w:rPr>
              <w:t xml:space="preserve">14 </w:t>
            </w:r>
          </w:p>
          <w:p w14:paraId="17E2EB1A" w14:textId="2BD475D6" w:rsidR="00642B2F" w:rsidRDefault="00642B2F" w:rsidP="00642B2F">
            <w:pPr>
              <w:pStyle w:val="Default"/>
            </w:pPr>
            <w:r>
              <w:rPr>
                <w:sz w:val="22"/>
                <w:szCs w:val="22"/>
              </w:rPr>
              <w:t xml:space="preserve">(0,8%) </w:t>
            </w:r>
          </w:p>
          <w:p w14:paraId="78AFA15B" w14:textId="12030F9F" w:rsidR="004F69FD" w:rsidRPr="00566CE6" w:rsidRDefault="004F69FD" w:rsidP="004B3035">
            <w:pPr>
              <w:ind w:left="120"/>
            </w:pPr>
          </w:p>
        </w:tc>
        <w:tc>
          <w:tcPr>
            <w:tcW w:w="2126" w:type="dxa"/>
          </w:tcPr>
          <w:p w14:paraId="21AE0160" w14:textId="77777777" w:rsidR="00642B2F" w:rsidRDefault="00642B2F" w:rsidP="00642B2F">
            <w:pPr>
              <w:pStyle w:val="Default"/>
              <w:rPr>
                <w:sz w:val="22"/>
                <w:szCs w:val="22"/>
              </w:rPr>
            </w:pPr>
            <w:r>
              <w:rPr>
                <w:sz w:val="22"/>
                <w:szCs w:val="22"/>
              </w:rPr>
              <w:t xml:space="preserve">28 </w:t>
            </w:r>
          </w:p>
          <w:p w14:paraId="4D88DA28" w14:textId="4AFE87D6" w:rsidR="00642B2F" w:rsidRDefault="00642B2F" w:rsidP="00642B2F">
            <w:pPr>
              <w:pStyle w:val="Default"/>
            </w:pPr>
            <w:r>
              <w:rPr>
                <w:sz w:val="22"/>
                <w:szCs w:val="22"/>
              </w:rPr>
              <w:t xml:space="preserve">(1,6%) </w:t>
            </w:r>
          </w:p>
          <w:p w14:paraId="04CE2955" w14:textId="7FD2906D" w:rsidR="004F69FD" w:rsidRPr="00566CE6" w:rsidRDefault="004F69FD" w:rsidP="004B3035">
            <w:pPr>
              <w:ind w:left="120"/>
            </w:pPr>
          </w:p>
        </w:tc>
      </w:tr>
      <w:tr w:rsidR="004F69FD" w:rsidRPr="00566CE6" w14:paraId="3EF7EA56" w14:textId="77777777" w:rsidTr="007A3DC9">
        <w:trPr>
          <w:trHeight w:val="20"/>
        </w:trPr>
        <w:tc>
          <w:tcPr>
            <w:tcW w:w="3500" w:type="dxa"/>
          </w:tcPr>
          <w:p w14:paraId="49C26540" w14:textId="2787A49B" w:rsidR="004F69FD" w:rsidRPr="00566CE6" w:rsidRDefault="00642B2F" w:rsidP="004B3035">
            <w:pPr>
              <w:ind w:left="140"/>
            </w:pPr>
            <w:r w:rsidRPr="00642B2F">
              <w:rPr>
                <w:rFonts w:eastAsia="Times New Roman"/>
              </w:rPr>
              <w:t>Летален БЕ/смърт, където БЕ не може да бъде изключен</w:t>
            </w:r>
          </w:p>
        </w:tc>
        <w:tc>
          <w:tcPr>
            <w:tcW w:w="4140" w:type="dxa"/>
          </w:tcPr>
          <w:p w14:paraId="36DC7239" w14:textId="77777777" w:rsidR="00642B2F" w:rsidRDefault="00642B2F" w:rsidP="00642B2F">
            <w:pPr>
              <w:pStyle w:val="Default"/>
              <w:rPr>
                <w:sz w:val="22"/>
                <w:szCs w:val="22"/>
              </w:rPr>
            </w:pPr>
            <w:r>
              <w:rPr>
                <w:sz w:val="22"/>
                <w:szCs w:val="22"/>
              </w:rPr>
              <w:t>4</w:t>
            </w:r>
          </w:p>
          <w:p w14:paraId="2ABF3A8D" w14:textId="19719E8E" w:rsidR="00642B2F" w:rsidRDefault="00642B2F" w:rsidP="00642B2F">
            <w:pPr>
              <w:pStyle w:val="Default"/>
            </w:pPr>
            <w:r>
              <w:rPr>
                <w:sz w:val="22"/>
                <w:szCs w:val="22"/>
              </w:rPr>
              <w:t xml:space="preserve">(0,2%) </w:t>
            </w:r>
          </w:p>
          <w:p w14:paraId="354D7A7E" w14:textId="1A2F59E2" w:rsidR="004F69FD" w:rsidRPr="00566CE6" w:rsidRDefault="004F69FD" w:rsidP="004B3035">
            <w:pPr>
              <w:ind w:left="120"/>
            </w:pPr>
          </w:p>
        </w:tc>
        <w:tc>
          <w:tcPr>
            <w:tcW w:w="2126" w:type="dxa"/>
          </w:tcPr>
          <w:p w14:paraId="6A54E48E" w14:textId="77777777" w:rsidR="00642B2F" w:rsidRDefault="00642B2F" w:rsidP="00642B2F">
            <w:pPr>
              <w:pStyle w:val="Default"/>
              <w:rPr>
                <w:sz w:val="22"/>
                <w:szCs w:val="22"/>
              </w:rPr>
            </w:pPr>
            <w:r>
              <w:rPr>
                <w:sz w:val="22"/>
                <w:szCs w:val="22"/>
              </w:rPr>
              <w:t xml:space="preserve">6 </w:t>
            </w:r>
          </w:p>
          <w:p w14:paraId="3B6A71EF" w14:textId="5C0FEF1C" w:rsidR="00642B2F" w:rsidRDefault="00642B2F" w:rsidP="00642B2F">
            <w:pPr>
              <w:pStyle w:val="Default"/>
            </w:pPr>
            <w:r>
              <w:rPr>
                <w:sz w:val="22"/>
                <w:szCs w:val="22"/>
              </w:rPr>
              <w:t xml:space="preserve">(0,3%) </w:t>
            </w:r>
          </w:p>
          <w:p w14:paraId="786111E1" w14:textId="5A090985" w:rsidR="004F69FD" w:rsidRPr="00566CE6" w:rsidRDefault="004F69FD" w:rsidP="004B3035">
            <w:pPr>
              <w:ind w:left="120"/>
            </w:pPr>
          </w:p>
        </w:tc>
      </w:tr>
      <w:tr w:rsidR="004F69FD" w:rsidRPr="00566CE6" w14:paraId="1F7D81CF" w14:textId="77777777" w:rsidTr="007A3DC9">
        <w:trPr>
          <w:trHeight w:val="20"/>
        </w:trPr>
        <w:tc>
          <w:tcPr>
            <w:tcW w:w="3500" w:type="dxa"/>
          </w:tcPr>
          <w:p w14:paraId="47E5B9FC" w14:textId="723454CE" w:rsidR="004F69FD" w:rsidRPr="00566CE6" w:rsidRDefault="00642B2F" w:rsidP="004B3035">
            <w:pPr>
              <w:ind w:left="140"/>
            </w:pPr>
            <w:r w:rsidRPr="00642B2F">
              <w:t>Голямо или клинично значимо неголямо кървене</w:t>
            </w:r>
          </w:p>
        </w:tc>
        <w:tc>
          <w:tcPr>
            <w:tcW w:w="4140" w:type="dxa"/>
          </w:tcPr>
          <w:p w14:paraId="7F805BD2" w14:textId="77777777" w:rsidR="00642B2F" w:rsidRDefault="00642B2F" w:rsidP="00642B2F">
            <w:pPr>
              <w:pStyle w:val="Default"/>
              <w:rPr>
                <w:sz w:val="22"/>
                <w:szCs w:val="22"/>
              </w:rPr>
            </w:pPr>
            <w:r>
              <w:rPr>
                <w:sz w:val="22"/>
                <w:szCs w:val="22"/>
              </w:rPr>
              <w:t xml:space="preserve">139 </w:t>
            </w:r>
          </w:p>
          <w:p w14:paraId="3C513751" w14:textId="27B901A2" w:rsidR="00642B2F" w:rsidRDefault="00642B2F" w:rsidP="00642B2F">
            <w:pPr>
              <w:pStyle w:val="Default"/>
            </w:pPr>
            <w:r>
              <w:rPr>
                <w:sz w:val="22"/>
                <w:szCs w:val="22"/>
              </w:rPr>
              <w:t xml:space="preserve">(8,1%) </w:t>
            </w:r>
          </w:p>
          <w:p w14:paraId="54FC1139" w14:textId="7233829D" w:rsidR="004F69FD" w:rsidRPr="00566CE6" w:rsidRDefault="004F69FD" w:rsidP="004B3035">
            <w:pPr>
              <w:ind w:left="120"/>
            </w:pPr>
          </w:p>
        </w:tc>
        <w:tc>
          <w:tcPr>
            <w:tcW w:w="2126" w:type="dxa"/>
          </w:tcPr>
          <w:p w14:paraId="6B5D28C6" w14:textId="77777777" w:rsidR="00642B2F" w:rsidRDefault="00642B2F" w:rsidP="00642B2F">
            <w:pPr>
              <w:pStyle w:val="Default"/>
              <w:rPr>
                <w:sz w:val="22"/>
                <w:szCs w:val="22"/>
              </w:rPr>
            </w:pPr>
            <w:r>
              <w:rPr>
                <w:sz w:val="22"/>
                <w:szCs w:val="22"/>
              </w:rPr>
              <w:t xml:space="preserve">138 </w:t>
            </w:r>
          </w:p>
          <w:p w14:paraId="4AF59AA1" w14:textId="105015B3" w:rsidR="00642B2F" w:rsidRDefault="00642B2F" w:rsidP="00642B2F">
            <w:pPr>
              <w:pStyle w:val="Default"/>
            </w:pPr>
            <w:r>
              <w:rPr>
                <w:sz w:val="22"/>
                <w:szCs w:val="22"/>
              </w:rPr>
              <w:t xml:space="preserve">(8,1%) </w:t>
            </w:r>
          </w:p>
          <w:p w14:paraId="652D8CC0" w14:textId="6A27C413" w:rsidR="004F69FD" w:rsidRPr="00566CE6" w:rsidRDefault="004F69FD" w:rsidP="004B3035">
            <w:pPr>
              <w:ind w:left="120"/>
            </w:pPr>
          </w:p>
        </w:tc>
      </w:tr>
      <w:tr w:rsidR="004F69FD" w:rsidRPr="00566CE6" w14:paraId="24B1D68E" w14:textId="77777777" w:rsidTr="007A3DC9">
        <w:trPr>
          <w:trHeight w:val="20"/>
        </w:trPr>
        <w:tc>
          <w:tcPr>
            <w:tcW w:w="3500" w:type="dxa"/>
          </w:tcPr>
          <w:p w14:paraId="2CE9B6CB" w14:textId="418E3DD5" w:rsidR="004F69FD" w:rsidRPr="00566CE6" w:rsidRDefault="00642B2F" w:rsidP="004B3035">
            <w:pPr>
              <w:ind w:left="140"/>
            </w:pPr>
            <w:r w:rsidRPr="00642B2F">
              <w:rPr>
                <w:rFonts w:eastAsia="Times New Roman"/>
              </w:rPr>
              <w:t>Големи кръвоизливи</w:t>
            </w:r>
          </w:p>
        </w:tc>
        <w:tc>
          <w:tcPr>
            <w:tcW w:w="4140" w:type="dxa"/>
          </w:tcPr>
          <w:p w14:paraId="700BCE22" w14:textId="77777777" w:rsidR="00642B2F" w:rsidRDefault="00642B2F" w:rsidP="00642B2F">
            <w:pPr>
              <w:pStyle w:val="Default"/>
              <w:rPr>
                <w:sz w:val="22"/>
                <w:szCs w:val="22"/>
              </w:rPr>
            </w:pPr>
            <w:r>
              <w:rPr>
                <w:sz w:val="22"/>
                <w:szCs w:val="22"/>
              </w:rPr>
              <w:t xml:space="preserve">14 </w:t>
            </w:r>
          </w:p>
          <w:p w14:paraId="4D089E99" w14:textId="25D17896" w:rsidR="00642B2F" w:rsidRDefault="00642B2F" w:rsidP="00642B2F">
            <w:pPr>
              <w:pStyle w:val="Default"/>
            </w:pPr>
            <w:r>
              <w:rPr>
                <w:sz w:val="22"/>
                <w:szCs w:val="22"/>
              </w:rPr>
              <w:t xml:space="preserve">(0,8%) </w:t>
            </w:r>
          </w:p>
          <w:p w14:paraId="5F05C99A" w14:textId="2CE963D9" w:rsidR="004F69FD" w:rsidRPr="00566CE6" w:rsidRDefault="004F69FD" w:rsidP="004B3035">
            <w:pPr>
              <w:ind w:left="120"/>
            </w:pPr>
          </w:p>
        </w:tc>
        <w:tc>
          <w:tcPr>
            <w:tcW w:w="2126" w:type="dxa"/>
          </w:tcPr>
          <w:p w14:paraId="287F27BE" w14:textId="77777777" w:rsidR="00642B2F" w:rsidRDefault="00642B2F" w:rsidP="00642B2F">
            <w:pPr>
              <w:pStyle w:val="Default"/>
              <w:rPr>
                <w:sz w:val="22"/>
                <w:szCs w:val="22"/>
              </w:rPr>
            </w:pPr>
            <w:r>
              <w:rPr>
                <w:sz w:val="22"/>
                <w:szCs w:val="22"/>
              </w:rPr>
              <w:lastRenderedPageBreak/>
              <w:t xml:space="preserve">20 </w:t>
            </w:r>
          </w:p>
          <w:p w14:paraId="3D07AEBA" w14:textId="31E49043" w:rsidR="00642B2F" w:rsidRDefault="00642B2F" w:rsidP="00642B2F">
            <w:pPr>
              <w:pStyle w:val="Default"/>
            </w:pPr>
            <w:r>
              <w:rPr>
                <w:sz w:val="22"/>
                <w:szCs w:val="22"/>
              </w:rPr>
              <w:t xml:space="preserve">(1,2%) </w:t>
            </w:r>
          </w:p>
          <w:p w14:paraId="7C13F52E" w14:textId="64D6B4DF" w:rsidR="004F69FD" w:rsidRPr="00566CE6" w:rsidRDefault="004F69FD" w:rsidP="004B3035">
            <w:pPr>
              <w:ind w:left="120"/>
            </w:pPr>
          </w:p>
        </w:tc>
      </w:tr>
    </w:tbl>
    <w:p w14:paraId="0C175DAE" w14:textId="1962A0D2" w:rsidR="004762C7" w:rsidRPr="00566CE6" w:rsidRDefault="00642B2F" w:rsidP="004114F8">
      <w:pPr>
        <w:numPr>
          <w:ilvl w:val="0"/>
          <w:numId w:val="8"/>
        </w:numPr>
        <w:tabs>
          <w:tab w:val="left" w:pos="680"/>
        </w:tabs>
        <w:ind w:left="680" w:hanging="540"/>
        <w:rPr>
          <w:rFonts w:eastAsia="Times New Roman"/>
        </w:rPr>
      </w:pPr>
      <w:r>
        <w:rPr>
          <w:rFonts w:eastAsia="Times New Roman"/>
          <w:lang w:val="bg-BG"/>
        </w:rPr>
        <w:lastRenderedPageBreak/>
        <w:t xml:space="preserve">Ривароксабан 15 </w:t>
      </w:r>
      <w:r>
        <w:rPr>
          <w:rFonts w:eastAsia="Times New Roman"/>
        </w:rPr>
        <w:t xml:space="preserve">mg </w:t>
      </w:r>
      <w:r>
        <w:rPr>
          <w:rFonts w:eastAsia="Times New Roman"/>
          <w:lang w:val="bg-BG"/>
        </w:rPr>
        <w:t xml:space="preserve">два пъти дневно за 3 седмици, последвано от </w:t>
      </w:r>
      <w:r>
        <w:rPr>
          <w:rFonts w:eastAsia="Times New Roman"/>
        </w:rPr>
        <w:t xml:space="preserve">20 mg </w:t>
      </w:r>
      <w:r w:rsidR="00E375B4">
        <w:rPr>
          <w:rFonts w:eastAsia="Times New Roman"/>
          <w:lang w:val="bg-BG"/>
        </w:rPr>
        <w:t>един път дневно</w:t>
      </w:r>
    </w:p>
    <w:p w14:paraId="77719A2C" w14:textId="7536D12B" w:rsidR="004762C7" w:rsidRPr="00566CE6" w:rsidRDefault="00642B2F" w:rsidP="004114F8">
      <w:pPr>
        <w:numPr>
          <w:ilvl w:val="0"/>
          <w:numId w:val="8"/>
        </w:numPr>
        <w:tabs>
          <w:tab w:val="left" w:pos="680"/>
        </w:tabs>
        <w:ind w:left="680" w:hanging="540"/>
        <w:rPr>
          <w:rFonts w:eastAsia="Times New Roman"/>
        </w:rPr>
      </w:pPr>
      <w:r>
        <w:rPr>
          <w:rFonts w:eastAsia="Times New Roman"/>
          <w:lang w:val="bg-BG"/>
        </w:rPr>
        <w:t>Еноксапарин за най-малко 5 дни, застъпен и последван от АВК</w:t>
      </w:r>
    </w:p>
    <w:p w14:paraId="4AB4E703" w14:textId="49C08501" w:rsidR="00A16AF0" w:rsidRDefault="00B95CB7" w:rsidP="00A16AF0">
      <w:pPr>
        <w:numPr>
          <w:ilvl w:val="0"/>
          <w:numId w:val="9"/>
        </w:numPr>
        <w:tabs>
          <w:tab w:val="left" w:pos="680"/>
        </w:tabs>
        <w:ind w:left="680" w:hanging="540"/>
      </w:pPr>
      <w:r>
        <w:rPr>
          <w:rFonts w:eastAsia="Times New Roman"/>
          <w:lang w:val="bg-BG"/>
        </w:rPr>
        <w:t>р &lt;0,0001 ( не по-малка ефикасност по отношение на предварително определе</w:t>
      </w:r>
      <w:r w:rsidR="0070127D">
        <w:rPr>
          <w:rFonts w:eastAsia="Times New Roman"/>
          <w:lang w:val="bg-BG"/>
        </w:rPr>
        <w:t>н</w:t>
      </w:r>
      <w:r>
        <w:rPr>
          <w:rFonts w:eastAsia="Times New Roman"/>
          <w:lang w:val="bg-BG"/>
        </w:rPr>
        <w:t xml:space="preserve"> </w:t>
      </w:r>
      <w:r>
        <w:rPr>
          <w:rFonts w:eastAsia="Times New Roman"/>
        </w:rPr>
        <w:t xml:space="preserve">HR </w:t>
      </w:r>
      <w:r>
        <w:rPr>
          <w:rFonts w:eastAsia="Times New Roman"/>
          <w:lang w:val="bg-BG"/>
        </w:rPr>
        <w:t xml:space="preserve">2,0); </w:t>
      </w:r>
      <w:r>
        <w:rPr>
          <w:rFonts w:eastAsia="Times New Roman"/>
        </w:rPr>
        <w:t>HR</w:t>
      </w:r>
      <w:r>
        <w:rPr>
          <w:rFonts w:eastAsia="Times New Roman"/>
          <w:lang w:val="bg-BG"/>
        </w:rPr>
        <w:t>: 0,680 (0,443 – 1,042), р=0,076 (превъзходство)</w:t>
      </w:r>
      <w:r>
        <w:t xml:space="preserve"> </w:t>
      </w:r>
    </w:p>
    <w:p w14:paraId="3389147A" w14:textId="42D5B27A" w:rsidR="00A16AF0" w:rsidRDefault="00A16AF0" w:rsidP="00A16AF0">
      <w:pPr>
        <w:tabs>
          <w:tab w:val="left" w:pos="680"/>
        </w:tabs>
      </w:pPr>
    </w:p>
    <w:p w14:paraId="1B5F7712" w14:textId="17CCE420" w:rsidR="004762C7" w:rsidRDefault="00B95CB7" w:rsidP="004B3035">
      <w:r w:rsidRPr="00B95CB7">
        <w:t>В проучв</w:t>
      </w:r>
      <w:r w:rsidR="00004FF2">
        <w:t>ането Einstein PE (вж. Таблица 7) се показва</w:t>
      </w:r>
      <w:r w:rsidRPr="00B95CB7">
        <w:t>, че ривароксабан е с не по-малка ефикасност от еноксапарин/АВК за първичния резултат за ефикасност (p=0,0026 (тест за не по-малка ефикасност); HR: 1,123 (0,749 - 1,684)). Предварително дефинираната нетна клинична полза (първичен резултат за ефикасност плюс големи кръвоизливи) се съобщава с HR от 0,849 ((95% ДИ: 0,633 - 1,139), номинална р стойност р = 0,275). INR стойностите са в терапевтичния диапазон средно 63% от времето при средна продължителност на лечението от 215 дни и 57%, 62% и 65% от времето при групите с планирано лечение с продължителност съответно 3, 6 и 12 месеца. В групата на еноксапарин/АВК няма ясна връзка между нивото на средното централно TTR (време в таргетен INR диапазон 2,0 - 3,0) при терцилите с еднакъв размер и честотата на рецидивиращите ВТЕ (p = 0,082 за взаимодействие). В най-горния терцил по отношение на центъра Коефициентът на Риск (HR) при ривароксабан спрямо варфарин е 0,642 (95% ДИ: 0,277 - 1,484).</w:t>
      </w:r>
    </w:p>
    <w:p w14:paraId="44BBC4C2" w14:textId="77C2A9A8" w:rsidR="00B95CB7" w:rsidRDefault="00B95CB7" w:rsidP="004B3035"/>
    <w:p w14:paraId="01F38C9E" w14:textId="0DDFD834" w:rsidR="00B95CB7" w:rsidRDefault="00B95CB7" w:rsidP="004B3035">
      <w:r>
        <w:t>Честотите за първичния резултат за безопасност (големи или клинично значими неголеми кръвоизливи) са малко по-ниски в групата на лечение с ривароксабан (10,3% (249/2 412)) в сравнение с групата на лечение с еноксапарин/АВК (11,4% (274/2 405)). Честотата за вторичния резултат за безопасност (големи кръвоизливи) е по-ниска в групата на ривароксабан (1,1% (26/2 412)) в сравнение с групата на еноксапарин/АВК (2,2% (52/2 405)) с HR 0,493 (95% ДИ: 0,308 - 0,789).</w:t>
      </w:r>
    </w:p>
    <w:p w14:paraId="6F9F5DE6" w14:textId="057BBD57" w:rsidR="004762C7" w:rsidRPr="00566CE6" w:rsidRDefault="004762C7" w:rsidP="004B3035">
      <w:bookmarkStart w:id="8" w:name="page17"/>
      <w:bookmarkEnd w:id="8"/>
    </w:p>
    <w:p w14:paraId="334601F8" w14:textId="16470E82" w:rsidR="004762C7" w:rsidRDefault="00004FF2" w:rsidP="004B3035">
      <w:pPr>
        <w:ind w:left="40"/>
        <w:rPr>
          <w:rFonts w:eastAsia="Times New Roman"/>
          <w:b/>
          <w:bCs/>
        </w:rPr>
      </w:pPr>
      <w:r>
        <w:rPr>
          <w:rFonts w:eastAsia="Times New Roman"/>
          <w:b/>
          <w:bCs/>
        </w:rPr>
        <w:t>Таблица 7</w:t>
      </w:r>
      <w:r w:rsidR="00E45805" w:rsidRPr="00E45805">
        <w:rPr>
          <w:rFonts w:eastAsia="Times New Roman"/>
          <w:b/>
          <w:bCs/>
        </w:rPr>
        <w:t xml:space="preserve">: Резултати за безопасност от фаза III </w:t>
      </w:r>
      <w:r w:rsidR="00B95CB7" w:rsidRPr="00B95CB7">
        <w:rPr>
          <w:rFonts w:eastAsia="Times New Roman"/>
          <w:b/>
          <w:bCs/>
        </w:rPr>
        <w:t>Einstein PE</w:t>
      </w:r>
    </w:p>
    <w:tbl>
      <w:tblPr>
        <w:tblW w:w="97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00"/>
        <w:gridCol w:w="4140"/>
        <w:gridCol w:w="2126"/>
      </w:tblGrid>
      <w:tr w:rsidR="00B95CB7" w:rsidRPr="00566CE6" w14:paraId="43127CF6" w14:textId="77777777" w:rsidTr="0070127D">
        <w:trPr>
          <w:trHeight w:val="441"/>
        </w:trPr>
        <w:tc>
          <w:tcPr>
            <w:tcW w:w="3500" w:type="dxa"/>
            <w:vAlign w:val="center"/>
          </w:tcPr>
          <w:p w14:paraId="34C7664B" w14:textId="77777777" w:rsidR="00B95CB7" w:rsidRPr="00566CE6" w:rsidRDefault="00B95CB7" w:rsidP="00420B29">
            <w:pPr>
              <w:ind w:left="140"/>
            </w:pPr>
            <w:r w:rsidRPr="00746104">
              <w:rPr>
                <w:rFonts w:eastAsia="Times New Roman"/>
                <w:b/>
                <w:bCs/>
              </w:rPr>
              <w:t>Проучвана популация</w:t>
            </w:r>
          </w:p>
        </w:tc>
        <w:tc>
          <w:tcPr>
            <w:tcW w:w="6266" w:type="dxa"/>
            <w:gridSpan w:val="2"/>
            <w:vAlign w:val="center"/>
          </w:tcPr>
          <w:p w14:paraId="60AC0A42" w14:textId="4FAC82C9" w:rsidR="00B95CB7" w:rsidRPr="00746104" w:rsidRDefault="00B95CB7" w:rsidP="00420B29">
            <w:pPr>
              <w:pStyle w:val="Default"/>
            </w:pPr>
            <w:r w:rsidRPr="00B95CB7">
              <w:rPr>
                <w:b/>
                <w:bCs/>
                <w:sz w:val="22"/>
                <w:szCs w:val="22"/>
              </w:rPr>
              <w:t>4 832 пациенти с остра симптоматична БЕ</w:t>
            </w:r>
          </w:p>
        </w:tc>
      </w:tr>
      <w:tr w:rsidR="00B95CB7" w:rsidRPr="00566CE6" w14:paraId="41438E39" w14:textId="77777777" w:rsidTr="0070127D">
        <w:trPr>
          <w:trHeight w:val="20"/>
        </w:trPr>
        <w:tc>
          <w:tcPr>
            <w:tcW w:w="3500" w:type="dxa"/>
          </w:tcPr>
          <w:p w14:paraId="3750D44A" w14:textId="77777777" w:rsidR="00B95CB7" w:rsidRPr="00566CE6" w:rsidRDefault="00B95CB7" w:rsidP="00420B29">
            <w:pPr>
              <w:ind w:left="100"/>
            </w:pPr>
            <w:r w:rsidRPr="00642B2F">
              <w:rPr>
                <w:rFonts w:eastAsia="Times New Roman"/>
                <w:b/>
                <w:bCs/>
              </w:rPr>
              <w:t>Доза и продължителност на лечението</w:t>
            </w:r>
          </w:p>
        </w:tc>
        <w:tc>
          <w:tcPr>
            <w:tcW w:w="4140" w:type="dxa"/>
          </w:tcPr>
          <w:p w14:paraId="32ECFC71" w14:textId="77777777" w:rsidR="00B95CB7" w:rsidRPr="00642B2F" w:rsidRDefault="00B95CB7" w:rsidP="00420B29">
            <w:pPr>
              <w:pStyle w:val="Default"/>
              <w:rPr>
                <w:b/>
                <w:sz w:val="14"/>
                <w:szCs w:val="14"/>
              </w:rPr>
            </w:pPr>
            <w:r w:rsidRPr="00642B2F">
              <w:rPr>
                <w:b/>
                <w:sz w:val="22"/>
                <w:szCs w:val="22"/>
              </w:rPr>
              <w:t>Ривароксабан</w:t>
            </w:r>
            <w:r w:rsidRPr="00642B2F">
              <w:rPr>
                <w:rFonts w:ascii="ZWAdobeF" w:hAnsi="ZWAdobeF" w:cs="ZWAdobeF"/>
                <w:b/>
                <w:sz w:val="2"/>
                <w:szCs w:val="2"/>
              </w:rPr>
              <w:t>P</w:t>
            </w:r>
            <w:r w:rsidRPr="00642B2F">
              <w:rPr>
                <w:b/>
                <w:sz w:val="20"/>
                <w:szCs w:val="20"/>
                <w:vertAlign w:val="superscript"/>
              </w:rPr>
              <w:t xml:space="preserve">a) </w:t>
            </w:r>
          </w:p>
          <w:p w14:paraId="489D418F" w14:textId="77777777" w:rsidR="00B95CB7" w:rsidRPr="00642B2F" w:rsidRDefault="00B95CB7" w:rsidP="00420B29">
            <w:pPr>
              <w:pStyle w:val="Default"/>
              <w:rPr>
                <w:b/>
                <w:sz w:val="22"/>
                <w:szCs w:val="22"/>
              </w:rPr>
            </w:pPr>
            <w:r w:rsidRPr="00642B2F">
              <w:rPr>
                <w:b/>
                <w:sz w:val="22"/>
                <w:szCs w:val="22"/>
              </w:rPr>
              <w:t xml:space="preserve">3, 6 или 12 месеца </w:t>
            </w:r>
          </w:p>
          <w:p w14:paraId="53E8E1DD" w14:textId="2F6D0FCD" w:rsidR="00B95CB7" w:rsidRPr="00746104" w:rsidRDefault="00B95CB7" w:rsidP="00420B29">
            <w:pPr>
              <w:pStyle w:val="Default"/>
              <w:rPr>
                <w:sz w:val="2"/>
                <w:szCs w:val="2"/>
              </w:rPr>
            </w:pPr>
            <w:r w:rsidRPr="00642B2F">
              <w:rPr>
                <w:b/>
                <w:sz w:val="22"/>
                <w:szCs w:val="22"/>
              </w:rPr>
              <w:t>N=</w:t>
            </w:r>
            <w:r>
              <w:t xml:space="preserve"> </w:t>
            </w:r>
            <w:r w:rsidRPr="00B95CB7">
              <w:rPr>
                <w:b/>
                <w:sz w:val="22"/>
                <w:szCs w:val="22"/>
              </w:rPr>
              <w:t>2 419</w:t>
            </w:r>
          </w:p>
        </w:tc>
        <w:tc>
          <w:tcPr>
            <w:tcW w:w="2126" w:type="dxa"/>
          </w:tcPr>
          <w:p w14:paraId="282DD01A" w14:textId="77777777" w:rsidR="00B95CB7" w:rsidRPr="00642B2F" w:rsidRDefault="00B95CB7" w:rsidP="00420B29">
            <w:pPr>
              <w:pStyle w:val="Default"/>
              <w:rPr>
                <w:b/>
                <w:sz w:val="22"/>
                <w:szCs w:val="22"/>
              </w:rPr>
            </w:pPr>
            <w:r w:rsidRPr="00642B2F">
              <w:rPr>
                <w:b/>
                <w:sz w:val="22"/>
                <w:szCs w:val="22"/>
              </w:rPr>
              <w:t>Еноксапарин/АВК</w:t>
            </w:r>
            <w:r w:rsidRPr="00642B2F">
              <w:rPr>
                <w:b/>
                <w:sz w:val="22"/>
                <w:szCs w:val="22"/>
                <w:vertAlign w:val="superscript"/>
              </w:rPr>
              <w:t>b)</w:t>
            </w:r>
            <w:r w:rsidRPr="00642B2F">
              <w:rPr>
                <w:b/>
                <w:sz w:val="22"/>
                <w:szCs w:val="22"/>
              </w:rPr>
              <w:t xml:space="preserve"> </w:t>
            </w:r>
          </w:p>
          <w:p w14:paraId="00952FBE" w14:textId="77777777" w:rsidR="00B95CB7" w:rsidRPr="00642B2F" w:rsidRDefault="00B95CB7" w:rsidP="00420B29">
            <w:pPr>
              <w:pStyle w:val="Default"/>
              <w:rPr>
                <w:b/>
                <w:sz w:val="22"/>
                <w:szCs w:val="22"/>
              </w:rPr>
            </w:pPr>
            <w:r w:rsidRPr="00642B2F">
              <w:rPr>
                <w:b/>
                <w:sz w:val="22"/>
                <w:szCs w:val="22"/>
              </w:rPr>
              <w:t xml:space="preserve">3, 6 или 12 месеца </w:t>
            </w:r>
          </w:p>
          <w:p w14:paraId="76554BA2" w14:textId="154C0811" w:rsidR="00B95CB7" w:rsidRPr="00566CE6" w:rsidRDefault="00B95CB7" w:rsidP="00420B29">
            <w:r>
              <w:rPr>
                <w:b/>
              </w:rPr>
              <w:t>N=2</w:t>
            </w:r>
            <w:r>
              <w:rPr>
                <w:b/>
                <w:lang w:val="bg-BG"/>
              </w:rPr>
              <w:t xml:space="preserve"> </w:t>
            </w:r>
            <w:r>
              <w:rPr>
                <w:b/>
              </w:rPr>
              <w:t>413</w:t>
            </w:r>
            <w:r>
              <w:t xml:space="preserve"> </w:t>
            </w:r>
          </w:p>
        </w:tc>
      </w:tr>
      <w:tr w:rsidR="00B95CB7" w:rsidRPr="00566CE6" w14:paraId="500396D4" w14:textId="77777777" w:rsidTr="0070127D">
        <w:trPr>
          <w:trHeight w:val="20"/>
        </w:trPr>
        <w:tc>
          <w:tcPr>
            <w:tcW w:w="3500" w:type="dxa"/>
          </w:tcPr>
          <w:p w14:paraId="57B3F633" w14:textId="77777777" w:rsidR="00B95CB7" w:rsidRPr="00566CE6" w:rsidRDefault="00B95CB7" w:rsidP="00420B29">
            <w:pPr>
              <w:ind w:left="140"/>
            </w:pPr>
            <w:r w:rsidRPr="00642B2F">
              <w:rPr>
                <w:rFonts w:eastAsia="Times New Roman"/>
              </w:rPr>
              <w:t>Симптоматичен рецидивиращ ВТЕ*</w:t>
            </w:r>
          </w:p>
        </w:tc>
        <w:tc>
          <w:tcPr>
            <w:tcW w:w="4140" w:type="dxa"/>
          </w:tcPr>
          <w:p w14:paraId="2DF8E609" w14:textId="75C78153" w:rsidR="00B95CB7" w:rsidRDefault="00B95CB7" w:rsidP="00420B29">
            <w:pPr>
              <w:ind w:left="120"/>
              <w:rPr>
                <w:rFonts w:eastAsia="Times New Roman"/>
              </w:rPr>
            </w:pPr>
            <w:r>
              <w:rPr>
                <w:rFonts w:eastAsia="Times New Roman"/>
              </w:rPr>
              <w:t>50</w:t>
            </w:r>
            <w:r w:rsidRPr="00642B2F">
              <w:rPr>
                <w:rFonts w:eastAsia="Times New Roman"/>
              </w:rPr>
              <w:t xml:space="preserve"> </w:t>
            </w:r>
          </w:p>
          <w:p w14:paraId="409DA323" w14:textId="77777777" w:rsidR="00B95CB7" w:rsidRPr="00566CE6" w:rsidRDefault="00B95CB7" w:rsidP="00420B29">
            <w:r>
              <w:rPr>
                <w:rFonts w:eastAsia="Times New Roman"/>
                <w:lang w:val="bg-BG"/>
              </w:rPr>
              <w:t xml:space="preserve"> </w:t>
            </w:r>
            <w:r w:rsidRPr="00642B2F">
              <w:rPr>
                <w:rFonts w:eastAsia="Times New Roman"/>
              </w:rPr>
              <w:t>(2,1%)</w:t>
            </w:r>
          </w:p>
        </w:tc>
        <w:tc>
          <w:tcPr>
            <w:tcW w:w="2126" w:type="dxa"/>
          </w:tcPr>
          <w:p w14:paraId="7A885492" w14:textId="74574F58" w:rsidR="00B95CB7" w:rsidRDefault="00B81688" w:rsidP="00420B29">
            <w:pPr>
              <w:pStyle w:val="Default"/>
              <w:rPr>
                <w:sz w:val="22"/>
                <w:szCs w:val="22"/>
              </w:rPr>
            </w:pPr>
            <w:r>
              <w:rPr>
                <w:sz w:val="22"/>
                <w:szCs w:val="22"/>
              </w:rPr>
              <w:t xml:space="preserve">  </w:t>
            </w:r>
            <w:r w:rsidR="00B95CB7">
              <w:rPr>
                <w:sz w:val="22"/>
                <w:szCs w:val="22"/>
              </w:rPr>
              <w:t xml:space="preserve">44 </w:t>
            </w:r>
          </w:p>
          <w:p w14:paraId="5B216397" w14:textId="5B7E8E4F" w:rsidR="00B95CB7" w:rsidRDefault="00B81688" w:rsidP="00420B29">
            <w:pPr>
              <w:pStyle w:val="Default"/>
            </w:pPr>
            <w:r>
              <w:rPr>
                <w:sz w:val="22"/>
                <w:szCs w:val="22"/>
              </w:rPr>
              <w:t xml:space="preserve">  </w:t>
            </w:r>
            <w:r w:rsidR="00B95CB7">
              <w:rPr>
                <w:sz w:val="22"/>
                <w:szCs w:val="22"/>
              </w:rPr>
              <w:t xml:space="preserve">(1,8%) </w:t>
            </w:r>
          </w:p>
          <w:p w14:paraId="2AF6901E" w14:textId="77777777" w:rsidR="00B95CB7" w:rsidRPr="00566CE6" w:rsidRDefault="00B95CB7" w:rsidP="00420B29">
            <w:pPr>
              <w:ind w:left="120"/>
            </w:pPr>
          </w:p>
        </w:tc>
      </w:tr>
      <w:tr w:rsidR="00B95CB7" w:rsidRPr="00566CE6" w14:paraId="2B52A8FA" w14:textId="77777777" w:rsidTr="0070127D">
        <w:trPr>
          <w:trHeight w:val="20"/>
        </w:trPr>
        <w:tc>
          <w:tcPr>
            <w:tcW w:w="3500" w:type="dxa"/>
          </w:tcPr>
          <w:p w14:paraId="34BE2B3E" w14:textId="77777777" w:rsidR="00B95CB7" w:rsidRDefault="00B95CB7" w:rsidP="00420B29">
            <w:pPr>
              <w:ind w:left="140"/>
              <w:rPr>
                <w:rFonts w:eastAsia="Times New Roman"/>
              </w:rPr>
            </w:pPr>
            <w:r w:rsidRPr="00642B2F">
              <w:rPr>
                <w:rFonts w:eastAsia="Times New Roman"/>
              </w:rPr>
              <w:t xml:space="preserve">Симптоматичен </w:t>
            </w:r>
          </w:p>
          <w:p w14:paraId="7E8DB665" w14:textId="77777777" w:rsidR="00B95CB7" w:rsidRPr="00566CE6" w:rsidRDefault="00B95CB7" w:rsidP="00420B29">
            <w:pPr>
              <w:ind w:left="140"/>
            </w:pPr>
            <w:r w:rsidRPr="00642B2F">
              <w:rPr>
                <w:rFonts w:eastAsia="Times New Roman"/>
              </w:rPr>
              <w:t>рецидивиращ БЕ</w:t>
            </w:r>
          </w:p>
        </w:tc>
        <w:tc>
          <w:tcPr>
            <w:tcW w:w="4140" w:type="dxa"/>
          </w:tcPr>
          <w:p w14:paraId="1D9B4ED5" w14:textId="3F49BF60" w:rsidR="00B95CB7" w:rsidRDefault="00B81688" w:rsidP="00420B29">
            <w:pPr>
              <w:pStyle w:val="Default"/>
              <w:rPr>
                <w:sz w:val="22"/>
                <w:szCs w:val="22"/>
              </w:rPr>
            </w:pPr>
            <w:r>
              <w:rPr>
                <w:sz w:val="22"/>
                <w:szCs w:val="22"/>
              </w:rPr>
              <w:t xml:space="preserve">  </w:t>
            </w:r>
            <w:r w:rsidR="00B95CB7">
              <w:rPr>
                <w:sz w:val="22"/>
                <w:szCs w:val="22"/>
              </w:rPr>
              <w:t xml:space="preserve">23 </w:t>
            </w:r>
          </w:p>
          <w:p w14:paraId="6A2C0AE2" w14:textId="7D7ECEF8" w:rsidR="00B95CB7" w:rsidRDefault="00B81688" w:rsidP="00420B29">
            <w:pPr>
              <w:pStyle w:val="Default"/>
            </w:pPr>
            <w:r>
              <w:rPr>
                <w:sz w:val="22"/>
                <w:szCs w:val="22"/>
              </w:rPr>
              <w:t xml:space="preserve"> </w:t>
            </w:r>
            <w:r w:rsidR="00B95CB7">
              <w:rPr>
                <w:sz w:val="22"/>
                <w:szCs w:val="22"/>
              </w:rPr>
              <w:t xml:space="preserve">(1,0%) </w:t>
            </w:r>
          </w:p>
          <w:p w14:paraId="36AA6136" w14:textId="77777777" w:rsidR="00B95CB7" w:rsidRPr="00566CE6" w:rsidRDefault="00B95CB7" w:rsidP="00420B29">
            <w:pPr>
              <w:ind w:left="120"/>
            </w:pPr>
          </w:p>
        </w:tc>
        <w:tc>
          <w:tcPr>
            <w:tcW w:w="2126" w:type="dxa"/>
          </w:tcPr>
          <w:p w14:paraId="416017AE" w14:textId="767EF379" w:rsidR="00B95CB7" w:rsidRDefault="00B81688" w:rsidP="00420B29">
            <w:pPr>
              <w:pStyle w:val="Default"/>
              <w:rPr>
                <w:sz w:val="22"/>
                <w:szCs w:val="22"/>
              </w:rPr>
            </w:pPr>
            <w:r>
              <w:rPr>
                <w:sz w:val="22"/>
                <w:szCs w:val="22"/>
              </w:rPr>
              <w:t xml:space="preserve">  </w:t>
            </w:r>
            <w:r w:rsidR="00B95CB7">
              <w:rPr>
                <w:sz w:val="22"/>
                <w:szCs w:val="22"/>
              </w:rPr>
              <w:t>20</w:t>
            </w:r>
          </w:p>
          <w:p w14:paraId="1E79377E" w14:textId="475697C9" w:rsidR="00B95CB7" w:rsidRPr="00566CE6" w:rsidRDefault="00B95CB7" w:rsidP="00B95CB7">
            <w:pPr>
              <w:pStyle w:val="Default"/>
            </w:pPr>
            <w:r>
              <w:rPr>
                <w:sz w:val="22"/>
                <w:szCs w:val="22"/>
              </w:rPr>
              <w:t xml:space="preserve"> </w:t>
            </w:r>
            <w:r w:rsidR="00B81688">
              <w:rPr>
                <w:sz w:val="22"/>
                <w:szCs w:val="22"/>
              </w:rPr>
              <w:t xml:space="preserve"> </w:t>
            </w:r>
            <w:r>
              <w:rPr>
                <w:sz w:val="22"/>
                <w:szCs w:val="22"/>
              </w:rPr>
              <w:t xml:space="preserve">(0,8%) </w:t>
            </w:r>
          </w:p>
        </w:tc>
      </w:tr>
      <w:tr w:rsidR="00B95CB7" w:rsidRPr="00566CE6" w14:paraId="6E9DF11C" w14:textId="77777777" w:rsidTr="0070127D">
        <w:trPr>
          <w:trHeight w:val="20"/>
        </w:trPr>
        <w:tc>
          <w:tcPr>
            <w:tcW w:w="3500" w:type="dxa"/>
          </w:tcPr>
          <w:p w14:paraId="1D294E3F" w14:textId="77777777" w:rsidR="00B95CB7" w:rsidRDefault="00B95CB7" w:rsidP="00420B29">
            <w:pPr>
              <w:pStyle w:val="Default"/>
              <w:rPr>
                <w:sz w:val="22"/>
                <w:szCs w:val="22"/>
              </w:rPr>
            </w:pPr>
            <w:r>
              <w:rPr>
                <w:sz w:val="22"/>
                <w:szCs w:val="22"/>
              </w:rPr>
              <w:t xml:space="preserve">  Симптоматична </w:t>
            </w:r>
          </w:p>
          <w:p w14:paraId="54AB8F0B" w14:textId="77777777" w:rsidR="00B95CB7" w:rsidRDefault="00B95CB7" w:rsidP="00420B29">
            <w:pPr>
              <w:pStyle w:val="Default"/>
            </w:pPr>
            <w:r>
              <w:rPr>
                <w:sz w:val="22"/>
                <w:szCs w:val="22"/>
              </w:rPr>
              <w:t xml:space="preserve">  рецидивираща ДВТ </w:t>
            </w:r>
          </w:p>
          <w:p w14:paraId="549B6FC3" w14:textId="77777777" w:rsidR="00B95CB7" w:rsidRPr="00566CE6" w:rsidRDefault="00B95CB7" w:rsidP="00420B29">
            <w:pPr>
              <w:ind w:left="140"/>
            </w:pPr>
          </w:p>
        </w:tc>
        <w:tc>
          <w:tcPr>
            <w:tcW w:w="4140" w:type="dxa"/>
          </w:tcPr>
          <w:p w14:paraId="6A1B72B7" w14:textId="376F7956" w:rsidR="00B95CB7" w:rsidRDefault="00B81688" w:rsidP="00420B29">
            <w:pPr>
              <w:pStyle w:val="Default"/>
              <w:rPr>
                <w:sz w:val="22"/>
                <w:szCs w:val="22"/>
              </w:rPr>
            </w:pPr>
            <w:r>
              <w:rPr>
                <w:sz w:val="22"/>
                <w:szCs w:val="22"/>
              </w:rPr>
              <w:t xml:space="preserve">  </w:t>
            </w:r>
            <w:r w:rsidR="00B95CB7">
              <w:rPr>
                <w:sz w:val="22"/>
                <w:szCs w:val="22"/>
              </w:rPr>
              <w:t xml:space="preserve">18 </w:t>
            </w:r>
          </w:p>
          <w:p w14:paraId="3A0CBF61" w14:textId="62B40023" w:rsidR="00B95CB7" w:rsidRDefault="00B81688" w:rsidP="00420B29">
            <w:pPr>
              <w:pStyle w:val="Default"/>
            </w:pPr>
            <w:r>
              <w:rPr>
                <w:sz w:val="22"/>
                <w:szCs w:val="22"/>
              </w:rPr>
              <w:t xml:space="preserve">  </w:t>
            </w:r>
            <w:r w:rsidR="00B95CB7">
              <w:rPr>
                <w:sz w:val="22"/>
                <w:szCs w:val="22"/>
              </w:rPr>
              <w:t xml:space="preserve">(0,7%) </w:t>
            </w:r>
          </w:p>
          <w:p w14:paraId="1616D178" w14:textId="77777777" w:rsidR="00B95CB7" w:rsidRPr="00566CE6" w:rsidRDefault="00B95CB7" w:rsidP="00420B29">
            <w:pPr>
              <w:ind w:left="120"/>
            </w:pPr>
          </w:p>
        </w:tc>
        <w:tc>
          <w:tcPr>
            <w:tcW w:w="2126" w:type="dxa"/>
          </w:tcPr>
          <w:p w14:paraId="046EAB49" w14:textId="7B09AC4B" w:rsidR="00B95CB7" w:rsidRDefault="00B81688" w:rsidP="00420B29">
            <w:pPr>
              <w:pStyle w:val="Default"/>
              <w:rPr>
                <w:sz w:val="22"/>
                <w:szCs w:val="22"/>
              </w:rPr>
            </w:pPr>
            <w:r>
              <w:rPr>
                <w:sz w:val="22"/>
                <w:szCs w:val="22"/>
              </w:rPr>
              <w:t xml:space="preserve">  </w:t>
            </w:r>
            <w:r w:rsidR="00B95CB7">
              <w:rPr>
                <w:sz w:val="22"/>
                <w:szCs w:val="22"/>
              </w:rPr>
              <w:t xml:space="preserve">17 </w:t>
            </w:r>
          </w:p>
          <w:p w14:paraId="24ADB5F6" w14:textId="77E11C45" w:rsidR="00B95CB7" w:rsidRDefault="00B81688" w:rsidP="00420B29">
            <w:pPr>
              <w:pStyle w:val="Default"/>
            </w:pPr>
            <w:r>
              <w:rPr>
                <w:sz w:val="22"/>
                <w:szCs w:val="22"/>
              </w:rPr>
              <w:t xml:space="preserve">  </w:t>
            </w:r>
            <w:r w:rsidR="00B95CB7">
              <w:rPr>
                <w:sz w:val="22"/>
                <w:szCs w:val="22"/>
              </w:rPr>
              <w:t xml:space="preserve">(0,7%) </w:t>
            </w:r>
          </w:p>
          <w:p w14:paraId="372A58D0" w14:textId="77777777" w:rsidR="00B95CB7" w:rsidRPr="00566CE6" w:rsidRDefault="00B95CB7" w:rsidP="00420B29">
            <w:pPr>
              <w:ind w:left="120"/>
            </w:pPr>
          </w:p>
        </w:tc>
      </w:tr>
      <w:tr w:rsidR="00B81688" w:rsidRPr="00566CE6" w14:paraId="16DB6E88" w14:textId="77777777" w:rsidTr="0070127D">
        <w:trPr>
          <w:trHeight w:val="20"/>
        </w:trPr>
        <w:tc>
          <w:tcPr>
            <w:tcW w:w="3500" w:type="dxa"/>
          </w:tcPr>
          <w:p w14:paraId="13829691" w14:textId="5D9DD9AB" w:rsidR="00B81688" w:rsidRDefault="00B81688" w:rsidP="00B81688">
            <w:pPr>
              <w:pStyle w:val="Default"/>
            </w:pPr>
            <w:r>
              <w:rPr>
                <w:sz w:val="22"/>
                <w:szCs w:val="22"/>
              </w:rPr>
              <w:t xml:space="preserve">  Симптоматични БЕ и ДВТ </w:t>
            </w:r>
          </w:p>
          <w:p w14:paraId="026BEC95" w14:textId="1FD815DE" w:rsidR="00B81688" w:rsidRPr="00B81688" w:rsidRDefault="00B81688" w:rsidP="00420B29">
            <w:pPr>
              <w:ind w:left="140"/>
              <w:rPr>
                <w:rFonts w:eastAsia="Times New Roman"/>
                <w:lang w:val="bg-BG"/>
              </w:rPr>
            </w:pPr>
            <w:r>
              <w:rPr>
                <w:rFonts w:eastAsia="Times New Roman"/>
                <w:lang w:val="bg-BG"/>
              </w:rPr>
              <w:t xml:space="preserve"> </w:t>
            </w:r>
          </w:p>
        </w:tc>
        <w:tc>
          <w:tcPr>
            <w:tcW w:w="4140" w:type="dxa"/>
          </w:tcPr>
          <w:p w14:paraId="015FCB2D" w14:textId="39F4CC11" w:rsidR="00B81688" w:rsidRDefault="00B81688" w:rsidP="00420B29">
            <w:pPr>
              <w:pStyle w:val="Default"/>
              <w:rPr>
                <w:sz w:val="22"/>
                <w:szCs w:val="22"/>
              </w:rPr>
            </w:pPr>
            <w:r>
              <w:rPr>
                <w:sz w:val="22"/>
                <w:szCs w:val="22"/>
              </w:rPr>
              <w:t xml:space="preserve">  0</w:t>
            </w:r>
          </w:p>
        </w:tc>
        <w:tc>
          <w:tcPr>
            <w:tcW w:w="2126" w:type="dxa"/>
          </w:tcPr>
          <w:p w14:paraId="643E647D" w14:textId="515A27E2" w:rsidR="00B81688" w:rsidRDefault="00B81688" w:rsidP="00420B29">
            <w:pPr>
              <w:pStyle w:val="Default"/>
              <w:rPr>
                <w:sz w:val="22"/>
                <w:szCs w:val="22"/>
              </w:rPr>
            </w:pPr>
            <w:r>
              <w:rPr>
                <w:sz w:val="22"/>
                <w:szCs w:val="22"/>
              </w:rPr>
              <w:t xml:space="preserve">  2</w:t>
            </w:r>
          </w:p>
          <w:p w14:paraId="530235EC" w14:textId="386893DA" w:rsidR="00B81688" w:rsidRDefault="00B81688" w:rsidP="00420B29">
            <w:pPr>
              <w:pStyle w:val="Default"/>
              <w:rPr>
                <w:sz w:val="22"/>
                <w:szCs w:val="22"/>
              </w:rPr>
            </w:pPr>
            <w:r>
              <w:rPr>
                <w:sz w:val="22"/>
                <w:szCs w:val="22"/>
              </w:rPr>
              <w:t xml:space="preserve">  </w:t>
            </w:r>
            <w:r w:rsidRPr="00B81688">
              <w:rPr>
                <w:sz w:val="22"/>
                <w:szCs w:val="22"/>
              </w:rPr>
              <w:t>(&lt;0,1%)</w:t>
            </w:r>
          </w:p>
        </w:tc>
      </w:tr>
      <w:tr w:rsidR="00B95CB7" w:rsidRPr="00566CE6" w14:paraId="6E7ABEAC" w14:textId="77777777" w:rsidTr="0070127D">
        <w:trPr>
          <w:trHeight w:val="20"/>
        </w:trPr>
        <w:tc>
          <w:tcPr>
            <w:tcW w:w="3500" w:type="dxa"/>
          </w:tcPr>
          <w:p w14:paraId="3C37BF4D" w14:textId="77777777" w:rsidR="00B95CB7" w:rsidRPr="00566CE6" w:rsidRDefault="00B95CB7" w:rsidP="00420B29">
            <w:pPr>
              <w:ind w:left="140"/>
            </w:pPr>
            <w:r w:rsidRPr="00642B2F">
              <w:rPr>
                <w:rFonts w:eastAsia="Times New Roman"/>
              </w:rPr>
              <w:t>Летален БЕ/смърт, където БЕ не може да бъде изключен</w:t>
            </w:r>
          </w:p>
        </w:tc>
        <w:tc>
          <w:tcPr>
            <w:tcW w:w="4140" w:type="dxa"/>
          </w:tcPr>
          <w:p w14:paraId="41B2B7D4" w14:textId="0C74710F" w:rsidR="00B95CB7" w:rsidRDefault="00B81688" w:rsidP="00420B29">
            <w:pPr>
              <w:pStyle w:val="Default"/>
              <w:rPr>
                <w:sz w:val="22"/>
                <w:szCs w:val="22"/>
              </w:rPr>
            </w:pPr>
            <w:r>
              <w:rPr>
                <w:sz w:val="22"/>
                <w:szCs w:val="22"/>
              </w:rPr>
              <w:t xml:space="preserve">  </w:t>
            </w:r>
            <w:r w:rsidR="00B95CB7">
              <w:rPr>
                <w:sz w:val="22"/>
                <w:szCs w:val="22"/>
              </w:rPr>
              <w:t>11</w:t>
            </w:r>
          </w:p>
          <w:p w14:paraId="0043051B" w14:textId="21DA1277" w:rsidR="00B95CB7" w:rsidRDefault="00B81688" w:rsidP="00420B29">
            <w:pPr>
              <w:pStyle w:val="Default"/>
            </w:pPr>
            <w:r>
              <w:rPr>
                <w:sz w:val="22"/>
                <w:szCs w:val="22"/>
              </w:rPr>
              <w:t xml:space="preserve">  </w:t>
            </w:r>
            <w:r w:rsidR="00B95CB7">
              <w:rPr>
                <w:sz w:val="22"/>
                <w:szCs w:val="22"/>
              </w:rPr>
              <w:t xml:space="preserve">(0,5%) </w:t>
            </w:r>
          </w:p>
          <w:p w14:paraId="26277C0E" w14:textId="77777777" w:rsidR="00B95CB7" w:rsidRPr="00566CE6" w:rsidRDefault="00B95CB7" w:rsidP="00420B29">
            <w:pPr>
              <w:ind w:left="120"/>
            </w:pPr>
          </w:p>
        </w:tc>
        <w:tc>
          <w:tcPr>
            <w:tcW w:w="2126" w:type="dxa"/>
          </w:tcPr>
          <w:p w14:paraId="53CEF51C" w14:textId="6CB6671C" w:rsidR="00B95CB7" w:rsidRDefault="00B81688" w:rsidP="00420B29">
            <w:pPr>
              <w:pStyle w:val="Default"/>
              <w:rPr>
                <w:sz w:val="22"/>
                <w:szCs w:val="22"/>
              </w:rPr>
            </w:pPr>
            <w:r>
              <w:rPr>
                <w:sz w:val="22"/>
                <w:szCs w:val="22"/>
              </w:rPr>
              <w:t xml:space="preserve">  </w:t>
            </w:r>
            <w:r w:rsidR="00B95CB7">
              <w:rPr>
                <w:sz w:val="22"/>
                <w:szCs w:val="22"/>
              </w:rPr>
              <w:t xml:space="preserve">7 </w:t>
            </w:r>
          </w:p>
          <w:p w14:paraId="459E1B19" w14:textId="6391F7AF" w:rsidR="00B95CB7" w:rsidRDefault="00B81688" w:rsidP="00420B29">
            <w:pPr>
              <w:pStyle w:val="Default"/>
            </w:pPr>
            <w:r>
              <w:rPr>
                <w:sz w:val="22"/>
                <w:szCs w:val="22"/>
              </w:rPr>
              <w:t xml:space="preserve">  </w:t>
            </w:r>
            <w:r w:rsidR="00B95CB7">
              <w:rPr>
                <w:sz w:val="22"/>
                <w:szCs w:val="22"/>
              </w:rPr>
              <w:t xml:space="preserve">(0,3%) </w:t>
            </w:r>
          </w:p>
          <w:p w14:paraId="5D826572" w14:textId="77777777" w:rsidR="00B95CB7" w:rsidRPr="00566CE6" w:rsidRDefault="00B95CB7" w:rsidP="00420B29">
            <w:pPr>
              <w:ind w:left="120"/>
            </w:pPr>
          </w:p>
        </w:tc>
      </w:tr>
      <w:tr w:rsidR="00B95CB7" w:rsidRPr="00566CE6" w14:paraId="4FFA8405" w14:textId="77777777" w:rsidTr="0070127D">
        <w:trPr>
          <w:trHeight w:val="20"/>
        </w:trPr>
        <w:tc>
          <w:tcPr>
            <w:tcW w:w="3500" w:type="dxa"/>
          </w:tcPr>
          <w:p w14:paraId="75F1BAC7" w14:textId="77777777" w:rsidR="00B95CB7" w:rsidRPr="00566CE6" w:rsidRDefault="00B95CB7" w:rsidP="00420B29">
            <w:pPr>
              <w:ind w:left="140"/>
            </w:pPr>
            <w:r w:rsidRPr="00642B2F">
              <w:t>Голямо или клинично значимо неголямо кървене</w:t>
            </w:r>
          </w:p>
        </w:tc>
        <w:tc>
          <w:tcPr>
            <w:tcW w:w="4140" w:type="dxa"/>
          </w:tcPr>
          <w:p w14:paraId="55974C84" w14:textId="63367095" w:rsidR="00B95CB7" w:rsidRDefault="00B81688" w:rsidP="00420B29">
            <w:pPr>
              <w:pStyle w:val="Default"/>
              <w:rPr>
                <w:sz w:val="22"/>
                <w:szCs w:val="22"/>
              </w:rPr>
            </w:pPr>
            <w:r>
              <w:rPr>
                <w:sz w:val="22"/>
                <w:szCs w:val="22"/>
              </w:rPr>
              <w:t xml:space="preserve">  24</w:t>
            </w:r>
            <w:r w:rsidR="00B95CB7">
              <w:rPr>
                <w:sz w:val="22"/>
                <w:szCs w:val="22"/>
              </w:rPr>
              <w:t xml:space="preserve">9 </w:t>
            </w:r>
          </w:p>
          <w:p w14:paraId="285F5745" w14:textId="60DD364F" w:rsidR="00B95CB7" w:rsidRDefault="00B81688" w:rsidP="00420B29">
            <w:pPr>
              <w:pStyle w:val="Default"/>
            </w:pPr>
            <w:r>
              <w:rPr>
                <w:sz w:val="22"/>
                <w:szCs w:val="22"/>
              </w:rPr>
              <w:t xml:space="preserve">  (10</w:t>
            </w:r>
            <w:r w:rsidR="00B95CB7">
              <w:rPr>
                <w:sz w:val="22"/>
                <w:szCs w:val="22"/>
              </w:rPr>
              <w:t>,</w:t>
            </w:r>
            <w:r>
              <w:rPr>
                <w:sz w:val="22"/>
                <w:szCs w:val="22"/>
              </w:rPr>
              <w:t>3</w:t>
            </w:r>
            <w:r w:rsidR="00B95CB7">
              <w:rPr>
                <w:sz w:val="22"/>
                <w:szCs w:val="22"/>
              </w:rPr>
              <w:t xml:space="preserve">%) </w:t>
            </w:r>
          </w:p>
          <w:p w14:paraId="6CA3BA72" w14:textId="77777777" w:rsidR="00B95CB7" w:rsidRPr="00566CE6" w:rsidRDefault="00B95CB7" w:rsidP="00420B29">
            <w:pPr>
              <w:ind w:left="120"/>
            </w:pPr>
          </w:p>
        </w:tc>
        <w:tc>
          <w:tcPr>
            <w:tcW w:w="2126" w:type="dxa"/>
          </w:tcPr>
          <w:p w14:paraId="60349316" w14:textId="0A346C70" w:rsidR="00B95CB7" w:rsidRDefault="00B81688" w:rsidP="00420B29">
            <w:pPr>
              <w:pStyle w:val="Default"/>
              <w:rPr>
                <w:sz w:val="22"/>
                <w:szCs w:val="22"/>
              </w:rPr>
            </w:pPr>
            <w:r>
              <w:rPr>
                <w:sz w:val="22"/>
                <w:szCs w:val="22"/>
              </w:rPr>
              <w:t xml:space="preserve">  </w:t>
            </w:r>
            <w:r w:rsidR="00B95CB7">
              <w:rPr>
                <w:sz w:val="22"/>
                <w:szCs w:val="22"/>
              </w:rPr>
              <w:t xml:space="preserve">274 </w:t>
            </w:r>
          </w:p>
          <w:p w14:paraId="5BFB8D94" w14:textId="5290A5CB" w:rsidR="00B95CB7" w:rsidRDefault="00B81688" w:rsidP="00420B29">
            <w:pPr>
              <w:pStyle w:val="Default"/>
            </w:pPr>
            <w:r>
              <w:rPr>
                <w:sz w:val="22"/>
                <w:szCs w:val="22"/>
              </w:rPr>
              <w:t xml:space="preserve">  </w:t>
            </w:r>
            <w:r w:rsidR="00B95CB7">
              <w:rPr>
                <w:sz w:val="22"/>
                <w:szCs w:val="22"/>
              </w:rPr>
              <w:t xml:space="preserve">(11,4%) </w:t>
            </w:r>
          </w:p>
          <w:p w14:paraId="5C7357C2" w14:textId="77777777" w:rsidR="00B95CB7" w:rsidRPr="00566CE6" w:rsidRDefault="00B95CB7" w:rsidP="00420B29">
            <w:pPr>
              <w:ind w:left="120"/>
            </w:pPr>
          </w:p>
        </w:tc>
      </w:tr>
      <w:tr w:rsidR="00B95CB7" w:rsidRPr="00566CE6" w14:paraId="46FA9722" w14:textId="77777777" w:rsidTr="0070127D">
        <w:trPr>
          <w:trHeight w:val="20"/>
        </w:trPr>
        <w:tc>
          <w:tcPr>
            <w:tcW w:w="3500" w:type="dxa"/>
          </w:tcPr>
          <w:p w14:paraId="58A785C9" w14:textId="77777777" w:rsidR="00B95CB7" w:rsidRPr="00566CE6" w:rsidRDefault="00B95CB7" w:rsidP="00420B29">
            <w:pPr>
              <w:ind w:left="140"/>
            </w:pPr>
            <w:r w:rsidRPr="00642B2F">
              <w:rPr>
                <w:rFonts w:eastAsia="Times New Roman"/>
              </w:rPr>
              <w:t>Големи кръвоизливи</w:t>
            </w:r>
          </w:p>
        </w:tc>
        <w:tc>
          <w:tcPr>
            <w:tcW w:w="4140" w:type="dxa"/>
          </w:tcPr>
          <w:p w14:paraId="2DC46549" w14:textId="5A8F95AF" w:rsidR="00B95CB7" w:rsidRDefault="00B81688" w:rsidP="00420B29">
            <w:pPr>
              <w:pStyle w:val="Default"/>
              <w:rPr>
                <w:sz w:val="22"/>
                <w:szCs w:val="22"/>
              </w:rPr>
            </w:pPr>
            <w:r>
              <w:rPr>
                <w:sz w:val="22"/>
                <w:szCs w:val="22"/>
              </w:rPr>
              <w:t xml:space="preserve">  26</w:t>
            </w:r>
            <w:r w:rsidR="00B95CB7">
              <w:rPr>
                <w:sz w:val="22"/>
                <w:szCs w:val="22"/>
              </w:rPr>
              <w:t xml:space="preserve"> </w:t>
            </w:r>
          </w:p>
          <w:p w14:paraId="626E5F42" w14:textId="5BCEE2D7" w:rsidR="00B95CB7" w:rsidRDefault="00B81688" w:rsidP="00420B29">
            <w:pPr>
              <w:pStyle w:val="Default"/>
            </w:pPr>
            <w:r>
              <w:rPr>
                <w:sz w:val="22"/>
                <w:szCs w:val="22"/>
              </w:rPr>
              <w:t xml:space="preserve">  (1</w:t>
            </w:r>
            <w:r w:rsidR="00B95CB7">
              <w:rPr>
                <w:sz w:val="22"/>
                <w:szCs w:val="22"/>
              </w:rPr>
              <w:t>,</w:t>
            </w:r>
            <w:r>
              <w:rPr>
                <w:sz w:val="22"/>
                <w:szCs w:val="22"/>
              </w:rPr>
              <w:t>1</w:t>
            </w:r>
            <w:r w:rsidR="00B95CB7">
              <w:rPr>
                <w:sz w:val="22"/>
                <w:szCs w:val="22"/>
              </w:rPr>
              <w:t xml:space="preserve">%) </w:t>
            </w:r>
          </w:p>
          <w:p w14:paraId="3F495A97" w14:textId="77777777" w:rsidR="00B95CB7" w:rsidRPr="00566CE6" w:rsidRDefault="00B95CB7" w:rsidP="00420B29">
            <w:pPr>
              <w:ind w:left="120"/>
            </w:pPr>
          </w:p>
        </w:tc>
        <w:tc>
          <w:tcPr>
            <w:tcW w:w="2126" w:type="dxa"/>
          </w:tcPr>
          <w:p w14:paraId="7C25371B" w14:textId="54C1BC24" w:rsidR="00B95CB7" w:rsidRDefault="00B81688" w:rsidP="00420B29">
            <w:pPr>
              <w:pStyle w:val="Default"/>
              <w:rPr>
                <w:sz w:val="22"/>
                <w:szCs w:val="22"/>
              </w:rPr>
            </w:pPr>
            <w:r>
              <w:rPr>
                <w:sz w:val="22"/>
                <w:szCs w:val="22"/>
              </w:rPr>
              <w:lastRenderedPageBreak/>
              <w:t xml:space="preserve">  52</w:t>
            </w:r>
            <w:r w:rsidR="00B95CB7">
              <w:rPr>
                <w:sz w:val="22"/>
                <w:szCs w:val="22"/>
              </w:rPr>
              <w:t xml:space="preserve"> </w:t>
            </w:r>
          </w:p>
          <w:p w14:paraId="3AC0085C" w14:textId="75138C18" w:rsidR="00B95CB7" w:rsidRDefault="00B81688" w:rsidP="00420B29">
            <w:pPr>
              <w:pStyle w:val="Default"/>
            </w:pPr>
            <w:r>
              <w:rPr>
                <w:sz w:val="22"/>
                <w:szCs w:val="22"/>
              </w:rPr>
              <w:t xml:space="preserve">  (2</w:t>
            </w:r>
            <w:r w:rsidR="00B95CB7">
              <w:rPr>
                <w:sz w:val="22"/>
                <w:szCs w:val="22"/>
              </w:rPr>
              <w:t xml:space="preserve">,2%) </w:t>
            </w:r>
          </w:p>
          <w:p w14:paraId="740D8D82" w14:textId="77777777" w:rsidR="00B95CB7" w:rsidRPr="00566CE6" w:rsidRDefault="00B95CB7" w:rsidP="00420B29">
            <w:pPr>
              <w:ind w:left="120"/>
            </w:pPr>
          </w:p>
        </w:tc>
      </w:tr>
    </w:tbl>
    <w:p w14:paraId="1684C434" w14:textId="4F21BA29" w:rsidR="00B95CB7" w:rsidRPr="00566CE6" w:rsidRDefault="00B95CB7" w:rsidP="004114F8">
      <w:pPr>
        <w:numPr>
          <w:ilvl w:val="0"/>
          <w:numId w:val="17"/>
        </w:numPr>
        <w:tabs>
          <w:tab w:val="left" w:pos="680"/>
        </w:tabs>
        <w:ind w:left="680" w:hanging="540"/>
        <w:rPr>
          <w:rFonts w:eastAsia="Times New Roman"/>
        </w:rPr>
      </w:pPr>
      <w:r>
        <w:rPr>
          <w:rFonts w:eastAsia="Times New Roman"/>
          <w:lang w:val="bg-BG"/>
        </w:rPr>
        <w:lastRenderedPageBreak/>
        <w:t xml:space="preserve">Ривароксабан 15 </w:t>
      </w:r>
      <w:r>
        <w:rPr>
          <w:rFonts w:eastAsia="Times New Roman"/>
        </w:rPr>
        <w:t xml:space="preserve">mg </w:t>
      </w:r>
      <w:r>
        <w:rPr>
          <w:rFonts w:eastAsia="Times New Roman"/>
          <w:lang w:val="bg-BG"/>
        </w:rPr>
        <w:t xml:space="preserve">два пъти дневно за 3 седмици, последвано от </w:t>
      </w:r>
      <w:r>
        <w:rPr>
          <w:rFonts w:eastAsia="Times New Roman"/>
        </w:rPr>
        <w:t xml:space="preserve">20 mg </w:t>
      </w:r>
      <w:r>
        <w:rPr>
          <w:rFonts w:eastAsia="Times New Roman"/>
          <w:lang w:val="bg-BG"/>
        </w:rPr>
        <w:t>един път</w:t>
      </w:r>
      <w:r w:rsidR="00C77EFB">
        <w:rPr>
          <w:rFonts w:eastAsia="Times New Roman"/>
          <w:lang w:val="bg-BG"/>
        </w:rPr>
        <w:t xml:space="preserve"> дневно</w:t>
      </w:r>
      <w:r>
        <w:rPr>
          <w:rFonts w:eastAsia="Times New Roman"/>
          <w:lang w:val="bg-BG"/>
        </w:rPr>
        <w:t xml:space="preserve"> </w:t>
      </w:r>
    </w:p>
    <w:p w14:paraId="7E67B1FD" w14:textId="77777777" w:rsidR="00B95CB7" w:rsidRPr="00566CE6" w:rsidRDefault="00B95CB7" w:rsidP="004114F8">
      <w:pPr>
        <w:numPr>
          <w:ilvl w:val="0"/>
          <w:numId w:val="17"/>
        </w:numPr>
        <w:tabs>
          <w:tab w:val="left" w:pos="680"/>
        </w:tabs>
        <w:ind w:left="680" w:hanging="540"/>
        <w:rPr>
          <w:rFonts w:eastAsia="Times New Roman"/>
        </w:rPr>
      </w:pPr>
      <w:r>
        <w:rPr>
          <w:rFonts w:eastAsia="Times New Roman"/>
          <w:lang w:val="bg-BG"/>
        </w:rPr>
        <w:t>Еноксапарин за най-малко 5 дни, застъпен и последван от АВК</w:t>
      </w:r>
    </w:p>
    <w:p w14:paraId="41CD3369" w14:textId="6AD254F2" w:rsidR="00B95CB7" w:rsidRDefault="00C77EFB" w:rsidP="00C77EFB">
      <w:pPr>
        <w:ind w:left="680" w:hanging="640"/>
        <w:rPr>
          <w:rFonts w:eastAsia="Times New Roman"/>
          <w:lang w:val="bg-BG"/>
        </w:rPr>
      </w:pPr>
      <w:r>
        <w:rPr>
          <w:rFonts w:eastAsia="Times New Roman"/>
          <w:lang w:val="bg-BG"/>
        </w:rPr>
        <w:t xml:space="preserve">  *</w:t>
      </w:r>
      <w:r>
        <w:rPr>
          <w:rFonts w:eastAsia="Times New Roman"/>
          <w:lang w:val="bg-BG"/>
        </w:rPr>
        <w:tab/>
      </w:r>
      <w:r w:rsidR="00B95CB7">
        <w:rPr>
          <w:rFonts w:eastAsia="Times New Roman"/>
          <w:lang w:val="bg-BG"/>
        </w:rPr>
        <w:t>р &lt;</w:t>
      </w:r>
      <w:r>
        <w:rPr>
          <w:rFonts w:eastAsia="Times New Roman"/>
          <w:lang w:val="bg-BG"/>
        </w:rPr>
        <w:t>0,0026</w:t>
      </w:r>
      <w:r w:rsidR="00B95CB7">
        <w:rPr>
          <w:rFonts w:eastAsia="Times New Roman"/>
          <w:lang w:val="bg-BG"/>
        </w:rPr>
        <w:t xml:space="preserve"> ( не по-малка ефикасност по отношение на предварително определе</w:t>
      </w:r>
      <w:r w:rsidR="0070127D">
        <w:rPr>
          <w:rFonts w:eastAsia="Times New Roman"/>
          <w:lang w:val="bg-BG"/>
        </w:rPr>
        <w:t>н</w:t>
      </w:r>
      <w:r w:rsidR="00B95CB7">
        <w:rPr>
          <w:rFonts w:eastAsia="Times New Roman"/>
          <w:lang w:val="bg-BG"/>
        </w:rPr>
        <w:t xml:space="preserve"> </w:t>
      </w:r>
      <w:r w:rsidR="00B95CB7">
        <w:rPr>
          <w:rFonts w:eastAsia="Times New Roman"/>
        </w:rPr>
        <w:t xml:space="preserve">HR </w:t>
      </w:r>
      <w:r w:rsidR="00B95CB7">
        <w:rPr>
          <w:rFonts w:eastAsia="Times New Roman"/>
          <w:lang w:val="bg-BG"/>
        </w:rPr>
        <w:t xml:space="preserve">2,0); </w:t>
      </w:r>
      <w:r w:rsidR="00B95CB7">
        <w:rPr>
          <w:rFonts w:eastAsia="Times New Roman"/>
        </w:rPr>
        <w:t>HR</w:t>
      </w:r>
      <w:r w:rsidR="00B95CB7">
        <w:rPr>
          <w:rFonts w:eastAsia="Times New Roman"/>
          <w:lang w:val="bg-BG"/>
        </w:rPr>
        <w:t xml:space="preserve">: </w:t>
      </w:r>
      <w:r>
        <w:rPr>
          <w:rFonts w:eastAsia="Times New Roman"/>
          <w:lang w:val="bg-BG"/>
        </w:rPr>
        <w:t>1,123</w:t>
      </w:r>
      <w:r w:rsidR="00B95CB7">
        <w:rPr>
          <w:rFonts w:eastAsia="Times New Roman"/>
          <w:lang w:val="bg-BG"/>
        </w:rPr>
        <w:t xml:space="preserve"> (0,</w:t>
      </w:r>
      <w:r>
        <w:rPr>
          <w:rFonts w:eastAsia="Times New Roman"/>
          <w:lang w:val="bg-BG"/>
        </w:rPr>
        <w:t>749</w:t>
      </w:r>
      <w:r w:rsidR="00B95CB7">
        <w:rPr>
          <w:rFonts w:eastAsia="Times New Roman"/>
          <w:lang w:val="bg-BG"/>
        </w:rPr>
        <w:t xml:space="preserve"> – 1,</w:t>
      </w:r>
      <w:r>
        <w:rPr>
          <w:rFonts w:eastAsia="Times New Roman"/>
          <w:lang w:val="bg-BG"/>
        </w:rPr>
        <w:t>684</w:t>
      </w:r>
      <w:r w:rsidR="00B95CB7">
        <w:rPr>
          <w:rFonts w:eastAsia="Times New Roman"/>
          <w:lang w:val="bg-BG"/>
        </w:rPr>
        <w:t>)</w:t>
      </w:r>
    </w:p>
    <w:p w14:paraId="7DA61F9D" w14:textId="012651CA" w:rsidR="00A16AF0" w:rsidRDefault="00A16AF0" w:rsidP="00C77EFB">
      <w:pPr>
        <w:ind w:left="680" w:hanging="640"/>
        <w:rPr>
          <w:rFonts w:eastAsia="Times New Roman"/>
          <w:lang w:val="bg-BG"/>
        </w:rPr>
      </w:pPr>
    </w:p>
    <w:p w14:paraId="61467C17" w14:textId="6B483D39" w:rsidR="00A16AF0" w:rsidRDefault="00A16AF0" w:rsidP="00A16AF0">
      <w:pPr>
        <w:tabs>
          <w:tab w:val="left" w:pos="680"/>
        </w:tabs>
      </w:pPr>
      <w:r>
        <w:t xml:space="preserve">Проведен е предварително дефиниран обобщен анализ на резултата от проучванията </w:t>
      </w:r>
      <w:r w:rsidR="00C125AE">
        <w:t>Einstein DVT и PE (вж. Таблица 8</w:t>
      </w:r>
      <w:r>
        <w:t>).</w:t>
      </w:r>
    </w:p>
    <w:p w14:paraId="052A747C" w14:textId="77777777" w:rsidR="00A16AF0" w:rsidRDefault="00A16AF0" w:rsidP="00A16AF0">
      <w:pPr>
        <w:tabs>
          <w:tab w:val="left" w:pos="680"/>
        </w:tabs>
        <w:rPr>
          <w:b/>
          <w:bCs/>
        </w:rPr>
      </w:pPr>
    </w:p>
    <w:p w14:paraId="55400C1E" w14:textId="5F6DFFC9" w:rsidR="00A16AF0" w:rsidRPr="00A75581" w:rsidRDefault="00004FF2" w:rsidP="00A16AF0">
      <w:pPr>
        <w:tabs>
          <w:tab w:val="left" w:pos="680"/>
        </w:tabs>
      </w:pPr>
      <w:r>
        <w:rPr>
          <w:b/>
          <w:bCs/>
        </w:rPr>
        <w:t>Таблица 8</w:t>
      </w:r>
      <w:r w:rsidR="00A16AF0">
        <w:rPr>
          <w:b/>
          <w:bCs/>
        </w:rPr>
        <w:t>: Резултати за ефикасност и безопасност от сборен анализ на фаза III Einstein DVT и PE</w:t>
      </w:r>
    </w:p>
    <w:tbl>
      <w:tblPr>
        <w:tblW w:w="9781" w:type="dxa"/>
        <w:tblInd w:w="10" w:type="dxa"/>
        <w:tblLayout w:type="fixed"/>
        <w:tblCellMar>
          <w:left w:w="0" w:type="dxa"/>
          <w:right w:w="0" w:type="dxa"/>
        </w:tblCellMar>
        <w:tblLook w:val="04A0" w:firstRow="1" w:lastRow="0" w:firstColumn="1" w:lastColumn="0" w:noHBand="0" w:noVBand="1"/>
      </w:tblPr>
      <w:tblGrid>
        <w:gridCol w:w="3549"/>
        <w:gridCol w:w="2651"/>
        <w:gridCol w:w="3126"/>
        <w:gridCol w:w="10"/>
        <w:gridCol w:w="435"/>
        <w:gridCol w:w="10"/>
      </w:tblGrid>
      <w:tr w:rsidR="00A16AF0" w:rsidRPr="00A75581" w14:paraId="554D7432" w14:textId="77777777" w:rsidTr="00B92DFB">
        <w:trPr>
          <w:gridAfter w:val="1"/>
          <w:wAfter w:w="10" w:type="dxa"/>
          <w:trHeight w:val="253"/>
        </w:trPr>
        <w:tc>
          <w:tcPr>
            <w:tcW w:w="3549" w:type="dxa"/>
            <w:tcBorders>
              <w:top w:val="single" w:sz="8" w:space="0" w:color="auto"/>
              <w:left w:val="single" w:sz="8" w:space="0" w:color="auto"/>
              <w:bottom w:val="single" w:sz="4" w:space="0" w:color="auto"/>
              <w:right w:val="single" w:sz="8" w:space="0" w:color="auto"/>
            </w:tcBorders>
            <w:vAlign w:val="center"/>
          </w:tcPr>
          <w:p w14:paraId="151DB21E" w14:textId="5338956A" w:rsidR="00A16AF0" w:rsidRPr="00A75581" w:rsidRDefault="00A16AF0" w:rsidP="00420B29">
            <w:pPr>
              <w:ind w:left="100"/>
            </w:pPr>
            <w:r w:rsidRPr="00A16AF0">
              <w:rPr>
                <w:rFonts w:eastAsia="Times New Roman"/>
                <w:b/>
                <w:bCs/>
              </w:rPr>
              <w:t>Проучвана популация</w:t>
            </w:r>
          </w:p>
        </w:tc>
        <w:tc>
          <w:tcPr>
            <w:tcW w:w="5787" w:type="dxa"/>
            <w:gridSpan w:val="3"/>
            <w:tcBorders>
              <w:top w:val="single" w:sz="8" w:space="0" w:color="auto"/>
              <w:bottom w:val="single" w:sz="4" w:space="0" w:color="auto"/>
              <w:right w:val="single" w:sz="8" w:space="0" w:color="auto"/>
            </w:tcBorders>
            <w:vAlign w:val="center"/>
          </w:tcPr>
          <w:p w14:paraId="2F46ECDC" w14:textId="1707FACC" w:rsidR="00A16AF0" w:rsidRPr="00A75581" w:rsidRDefault="00A16AF0" w:rsidP="00420B29">
            <w:pPr>
              <w:ind w:left="100"/>
            </w:pPr>
            <w:r w:rsidRPr="00A16AF0">
              <w:rPr>
                <w:rFonts w:eastAsia="Times New Roman"/>
                <w:b/>
                <w:bCs/>
              </w:rPr>
              <w:t>8 281 пациенти с остри симптоматични ДВТ или БЕ</w:t>
            </w:r>
          </w:p>
        </w:tc>
        <w:tc>
          <w:tcPr>
            <w:tcW w:w="435" w:type="dxa"/>
            <w:vAlign w:val="bottom"/>
          </w:tcPr>
          <w:p w14:paraId="4EF98418" w14:textId="77777777" w:rsidR="00A16AF0" w:rsidRPr="00A75581" w:rsidRDefault="00A16AF0" w:rsidP="00420B29"/>
        </w:tc>
      </w:tr>
      <w:tr w:rsidR="00A16AF0" w:rsidRPr="00A75581" w14:paraId="7276AF06" w14:textId="77777777" w:rsidTr="00B92DFB">
        <w:trPr>
          <w:trHeight w:val="20"/>
        </w:trPr>
        <w:tc>
          <w:tcPr>
            <w:tcW w:w="3549" w:type="dxa"/>
            <w:tcBorders>
              <w:top w:val="single" w:sz="4" w:space="0" w:color="auto"/>
              <w:left w:val="single" w:sz="4" w:space="0" w:color="auto"/>
              <w:bottom w:val="single" w:sz="4" w:space="0" w:color="auto"/>
              <w:right w:val="single" w:sz="4" w:space="0" w:color="auto"/>
            </w:tcBorders>
            <w:vAlign w:val="center"/>
          </w:tcPr>
          <w:p w14:paraId="176F7616" w14:textId="05250DC8" w:rsidR="00A16AF0" w:rsidRPr="00A75581" w:rsidRDefault="002A77AE" w:rsidP="00420B29">
            <w:pPr>
              <w:ind w:left="100"/>
            </w:pPr>
            <w:r w:rsidRPr="002A77AE">
              <w:rPr>
                <w:rFonts w:eastAsia="Times New Roman"/>
                <w:b/>
                <w:bCs/>
              </w:rPr>
              <w:t>Доза и продължителност на лечението</w:t>
            </w:r>
          </w:p>
        </w:tc>
        <w:tc>
          <w:tcPr>
            <w:tcW w:w="2651" w:type="dxa"/>
            <w:tcBorders>
              <w:top w:val="single" w:sz="4" w:space="0" w:color="auto"/>
              <w:left w:val="single" w:sz="4" w:space="0" w:color="auto"/>
              <w:bottom w:val="single" w:sz="4" w:space="0" w:color="auto"/>
              <w:right w:val="single" w:sz="4" w:space="0" w:color="auto"/>
            </w:tcBorders>
            <w:vAlign w:val="center"/>
          </w:tcPr>
          <w:p w14:paraId="2A11EE41" w14:textId="7D8C7A33" w:rsidR="00A16AF0" w:rsidRPr="00A75581" w:rsidRDefault="002A77AE" w:rsidP="00420B29">
            <w:pPr>
              <w:ind w:left="100"/>
            </w:pPr>
            <w:r>
              <w:rPr>
                <w:rFonts w:eastAsia="Times New Roman"/>
                <w:b/>
                <w:bCs/>
              </w:rPr>
              <w:t xml:space="preserve">Ривароксабан </w:t>
            </w:r>
            <w:r w:rsidR="00A16AF0" w:rsidRPr="00A75581">
              <w:rPr>
                <w:rFonts w:eastAsia="Times New Roman"/>
                <w:b/>
                <w:bCs/>
                <w:vertAlign w:val="superscript"/>
              </w:rPr>
              <w:t>a)</w:t>
            </w:r>
          </w:p>
          <w:p w14:paraId="0CEDF94D" w14:textId="64DF7F04" w:rsidR="00A16AF0" w:rsidRPr="00A75581" w:rsidRDefault="002A77AE" w:rsidP="00420B29">
            <w:pPr>
              <w:ind w:left="100"/>
            </w:pPr>
            <w:r>
              <w:rPr>
                <w:rFonts w:eastAsia="Times New Roman"/>
                <w:b/>
                <w:bCs/>
              </w:rPr>
              <w:t>3, 6 или 12месеца</w:t>
            </w:r>
          </w:p>
          <w:p w14:paraId="2081AF9A" w14:textId="77777777" w:rsidR="00A16AF0" w:rsidRPr="00A75581" w:rsidRDefault="00A16AF0" w:rsidP="00420B29">
            <w:pPr>
              <w:ind w:left="100"/>
            </w:pPr>
            <w:r w:rsidRPr="00A75581">
              <w:rPr>
                <w:rFonts w:eastAsia="Times New Roman"/>
                <w:b/>
                <w:bCs/>
              </w:rPr>
              <w:t>N=4,150</w:t>
            </w:r>
          </w:p>
        </w:tc>
        <w:tc>
          <w:tcPr>
            <w:tcW w:w="3126" w:type="dxa"/>
            <w:tcBorders>
              <w:top w:val="single" w:sz="4" w:space="0" w:color="auto"/>
              <w:left w:val="single" w:sz="4" w:space="0" w:color="auto"/>
              <w:bottom w:val="single" w:sz="4" w:space="0" w:color="auto"/>
              <w:right w:val="single" w:sz="4" w:space="0" w:color="auto"/>
            </w:tcBorders>
            <w:vAlign w:val="center"/>
          </w:tcPr>
          <w:p w14:paraId="2A3A7C5D" w14:textId="79789655" w:rsidR="00A16AF0" w:rsidRPr="00A75581" w:rsidRDefault="002A77AE" w:rsidP="00420B29">
            <w:pPr>
              <w:ind w:left="80"/>
            </w:pPr>
            <w:r>
              <w:rPr>
                <w:rFonts w:eastAsia="Times New Roman"/>
                <w:b/>
                <w:bCs/>
              </w:rPr>
              <w:t xml:space="preserve">Еноксапарин/АВК </w:t>
            </w:r>
            <w:r w:rsidR="00A16AF0" w:rsidRPr="00A75581">
              <w:rPr>
                <w:rFonts w:eastAsia="Times New Roman"/>
                <w:b/>
                <w:bCs/>
                <w:vertAlign w:val="superscript"/>
              </w:rPr>
              <w:t>b)</w:t>
            </w:r>
          </w:p>
          <w:p w14:paraId="20C1D853" w14:textId="4ABEDC34" w:rsidR="00A16AF0" w:rsidRPr="00A75581" w:rsidRDefault="002A77AE" w:rsidP="00420B29">
            <w:pPr>
              <w:ind w:left="80"/>
            </w:pPr>
            <w:r>
              <w:rPr>
                <w:rFonts w:eastAsia="Times New Roman"/>
                <w:b/>
                <w:bCs/>
              </w:rPr>
              <w:t>3, 6 или 12 месеца</w:t>
            </w:r>
          </w:p>
          <w:p w14:paraId="4794A824" w14:textId="77777777" w:rsidR="00A16AF0" w:rsidRPr="00A75581" w:rsidRDefault="00A16AF0" w:rsidP="00420B29">
            <w:pPr>
              <w:ind w:left="80"/>
            </w:pPr>
            <w:r w:rsidRPr="00A75581">
              <w:rPr>
                <w:rFonts w:eastAsia="Times New Roman"/>
                <w:b/>
                <w:bCs/>
              </w:rPr>
              <w:t>N=4,131</w:t>
            </w:r>
          </w:p>
        </w:tc>
        <w:tc>
          <w:tcPr>
            <w:tcW w:w="455" w:type="dxa"/>
            <w:gridSpan w:val="3"/>
            <w:vMerge w:val="restart"/>
            <w:tcBorders>
              <w:left w:val="single" w:sz="4" w:space="0" w:color="auto"/>
            </w:tcBorders>
            <w:vAlign w:val="bottom"/>
          </w:tcPr>
          <w:p w14:paraId="2D034B90" w14:textId="77777777" w:rsidR="00A16AF0" w:rsidRPr="00A75581" w:rsidRDefault="00A16AF0" w:rsidP="00420B29"/>
        </w:tc>
      </w:tr>
      <w:tr w:rsidR="00A16AF0" w:rsidRPr="00A75581" w14:paraId="4C899097" w14:textId="77777777" w:rsidTr="00B92DFB">
        <w:trPr>
          <w:trHeight w:val="20"/>
        </w:trPr>
        <w:tc>
          <w:tcPr>
            <w:tcW w:w="3549" w:type="dxa"/>
            <w:tcBorders>
              <w:top w:val="single" w:sz="4" w:space="0" w:color="auto"/>
              <w:left w:val="single" w:sz="4" w:space="0" w:color="auto"/>
              <w:bottom w:val="single" w:sz="4" w:space="0" w:color="auto"/>
              <w:right w:val="single" w:sz="4" w:space="0" w:color="auto"/>
            </w:tcBorders>
            <w:vAlign w:val="center"/>
          </w:tcPr>
          <w:p w14:paraId="4E255F9B" w14:textId="7182438A" w:rsidR="00A16AF0" w:rsidRPr="00A75581" w:rsidRDefault="002A77AE" w:rsidP="00420B29">
            <w:pPr>
              <w:ind w:left="100"/>
            </w:pPr>
            <w:r w:rsidRPr="002A77AE">
              <w:rPr>
                <w:rFonts w:eastAsia="Times New Roman"/>
              </w:rPr>
              <w:t>Симптоматичен рецидивиращ ВТЕ*</w:t>
            </w:r>
          </w:p>
        </w:tc>
        <w:tc>
          <w:tcPr>
            <w:tcW w:w="2651" w:type="dxa"/>
            <w:tcBorders>
              <w:top w:val="single" w:sz="4" w:space="0" w:color="auto"/>
              <w:left w:val="single" w:sz="4" w:space="0" w:color="auto"/>
              <w:bottom w:val="single" w:sz="4" w:space="0" w:color="auto"/>
              <w:right w:val="single" w:sz="4" w:space="0" w:color="auto"/>
            </w:tcBorders>
            <w:vAlign w:val="center"/>
          </w:tcPr>
          <w:p w14:paraId="0AD1A2D7" w14:textId="77777777" w:rsidR="00A16AF0" w:rsidRPr="00A75581" w:rsidRDefault="00A16AF0" w:rsidP="00420B29">
            <w:pPr>
              <w:ind w:left="100"/>
            </w:pPr>
            <w:r w:rsidRPr="00A75581">
              <w:rPr>
                <w:rFonts w:eastAsia="Times New Roman"/>
              </w:rPr>
              <w:t>86</w:t>
            </w:r>
          </w:p>
          <w:p w14:paraId="2760CA4E" w14:textId="4F658206" w:rsidR="00A16AF0" w:rsidRPr="00A75581" w:rsidRDefault="00EE717D" w:rsidP="00420B29">
            <w:pPr>
              <w:ind w:left="100"/>
            </w:pPr>
            <w:r>
              <w:rPr>
                <w:rFonts w:eastAsia="Times New Roman"/>
              </w:rPr>
              <w:t>(2,</w:t>
            </w:r>
            <w:r w:rsidR="00A16AF0" w:rsidRPr="00A75581">
              <w:rPr>
                <w:rFonts w:eastAsia="Times New Roman"/>
              </w:rPr>
              <w:t>1%)</w:t>
            </w:r>
          </w:p>
        </w:tc>
        <w:tc>
          <w:tcPr>
            <w:tcW w:w="3126" w:type="dxa"/>
            <w:tcBorders>
              <w:top w:val="single" w:sz="4" w:space="0" w:color="auto"/>
              <w:left w:val="single" w:sz="4" w:space="0" w:color="auto"/>
              <w:bottom w:val="single" w:sz="4" w:space="0" w:color="auto"/>
              <w:right w:val="single" w:sz="4" w:space="0" w:color="auto"/>
            </w:tcBorders>
            <w:vAlign w:val="center"/>
          </w:tcPr>
          <w:p w14:paraId="473DCEA7" w14:textId="77777777" w:rsidR="00A16AF0" w:rsidRPr="00A75581" w:rsidRDefault="00A16AF0" w:rsidP="00420B29">
            <w:pPr>
              <w:ind w:left="80"/>
            </w:pPr>
            <w:r w:rsidRPr="00A75581">
              <w:rPr>
                <w:rFonts w:eastAsia="Times New Roman"/>
              </w:rPr>
              <w:t>95</w:t>
            </w:r>
          </w:p>
          <w:p w14:paraId="292DBEFA" w14:textId="3D849501" w:rsidR="00A16AF0" w:rsidRPr="00A75581" w:rsidRDefault="00A16AF0" w:rsidP="00EE717D">
            <w:pPr>
              <w:ind w:left="80"/>
            </w:pPr>
            <w:r w:rsidRPr="00A75581">
              <w:rPr>
                <w:rFonts w:eastAsia="Times New Roman"/>
              </w:rPr>
              <w:t>(2</w:t>
            </w:r>
            <w:r w:rsidR="00EE717D">
              <w:rPr>
                <w:rFonts w:eastAsia="Times New Roman"/>
              </w:rPr>
              <w:t>,</w:t>
            </w:r>
            <w:r w:rsidRPr="00A75581">
              <w:rPr>
                <w:rFonts w:eastAsia="Times New Roman"/>
              </w:rPr>
              <w:t>3%)</w:t>
            </w:r>
          </w:p>
        </w:tc>
        <w:tc>
          <w:tcPr>
            <w:tcW w:w="455" w:type="dxa"/>
            <w:gridSpan w:val="3"/>
            <w:vMerge/>
            <w:tcBorders>
              <w:left w:val="single" w:sz="4" w:space="0" w:color="auto"/>
            </w:tcBorders>
            <w:vAlign w:val="bottom"/>
          </w:tcPr>
          <w:p w14:paraId="5B043C49" w14:textId="77777777" w:rsidR="00A16AF0" w:rsidRPr="00A75581" w:rsidRDefault="00A16AF0" w:rsidP="00420B29"/>
        </w:tc>
      </w:tr>
      <w:tr w:rsidR="00A16AF0" w:rsidRPr="00A75581" w14:paraId="6CE8E3DF" w14:textId="77777777" w:rsidTr="00B92DFB">
        <w:trPr>
          <w:trHeight w:val="20"/>
        </w:trPr>
        <w:tc>
          <w:tcPr>
            <w:tcW w:w="3549" w:type="dxa"/>
            <w:tcBorders>
              <w:top w:val="single" w:sz="4" w:space="0" w:color="auto"/>
              <w:left w:val="single" w:sz="4" w:space="0" w:color="auto"/>
              <w:bottom w:val="single" w:sz="4" w:space="0" w:color="auto"/>
              <w:right w:val="single" w:sz="4" w:space="0" w:color="auto"/>
            </w:tcBorders>
            <w:vAlign w:val="center"/>
          </w:tcPr>
          <w:p w14:paraId="7EC0C45B" w14:textId="77777777" w:rsidR="002A77AE" w:rsidRDefault="002A77AE" w:rsidP="00420B29">
            <w:pPr>
              <w:ind w:left="680"/>
              <w:rPr>
                <w:rFonts w:eastAsia="Times New Roman"/>
              </w:rPr>
            </w:pPr>
            <w:r w:rsidRPr="002A77AE">
              <w:rPr>
                <w:rFonts w:eastAsia="Times New Roman"/>
              </w:rPr>
              <w:t xml:space="preserve">Симптоматичен </w:t>
            </w:r>
          </w:p>
          <w:p w14:paraId="547CC30D" w14:textId="0E3E1538" w:rsidR="00A16AF0" w:rsidRPr="00A75581" w:rsidRDefault="002A77AE" w:rsidP="00420B29">
            <w:pPr>
              <w:ind w:left="680"/>
            </w:pPr>
            <w:r w:rsidRPr="002A77AE">
              <w:rPr>
                <w:rFonts w:eastAsia="Times New Roman"/>
              </w:rPr>
              <w:t>рецидивиращ БЕ</w:t>
            </w:r>
          </w:p>
        </w:tc>
        <w:tc>
          <w:tcPr>
            <w:tcW w:w="2651" w:type="dxa"/>
            <w:tcBorders>
              <w:top w:val="single" w:sz="4" w:space="0" w:color="auto"/>
              <w:left w:val="single" w:sz="4" w:space="0" w:color="auto"/>
              <w:bottom w:val="single" w:sz="4" w:space="0" w:color="auto"/>
              <w:right w:val="single" w:sz="4" w:space="0" w:color="auto"/>
            </w:tcBorders>
            <w:vAlign w:val="center"/>
          </w:tcPr>
          <w:p w14:paraId="5153AD87" w14:textId="77777777" w:rsidR="00A16AF0" w:rsidRPr="00A75581" w:rsidRDefault="00A16AF0" w:rsidP="00420B29">
            <w:pPr>
              <w:ind w:left="100"/>
            </w:pPr>
            <w:r w:rsidRPr="00A75581">
              <w:rPr>
                <w:rFonts w:eastAsia="Times New Roman"/>
              </w:rPr>
              <w:t>43</w:t>
            </w:r>
          </w:p>
          <w:p w14:paraId="1234EBCA" w14:textId="56B747F0" w:rsidR="00A16AF0" w:rsidRPr="00A75581" w:rsidRDefault="00EE717D" w:rsidP="00420B29">
            <w:pPr>
              <w:ind w:left="100"/>
            </w:pPr>
            <w:r>
              <w:rPr>
                <w:rFonts w:eastAsia="Times New Roman"/>
              </w:rPr>
              <w:t>(1,</w:t>
            </w:r>
            <w:r w:rsidR="00A16AF0" w:rsidRPr="00A75581">
              <w:rPr>
                <w:rFonts w:eastAsia="Times New Roman"/>
              </w:rPr>
              <w:t>0%)</w:t>
            </w:r>
          </w:p>
        </w:tc>
        <w:tc>
          <w:tcPr>
            <w:tcW w:w="3126" w:type="dxa"/>
            <w:tcBorders>
              <w:top w:val="single" w:sz="4" w:space="0" w:color="auto"/>
              <w:left w:val="single" w:sz="4" w:space="0" w:color="auto"/>
              <w:bottom w:val="single" w:sz="4" w:space="0" w:color="auto"/>
              <w:right w:val="single" w:sz="4" w:space="0" w:color="auto"/>
            </w:tcBorders>
            <w:vAlign w:val="center"/>
          </w:tcPr>
          <w:p w14:paraId="13464C66" w14:textId="77777777" w:rsidR="00A16AF0" w:rsidRPr="00A75581" w:rsidRDefault="00A16AF0" w:rsidP="00420B29">
            <w:pPr>
              <w:ind w:left="80"/>
            </w:pPr>
            <w:r w:rsidRPr="00A75581">
              <w:rPr>
                <w:rFonts w:eastAsia="Times New Roman"/>
              </w:rPr>
              <w:t>38</w:t>
            </w:r>
          </w:p>
          <w:p w14:paraId="0AED9862" w14:textId="68565A9E" w:rsidR="00A16AF0" w:rsidRPr="00A75581" w:rsidRDefault="00EE717D" w:rsidP="00420B29">
            <w:pPr>
              <w:ind w:left="80"/>
            </w:pPr>
            <w:r>
              <w:rPr>
                <w:rFonts w:eastAsia="Times New Roman"/>
              </w:rPr>
              <w:t>(0,</w:t>
            </w:r>
            <w:r w:rsidR="00A16AF0" w:rsidRPr="00A75581">
              <w:rPr>
                <w:rFonts w:eastAsia="Times New Roman"/>
              </w:rPr>
              <w:t>9%)</w:t>
            </w:r>
          </w:p>
        </w:tc>
        <w:tc>
          <w:tcPr>
            <w:tcW w:w="455" w:type="dxa"/>
            <w:gridSpan w:val="3"/>
            <w:vMerge/>
            <w:tcBorders>
              <w:left w:val="single" w:sz="4" w:space="0" w:color="auto"/>
            </w:tcBorders>
            <w:vAlign w:val="bottom"/>
          </w:tcPr>
          <w:p w14:paraId="57FBAB56" w14:textId="77777777" w:rsidR="00A16AF0" w:rsidRPr="00A75581" w:rsidRDefault="00A16AF0" w:rsidP="00420B29"/>
        </w:tc>
      </w:tr>
      <w:tr w:rsidR="00A16AF0" w:rsidRPr="00A75581" w14:paraId="1B9F7BF2" w14:textId="77777777" w:rsidTr="00B92DFB">
        <w:trPr>
          <w:trHeight w:val="20"/>
        </w:trPr>
        <w:tc>
          <w:tcPr>
            <w:tcW w:w="3549" w:type="dxa"/>
            <w:tcBorders>
              <w:top w:val="single" w:sz="4" w:space="0" w:color="auto"/>
              <w:left w:val="single" w:sz="4" w:space="0" w:color="auto"/>
              <w:bottom w:val="single" w:sz="4" w:space="0" w:color="auto"/>
              <w:right w:val="single" w:sz="4" w:space="0" w:color="auto"/>
            </w:tcBorders>
            <w:vAlign w:val="center"/>
          </w:tcPr>
          <w:p w14:paraId="3D7AD5DA" w14:textId="19903543" w:rsidR="00A16AF0" w:rsidRPr="00A75581" w:rsidRDefault="002A77AE" w:rsidP="00420B29">
            <w:pPr>
              <w:ind w:left="680"/>
            </w:pPr>
            <w:r w:rsidRPr="002A77AE">
              <w:rPr>
                <w:rFonts w:eastAsia="Times New Roman"/>
              </w:rPr>
              <w:t>Симптоматична рецидивираща ДВТ</w:t>
            </w:r>
          </w:p>
        </w:tc>
        <w:tc>
          <w:tcPr>
            <w:tcW w:w="2651" w:type="dxa"/>
            <w:tcBorders>
              <w:top w:val="single" w:sz="4" w:space="0" w:color="auto"/>
              <w:left w:val="single" w:sz="4" w:space="0" w:color="auto"/>
              <w:bottom w:val="single" w:sz="4" w:space="0" w:color="auto"/>
              <w:right w:val="single" w:sz="4" w:space="0" w:color="auto"/>
            </w:tcBorders>
            <w:vAlign w:val="center"/>
          </w:tcPr>
          <w:p w14:paraId="2C6ADF24" w14:textId="77777777" w:rsidR="00A16AF0" w:rsidRPr="00A75581" w:rsidRDefault="00A16AF0" w:rsidP="00420B29">
            <w:pPr>
              <w:ind w:left="100"/>
            </w:pPr>
            <w:r w:rsidRPr="00A75581">
              <w:rPr>
                <w:rFonts w:eastAsia="Times New Roman"/>
              </w:rPr>
              <w:t>32</w:t>
            </w:r>
          </w:p>
          <w:p w14:paraId="1AFF44D8" w14:textId="383E96B7" w:rsidR="00A16AF0" w:rsidRPr="00A75581" w:rsidRDefault="00EE717D" w:rsidP="00420B29">
            <w:pPr>
              <w:ind w:left="100"/>
            </w:pPr>
            <w:r>
              <w:rPr>
                <w:rFonts w:eastAsia="Times New Roman"/>
              </w:rPr>
              <w:t>(0,</w:t>
            </w:r>
            <w:r w:rsidR="00A16AF0" w:rsidRPr="00A75581">
              <w:rPr>
                <w:rFonts w:eastAsia="Times New Roman"/>
              </w:rPr>
              <w:t>8%)</w:t>
            </w:r>
          </w:p>
        </w:tc>
        <w:tc>
          <w:tcPr>
            <w:tcW w:w="3126" w:type="dxa"/>
            <w:tcBorders>
              <w:top w:val="single" w:sz="4" w:space="0" w:color="auto"/>
              <w:left w:val="single" w:sz="4" w:space="0" w:color="auto"/>
              <w:bottom w:val="single" w:sz="4" w:space="0" w:color="auto"/>
              <w:right w:val="single" w:sz="4" w:space="0" w:color="auto"/>
            </w:tcBorders>
            <w:vAlign w:val="center"/>
          </w:tcPr>
          <w:p w14:paraId="4E00C100" w14:textId="77777777" w:rsidR="00A16AF0" w:rsidRPr="00A75581" w:rsidRDefault="00A16AF0" w:rsidP="00420B29">
            <w:pPr>
              <w:ind w:left="80"/>
            </w:pPr>
            <w:r w:rsidRPr="00A75581">
              <w:rPr>
                <w:rFonts w:eastAsia="Times New Roman"/>
              </w:rPr>
              <w:t>45</w:t>
            </w:r>
          </w:p>
          <w:p w14:paraId="0DF8EF20" w14:textId="0B781B44" w:rsidR="00A16AF0" w:rsidRPr="00A75581" w:rsidRDefault="00EE717D" w:rsidP="00420B29">
            <w:pPr>
              <w:ind w:left="80"/>
            </w:pPr>
            <w:r>
              <w:rPr>
                <w:rFonts w:eastAsia="Times New Roman"/>
              </w:rPr>
              <w:t>(1,</w:t>
            </w:r>
            <w:r w:rsidR="00A16AF0" w:rsidRPr="00A75581">
              <w:rPr>
                <w:rFonts w:eastAsia="Times New Roman"/>
              </w:rPr>
              <w:t>1%)</w:t>
            </w:r>
          </w:p>
        </w:tc>
        <w:tc>
          <w:tcPr>
            <w:tcW w:w="455" w:type="dxa"/>
            <w:gridSpan w:val="3"/>
            <w:vMerge/>
            <w:tcBorders>
              <w:left w:val="single" w:sz="4" w:space="0" w:color="auto"/>
            </w:tcBorders>
            <w:vAlign w:val="bottom"/>
          </w:tcPr>
          <w:p w14:paraId="21FA551A" w14:textId="77777777" w:rsidR="00A16AF0" w:rsidRPr="00A75581" w:rsidRDefault="00A16AF0" w:rsidP="00420B29"/>
        </w:tc>
      </w:tr>
      <w:tr w:rsidR="00A16AF0" w:rsidRPr="00A75581" w14:paraId="04988EF8" w14:textId="77777777" w:rsidTr="00B92DFB">
        <w:trPr>
          <w:trHeight w:val="20"/>
        </w:trPr>
        <w:tc>
          <w:tcPr>
            <w:tcW w:w="3549" w:type="dxa"/>
            <w:tcBorders>
              <w:top w:val="single" w:sz="4" w:space="0" w:color="auto"/>
              <w:left w:val="single" w:sz="4" w:space="0" w:color="auto"/>
              <w:bottom w:val="single" w:sz="4" w:space="0" w:color="auto"/>
              <w:right w:val="single" w:sz="4" w:space="0" w:color="auto"/>
            </w:tcBorders>
            <w:vAlign w:val="center"/>
          </w:tcPr>
          <w:p w14:paraId="5062C0EA" w14:textId="48DD692D" w:rsidR="00A16AF0" w:rsidRPr="00A75581" w:rsidRDefault="002A77AE" w:rsidP="00420B29">
            <w:pPr>
              <w:ind w:left="680"/>
            </w:pPr>
            <w:r w:rsidRPr="002A77AE">
              <w:rPr>
                <w:rFonts w:eastAsia="Times New Roman"/>
              </w:rPr>
              <w:t>Симптоматични БЕ и ДВТ</w:t>
            </w:r>
          </w:p>
        </w:tc>
        <w:tc>
          <w:tcPr>
            <w:tcW w:w="2651" w:type="dxa"/>
            <w:tcBorders>
              <w:top w:val="single" w:sz="4" w:space="0" w:color="auto"/>
              <w:left w:val="single" w:sz="4" w:space="0" w:color="auto"/>
              <w:bottom w:val="single" w:sz="4" w:space="0" w:color="auto"/>
              <w:right w:val="single" w:sz="4" w:space="0" w:color="auto"/>
            </w:tcBorders>
            <w:vAlign w:val="center"/>
          </w:tcPr>
          <w:p w14:paraId="778FAE37" w14:textId="77777777" w:rsidR="00A16AF0" w:rsidRPr="00A75581" w:rsidRDefault="00A16AF0" w:rsidP="00420B29">
            <w:pPr>
              <w:ind w:left="100"/>
            </w:pPr>
            <w:r w:rsidRPr="00A75581">
              <w:rPr>
                <w:rFonts w:eastAsia="Times New Roman"/>
              </w:rPr>
              <w:t>1</w:t>
            </w:r>
          </w:p>
          <w:p w14:paraId="5E1B72AF" w14:textId="303CEC4F" w:rsidR="00A16AF0" w:rsidRPr="00A75581" w:rsidRDefault="00A16AF0" w:rsidP="00EE717D">
            <w:pPr>
              <w:ind w:left="100"/>
            </w:pPr>
            <w:r w:rsidRPr="00A75581">
              <w:rPr>
                <w:rFonts w:eastAsia="Times New Roman"/>
              </w:rPr>
              <w:t>(&lt;0</w:t>
            </w:r>
            <w:r w:rsidR="00EE717D">
              <w:rPr>
                <w:rFonts w:eastAsia="Times New Roman"/>
              </w:rPr>
              <w:t>,</w:t>
            </w:r>
            <w:r w:rsidRPr="00A75581">
              <w:rPr>
                <w:rFonts w:eastAsia="Times New Roman"/>
              </w:rPr>
              <w:t>1%)</w:t>
            </w:r>
          </w:p>
        </w:tc>
        <w:tc>
          <w:tcPr>
            <w:tcW w:w="3126" w:type="dxa"/>
            <w:tcBorders>
              <w:top w:val="single" w:sz="4" w:space="0" w:color="auto"/>
              <w:left w:val="single" w:sz="4" w:space="0" w:color="auto"/>
              <w:bottom w:val="single" w:sz="4" w:space="0" w:color="auto"/>
              <w:right w:val="single" w:sz="4" w:space="0" w:color="auto"/>
            </w:tcBorders>
            <w:vAlign w:val="center"/>
          </w:tcPr>
          <w:p w14:paraId="5E0B8368" w14:textId="77777777" w:rsidR="00A16AF0" w:rsidRPr="00A75581" w:rsidRDefault="00A16AF0" w:rsidP="00420B29">
            <w:pPr>
              <w:ind w:left="80"/>
            </w:pPr>
            <w:r w:rsidRPr="00A75581">
              <w:rPr>
                <w:rFonts w:eastAsia="Times New Roman"/>
              </w:rPr>
              <w:t>2</w:t>
            </w:r>
          </w:p>
          <w:p w14:paraId="7ABD12D5" w14:textId="1919EFBB" w:rsidR="00A16AF0" w:rsidRPr="00A75581" w:rsidRDefault="00EE717D" w:rsidP="00420B29">
            <w:pPr>
              <w:ind w:left="80"/>
            </w:pPr>
            <w:r>
              <w:rPr>
                <w:rFonts w:eastAsia="Times New Roman"/>
              </w:rPr>
              <w:t>(&lt;0,</w:t>
            </w:r>
            <w:r w:rsidR="00A16AF0" w:rsidRPr="00A75581">
              <w:rPr>
                <w:rFonts w:eastAsia="Times New Roman"/>
              </w:rPr>
              <w:t>1%)</w:t>
            </w:r>
          </w:p>
        </w:tc>
        <w:tc>
          <w:tcPr>
            <w:tcW w:w="455" w:type="dxa"/>
            <w:gridSpan w:val="3"/>
            <w:vMerge/>
            <w:tcBorders>
              <w:left w:val="single" w:sz="4" w:space="0" w:color="auto"/>
            </w:tcBorders>
            <w:vAlign w:val="bottom"/>
          </w:tcPr>
          <w:p w14:paraId="42885E5B" w14:textId="77777777" w:rsidR="00A16AF0" w:rsidRPr="00A75581" w:rsidRDefault="00A16AF0" w:rsidP="00420B29"/>
        </w:tc>
      </w:tr>
      <w:tr w:rsidR="00A16AF0" w:rsidRPr="00A75581" w14:paraId="2611AE19" w14:textId="77777777" w:rsidTr="00B92DFB">
        <w:trPr>
          <w:trHeight w:val="20"/>
        </w:trPr>
        <w:tc>
          <w:tcPr>
            <w:tcW w:w="3549" w:type="dxa"/>
            <w:tcBorders>
              <w:top w:val="single" w:sz="4" w:space="0" w:color="auto"/>
              <w:left w:val="single" w:sz="4" w:space="0" w:color="auto"/>
              <w:bottom w:val="single" w:sz="4" w:space="0" w:color="auto"/>
              <w:right w:val="single" w:sz="4" w:space="0" w:color="auto"/>
            </w:tcBorders>
            <w:vAlign w:val="center"/>
          </w:tcPr>
          <w:p w14:paraId="6BB185A0" w14:textId="38A56E2C" w:rsidR="00A16AF0" w:rsidRPr="00A75581" w:rsidRDefault="002A77AE" w:rsidP="002A77AE">
            <w:pPr>
              <w:ind w:left="680"/>
            </w:pPr>
            <w:r w:rsidRPr="002A77AE">
              <w:rPr>
                <w:rFonts w:eastAsia="Times New Roman"/>
              </w:rPr>
              <w:t>Летален БЕ/смърт, при която не може да се изключи БЕ</w:t>
            </w:r>
          </w:p>
        </w:tc>
        <w:tc>
          <w:tcPr>
            <w:tcW w:w="2651" w:type="dxa"/>
            <w:tcBorders>
              <w:top w:val="single" w:sz="4" w:space="0" w:color="auto"/>
              <w:left w:val="single" w:sz="4" w:space="0" w:color="auto"/>
              <w:bottom w:val="single" w:sz="4" w:space="0" w:color="auto"/>
              <w:right w:val="single" w:sz="4" w:space="0" w:color="auto"/>
            </w:tcBorders>
            <w:vAlign w:val="center"/>
          </w:tcPr>
          <w:p w14:paraId="14603A8C" w14:textId="77777777" w:rsidR="00A16AF0" w:rsidRPr="00A75581" w:rsidRDefault="00A16AF0" w:rsidP="00420B29">
            <w:pPr>
              <w:ind w:left="100"/>
            </w:pPr>
            <w:r w:rsidRPr="00A75581">
              <w:rPr>
                <w:rFonts w:eastAsia="Times New Roman"/>
              </w:rPr>
              <w:t>15</w:t>
            </w:r>
          </w:p>
          <w:p w14:paraId="4AB2C43B" w14:textId="4C05CAC6" w:rsidR="00A16AF0" w:rsidRPr="00A75581" w:rsidRDefault="00EE717D" w:rsidP="00420B29">
            <w:pPr>
              <w:ind w:left="100"/>
            </w:pPr>
            <w:r>
              <w:rPr>
                <w:rFonts w:eastAsia="Times New Roman"/>
              </w:rPr>
              <w:t>(0,</w:t>
            </w:r>
            <w:r w:rsidR="00A16AF0" w:rsidRPr="00A75581">
              <w:rPr>
                <w:rFonts w:eastAsia="Times New Roman"/>
              </w:rPr>
              <w:t>4%)</w:t>
            </w:r>
          </w:p>
        </w:tc>
        <w:tc>
          <w:tcPr>
            <w:tcW w:w="3126" w:type="dxa"/>
            <w:tcBorders>
              <w:top w:val="single" w:sz="4" w:space="0" w:color="auto"/>
              <w:left w:val="single" w:sz="4" w:space="0" w:color="auto"/>
              <w:bottom w:val="single" w:sz="4" w:space="0" w:color="auto"/>
              <w:right w:val="single" w:sz="4" w:space="0" w:color="auto"/>
            </w:tcBorders>
            <w:vAlign w:val="center"/>
          </w:tcPr>
          <w:p w14:paraId="471EEE30" w14:textId="77777777" w:rsidR="00A16AF0" w:rsidRPr="00A75581" w:rsidRDefault="00A16AF0" w:rsidP="00420B29">
            <w:pPr>
              <w:ind w:left="80"/>
            </w:pPr>
            <w:r w:rsidRPr="00A75581">
              <w:rPr>
                <w:rFonts w:eastAsia="Times New Roman"/>
              </w:rPr>
              <w:t>13</w:t>
            </w:r>
          </w:p>
          <w:p w14:paraId="08A490B7" w14:textId="5A8DCAFD" w:rsidR="00A16AF0" w:rsidRPr="00A75581" w:rsidRDefault="00EE717D" w:rsidP="00420B29">
            <w:pPr>
              <w:ind w:left="80"/>
            </w:pPr>
            <w:r>
              <w:rPr>
                <w:rFonts w:eastAsia="Times New Roman"/>
              </w:rPr>
              <w:t>(0,</w:t>
            </w:r>
            <w:r w:rsidR="00A16AF0" w:rsidRPr="00A75581">
              <w:rPr>
                <w:rFonts w:eastAsia="Times New Roman"/>
              </w:rPr>
              <w:t>3%)</w:t>
            </w:r>
          </w:p>
        </w:tc>
        <w:tc>
          <w:tcPr>
            <w:tcW w:w="455" w:type="dxa"/>
            <w:gridSpan w:val="3"/>
            <w:vMerge/>
            <w:tcBorders>
              <w:left w:val="single" w:sz="4" w:space="0" w:color="auto"/>
            </w:tcBorders>
            <w:vAlign w:val="bottom"/>
          </w:tcPr>
          <w:p w14:paraId="2C5077D3" w14:textId="77777777" w:rsidR="00A16AF0" w:rsidRPr="00A75581" w:rsidRDefault="00A16AF0" w:rsidP="00420B29"/>
        </w:tc>
      </w:tr>
      <w:tr w:rsidR="00A16AF0" w:rsidRPr="00A75581" w14:paraId="4064E605" w14:textId="77777777" w:rsidTr="00B92DFB">
        <w:trPr>
          <w:trHeight w:val="20"/>
        </w:trPr>
        <w:tc>
          <w:tcPr>
            <w:tcW w:w="3549" w:type="dxa"/>
            <w:tcBorders>
              <w:top w:val="single" w:sz="4" w:space="0" w:color="auto"/>
              <w:left w:val="single" w:sz="4" w:space="0" w:color="auto"/>
              <w:bottom w:val="single" w:sz="4" w:space="0" w:color="auto"/>
              <w:right w:val="single" w:sz="4" w:space="0" w:color="auto"/>
            </w:tcBorders>
            <w:vAlign w:val="center"/>
          </w:tcPr>
          <w:p w14:paraId="0F50C3C3" w14:textId="0D583720" w:rsidR="00A16AF0" w:rsidRPr="00A75581" w:rsidRDefault="002A77AE" w:rsidP="00420B29">
            <w:pPr>
              <w:ind w:left="100"/>
            </w:pPr>
            <w:r w:rsidRPr="002A77AE">
              <w:rPr>
                <w:rFonts w:eastAsia="Times New Roman"/>
              </w:rPr>
              <w:t>Големи или клинично значими неголеми кръвоизливи</w:t>
            </w:r>
          </w:p>
        </w:tc>
        <w:tc>
          <w:tcPr>
            <w:tcW w:w="2651" w:type="dxa"/>
            <w:tcBorders>
              <w:top w:val="single" w:sz="4" w:space="0" w:color="auto"/>
              <w:left w:val="single" w:sz="4" w:space="0" w:color="auto"/>
              <w:bottom w:val="single" w:sz="4" w:space="0" w:color="auto"/>
              <w:right w:val="single" w:sz="4" w:space="0" w:color="auto"/>
            </w:tcBorders>
            <w:vAlign w:val="center"/>
          </w:tcPr>
          <w:p w14:paraId="2872B8AD" w14:textId="77777777" w:rsidR="00A16AF0" w:rsidRPr="00A75581" w:rsidRDefault="00A16AF0" w:rsidP="00420B29">
            <w:pPr>
              <w:ind w:left="100"/>
            </w:pPr>
            <w:r w:rsidRPr="00A75581">
              <w:rPr>
                <w:rFonts w:eastAsia="Times New Roman"/>
              </w:rPr>
              <w:t>388</w:t>
            </w:r>
          </w:p>
          <w:p w14:paraId="54239E76" w14:textId="755468E1" w:rsidR="00A16AF0" w:rsidRPr="00A75581" w:rsidRDefault="00EE717D" w:rsidP="00420B29">
            <w:pPr>
              <w:ind w:left="100"/>
            </w:pPr>
            <w:r>
              <w:rPr>
                <w:rFonts w:eastAsia="Times New Roman"/>
              </w:rPr>
              <w:t>(9,</w:t>
            </w:r>
            <w:r w:rsidR="00A16AF0" w:rsidRPr="00A75581">
              <w:rPr>
                <w:rFonts w:eastAsia="Times New Roman"/>
              </w:rPr>
              <w:t>4%)</w:t>
            </w:r>
          </w:p>
        </w:tc>
        <w:tc>
          <w:tcPr>
            <w:tcW w:w="3126" w:type="dxa"/>
            <w:tcBorders>
              <w:top w:val="single" w:sz="4" w:space="0" w:color="auto"/>
              <w:left w:val="single" w:sz="4" w:space="0" w:color="auto"/>
              <w:bottom w:val="single" w:sz="4" w:space="0" w:color="auto"/>
              <w:right w:val="single" w:sz="4" w:space="0" w:color="auto"/>
            </w:tcBorders>
            <w:vAlign w:val="center"/>
          </w:tcPr>
          <w:p w14:paraId="7582F7FF" w14:textId="77777777" w:rsidR="00A16AF0" w:rsidRPr="00A75581" w:rsidRDefault="00A16AF0" w:rsidP="00420B29">
            <w:pPr>
              <w:ind w:left="80"/>
            </w:pPr>
            <w:r w:rsidRPr="00A75581">
              <w:rPr>
                <w:rFonts w:eastAsia="Times New Roman"/>
              </w:rPr>
              <w:t>412</w:t>
            </w:r>
          </w:p>
          <w:p w14:paraId="3C70D764" w14:textId="01F69EF1" w:rsidR="00A16AF0" w:rsidRPr="00A75581" w:rsidRDefault="00EE717D" w:rsidP="00420B29">
            <w:pPr>
              <w:ind w:left="80"/>
            </w:pPr>
            <w:r>
              <w:rPr>
                <w:rFonts w:eastAsia="Times New Roman"/>
              </w:rPr>
              <w:t>(10,</w:t>
            </w:r>
            <w:r w:rsidR="00A16AF0" w:rsidRPr="00A75581">
              <w:rPr>
                <w:rFonts w:eastAsia="Times New Roman"/>
              </w:rPr>
              <w:t>0%)</w:t>
            </w:r>
          </w:p>
        </w:tc>
        <w:tc>
          <w:tcPr>
            <w:tcW w:w="455" w:type="dxa"/>
            <w:gridSpan w:val="3"/>
            <w:vMerge/>
            <w:tcBorders>
              <w:left w:val="single" w:sz="4" w:space="0" w:color="auto"/>
            </w:tcBorders>
            <w:vAlign w:val="bottom"/>
          </w:tcPr>
          <w:p w14:paraId="5003E494" w14:textId="77777777" w:rsidR="00A16AF0" w:rsidRPr="00A75581" w:rsidRDefault="00A16AF0" w:rsidP="00420B29"/>
        </w:tc>
      </w:tr>
      <w:tr w:rsidR="00A16AF0" w:rsidRPr="00A75581" w14:paraId="008ABE5E" w14:textId="77777777" w:rsidTr="00B92DFB">
        <w:trPr>
          <w:trHeight w:val="20"/>
        </w:trPr>
        <w:tc>
          <w:tcPr>
            <w:tcW w:w="3549" w:type="dxa"/>
            <w:tcBorders>
              <w:top w:val="single" w:sz="4" w:space="0" w:color="auto"/>
              <w:left w:val="single" w:sz="4" w:space="0" w:color="auto"/>
              <w:bottom w:val="single" w:sz="4" w:space="0" w:color="auto"/>
              <w:right w:val="single" w:sz="4" w:space="0" w:color="auto"/>
            </w:tcBorders>
            <w:vAlign w:val="center"/>
          </w:tcPr>
          <w:p w14:paraId="79D92900" w14:textId="4B61D540" w:rsidR="00A16AF0" w:rsidRPr="00A75581" w:rsidRDefault="002A77AE" w:rsidP="00420B29">
            <w:pPr>
              <w:ind w:left="100"/>
            </w:pPr>
            <w:r w:rsidRPr="002A77AE">
              <w:rPr>
                <w:rFonts w:eastAsia="Times New Roman"/>
              </w:rPr>
              <w:t>Големи кръвоизливи</w:t>
            </w:r>
          </w:p>
        </w:tc>
        <w:tc>
          <w:tcPr>
            <w:tcW w:w="2651" w:type="dxa"/>
            <w:tcBorders>
              <w:top w:val="single" w:sz="4" w:space="0" w:color="auto"/>
              <w:left w:val="single" w:sz="4" w:space="0" w:color="auto"/>
              <w:bottom w:val="single" w:sz="4" w:space="0" w:color="auto"/>
              <w:right w:val="single" w:sz="4" w:space="0" w:color="auto"/>
            </w:tcBorders>
            <w:vAlign w:val="center"/>
          </w:tcPr>
          <w:p w14:paraId="1B06E761" w14:textId="77777777" w:rsidR="00A16AF0" w:rsidRPr="00A75581" w:rsidRDefault="00A16AF0" w:rsidP="00420B29">
            <w:pPr>
              <w:ind w:left="100"/>
            </w:pPr>
            <w:r w:rsidRPr="00A75581">
              <w:rPr>
                <w:rFonts w:eastAsia="Times New Roman"/>
              </w:rPr>
              <w:t>40</w:t>
            </w:r>
          </w:p>
          <w:p w14:paraId="72E729CF" w14:textId="77777777" w:rsidR="00A16AF0" w:rsidRPr="00A75581" w:rsidRDefault="00A16AF0" w:rsidP="00420B29">
            <w:pPr>
              <w:ind w:left="100"/>
            </w:pPr>
            <w:r w:rsidRPr="00A75581">
              <w:rPr>
                <w:rFonts w:eastAsia="Times New Roman"/>
              </w:rPr>
              <w:t>(1.0%)</w:t>
            </w:r>
          </w:p>
        </w:tc>
        <w:tc>
          <w:tcPr>
            <w:tcW w:w="3126" w:type="dxa"/>
            <w:tcBorders>
              <w:top w:val="single" w:sz="4" w:space="0" w:color="auto"/>
              <w:left w:val="single" w:sz="4" w:space="0" w:color="auto"/>
              <w:bottom w:val="single" w:sz="4" w:space="0" w:color="auto"/>
              <w:right w:val="single" w:sz="4" w:space="0" w:color="auto"/>
            </w:tcBorders>
            <w:vAlign w:val="center"/>
          </w:tcPr>
          <w:p w14:paraId="293BE588" w14:textId="77777777" w:rsidR="00A16AF0" w:rsidRPr="00A75581" w:rsidRDefault="00A16AF0" w:rsidP="00420B29">
            <w:pPr>
              <w:ind w:left="80"/>
            </w:pPr>
            <w:r w:rsidRPr="00A75581">
              <w:rPr>
                <w:rFonts w:eastAsia="Times New Roman"/>
              </w:rPr>
              <w:t>72</w:t>
            </w:r>
          </w:p>
          <w:p w14:paraId="79E16BA5" w14:textId="3355FBA3" w:rsidR="00A16AF0" w:rsidRPr="00A75581" w:rsidRDefault="00EE717D" w:rsidP="00420B29">
            <w:pPr>
              <w:ind w:left="80"/>
            </w:pPr>
            <w:r>
              <w:rPr>
                <w:rFonts w:eastAsia="Times New Roman"/>
              </w:rPr>
              <w:t>(1,</w:t>
            </w:r>
            <w:r w:rsidR="00A16AF0" w:rsidRPr="00A75581">
              <w:rPr>
                <w:rFonts w:eastAsia="Times New Roman"/>
              </w:rPr>
              <w:t>7%)</w:t>
            </w:r>
          </w:p>
        </w:tc>
        <w:tc>
          <w:tcPr>
            <w:tcW w:w="455" w:type="dxa"/>
            <w:gridSpan w:val="3"/>
            <w:vMerge/>
            <w:tcBorders>
              <w:left w:val="single" w:sz="4" w:space="0" w:color="auto"/>
              <w:bottom w:val="nil"/>
            </w:tcBorders>
            <w:vAlign w:val="bottom"/>
          </w:tcPr>
          <w:p w14:paraId="57EB7F98" w14:textId="77777777" w:rsidR="00A16AF0" w:rsidRPr="00A75581" w:rsidRDefault="00A16AF0" w:rsidP="00420B29"/>
        </w:tc>
      </w:tr>
    </w:tbl>
    <w:p w14:paraId="58E8D235" w14:textId="13908FC1" w:rsidR="002A77AE" w:rsidRDefault="002A77AE" w:rsidP="002A77AE">
      <w:pPr>
        <w:pStyle w:val="Default"/>
        <w:rPr>
          <w:sz w:val="22"/>
          <w:szCs w:val="22"/>
        </w:rPr>
      </w:pPr>
      <w:r>
        <w:rPr>
          <w:sz w:val="22"/>
          <w:szCs w:val="22"/>
        </w:rPr>
        <w:t>a)</w:t>
      </w:r>
      <w:r>
        <w:rPr>
          <w:sz w:val="22"/>
          <w:szCs w:val="22"/>
        </w:rPr>
        <w:tab/>
        <w:t xml:space="preserve"> Ривароксабан 15 mg два пъти дневно за 3 седмици, последвано от 20 mg един път дневно </w:t>
      </w:r>
    </w:p>
    <w:p w14:paraId="76D5323D" w14:textId="50A45AD8" w:rsidR="002A77AE" w:rsidRDefault="002A77AE" w:rsidP="002A77AE">
      <w:pPr>
        <w:pStyle w:val="Default"/>
        <w:rPr>
          <w:sz w:val="22"/>
          <w:szCs w:val="22"/>
        </w:rPr>
      </w:pPr>
      <w:r>
        <w:rPr>
          <w:sz w:val="22"/>
          <w:szCs w:val="22"/>
        </w:rPr>
        <w:t xml:space="preserve">b) </w:t>
      </w:r>
      <w:r>
        <w:rPr>
          <w:sz w:val="22"/>
          <w:szCs w:val="22"/>
        </w:rPr>
        <w:tab/>
        <w:t xml:space="preserve"> Еноксапарин за най-малко 5 дни, застъпен и последван от АВК </w:t>
      </w:r>
    </w:p>
    <w:p w14:paraId="361C7226" w14:textId="3EA080C4" w:rsidR="00A16AF0" w:rsidRDefault="002A77AE" w:rsidP="002A77AE">
      <w:pPr>
        <w:ind w:left="720" w:hanging="720"/>
      </w:pPr>
      <w:r>
        <w:rPr>
          <w:b/>
          <w:bCs/>
        </w:rPr>
        <w:t>*</w:t>
      </w:r>
      <w:r>
        <w:rPr>
          <w:b/>
          <w:bCs/>
        </w:rPr>
        <w:tab/>
        <w:t xml:space="preserve"> </w:t>
      </w:r>
      <w:r>
        <w:t xml:space="preserve">p &lt; 0,0001 (не по-малка ефикасност по отношение на предварително определен HR от 1,75); HR: 0,886 (0,661 - 1,186) </w:t>
      </w:r>
    </w:p>
    <w:p w14:paraId="2E78BB71" w14:textId="2BA218D3" w:rsidR="00EE717D" w:rsidRDefault="00EE717D" w:rsidP="002A77AE">
      <w:pPr>
        <w:ind w:left="720" w:hanging="720"/>
        <w:rPr>
          <w:rFonts w:eastAsia="Times New Roman"/>
          <w:lang w:val="bg-BG"/>
        </w:rPr>
      </w:pPr>
    </w:p>
    <w:p w14:paraId="049F0E67" w14:textId="5615B60A" w:rsidR="00EE717D" w:rsidRDefault="00EE717D" w:rsidP="00EE717D">
      <w:r>
        <w:t>Предварително дефинираната нетна клинична полза (първичен резултат за ефикасност плюс</w:t>
      </w:r>
      <w:r w:rsidRPr="00EE717D">
        <w:t xml:space="preserve"> г</w:t>
      </w:r>
      <w:r>
        <w:t>олеми кръвоизливи) на сборния анализ се съобщава с HR от 0,771 ((95% ДИ: 0,614 - 0,967), номинална р стойност р = 0,0244).</w:t>
      </w:r>
    </w:p>
    <w:p w14:paraId="19F57A06" w14:textId="77777777" w:rsidR="00EE717D" w:rsidRPr="00EE717D" w:rsidRDefault="00EE717D" w:rsidP="00EE717D">
      <w:pPr>
        <w:ind w:left="720" w:hanging="720"/>
      </w:pPr>
    </w:p>
    <w:p w14:paraId="3FE4BB70" w14:textId="37E9BEF7" w:rsidR="00EE717D" w:rsidRPr="00EE717D" w:rsidRDefault="00EE717D" w:rsidP="00EE717D">
      <w:r w:rsidRPr="00EE717D">
        <w:t xml:space="preserve">В проучването Einstein Extension (вж. Таблица </w:t>
      </w:r>
      <w:r w:rsidR="00004FF2">
        <w:rPr>
          <w:lang w:val="bg-BG"/>
        </w:rPr>
        <w:t>9</w:t>
      </w:r>
      <w:r w:rsidRPr="00EE717D">
        <w:t>) ривароксабан превъзхожда плацебо по отношение на първичните и вторичните резултати за ефикасност. За първичния резултат за безопасност (големи кръвоизливи) се установява незначимо числено по-висока честота при пациентите на лечение с ривароксабан 20 mg един път на ден в сравнение с плацебо. Вторичният резултат за безопасност (големи или клинично значими неголеми кръвоизливи) показва по-високи честоти при пациентите, лекувани с ривароксабан 20 mg един път дневно, в сравнение с плацебо.</w:t>
      </w:r>
    </w:p>
    <w:p w14:paraId="14EF21CF" w14:textId="0C749170" w:rsidR="00A16AF0" w:rsidRDefault="00A16AF0" w:rsidP="00C77EFB">
      <w:pPr>
        <w:ind w:left="680" w:hanging="640"/>
        <w:rPr>
          <w:rFonts w:eastAsia="Times New Roman"/>
          <w:lang w:val="bg-BG"/>
        </w:rPr>
      </w:pPr>
    </w:p>
    <w:p w14:paraId="0BA2D129" w14:textId="49F84782" w:rsidR="00EE717D" w:rsidRPr="00A75581" w:rsidRDefault="00004FF2" w:rsidP="00EE717D">
      <w:r>
        <w:rPr>
          <w:b/>
          <w:bCs/>
        </w:rPr>
        <w:t>Таблица 9</w:t>
      </w:r>
      <w:r w:rsidR="00EE717D">
        <w:rPr>
          <w:b/>
          <w:bCs/>
        </w:rPr>
        <w:t>: Резултати за ефикасност и безопасност от фаза III Einstein Extension</w:t>
      </w:r>
    </w:p>
    <w:tbl>
      <w:tblPr>
        <w:tblW w:w="9230" w:type="dxa"/>
        <w:tblInd w:w="10" w:type="dxa"/>
        <w:tblLayout w:type="fixed"/>
        <w:tblCellMar>
          <w:left w:w="0" w:type="dxa"/>
          <w:right w:w="0" w:type="dxa"/>
        </w:tblCellMar>
        <w:tblLook w:val="04A0" w:firstRow="1" w:lastRow="0" w:firstColumn="1" w:lastColumn="0" w:noHBand="0" w:noVBand="1"/>
      </w:tblPr>
      <w:tblGrid>
        <w:gridCol w:w="3700"/>
        <w:gridCol w:w="2680"/>
        <w:gridCol w:w="2820"/>
        <w:gridCol w:w="30"/>
      </w:tblGrid>
      <w:tr w:rsidR="00EE717D" w:rsidRPr="00A75581" w14:paraId="7FC85B3B" w14:textId="77777777" w:rsidTr="00420B29">
        <w:trPr>
          <w:trHeight w:val="20"/>
        </w:trPr>
        <w:tc>
          <w:tcPr>
            <w:tcW w:w="3700" w:type="dxa"/>
            <w:tcBorders>
              <w:top w:val="single" w:sz="8" w:space="0" w:color="auto"/>
              <w:left w:val="single" w:sz="8" w:space="0" w:color="auto"/>
              <w:bottom w:val="single" w:sz="4" w:space="0" w:color="auto"/>
              <w:right w:val="single" w:sz="8" w:space="0" w:color="auto"/>
            </w:tcBorders>
            <w:vAlign w:val="center"/>
          </w:tcPr>
          <w:p w14:paraId="003EC2E7" w14:textId="2BD61764" w:rsidR="00EE717D" w:rsidRPr="00A75581" w:rsidRDefault="00EE717D" w:rsidP="00420B29">
            <w:pPr>
              <w:ind w:left="100"/>
            </w:pPr>
            <w:r w:rsidRPr="00EE717D">
              <w:rPr>
                <w:rFonts w:eastAsia="Times New Roman"/>
                <w:b/>
                <w:bCs/>
              </w:rPr>
              <w:t>Проучвана популация</w:t>
            </w:r>
          </w:p>
        </w:tc>
        <w:tc>
          <w:tcPr>
            <w:tcW w:w="5500" w:type="dxa"/>
            <w:gridSpan w:val="2"/>
            <w:tcBorders>
              <w:top w:val="single" w:sz="8" w:space="0" w:color="auto"/>
              <w:bottom w:val="single" w:sz="4" w:space="0" w:color="auto"/>
              <w:right w:val="single" w:sz="8" w:space="0" w:color="auto"/>
            </w:tcBorders>
            <w:vAlign w:val="center"/>
          </w:tcPr>
          <w:p w14:paraId="44A20113" w14:textId="54FDEE89" w:rsidR="00EE717D" w:rsidRPr="00A75581" w:rsidRDefault="00EE717D" w:rsidP="00420B29">
            <w:pPr>
              <w:ind w:left="100"/>
            </w:pPr>
            <w:r w:rsidRPr="00EE717D">
              <w:rPr>
                <w:rFonts w:eastAsia="Times New Roman"/>
                <w:b/>
                <w:bCs/>
              </w:rPr>
              <w:t>1 197 пациенти са продължили лечението и профилактиката за рецидивиращ венозен тромбоемболизъм</w:t>
            </w:r>
          </w:p>
        </w:tc>
        <w:tc>
          <w:tcPr>
            <w:tcW w:w="30" w:type="dxa"/>
            <w:vMerge w:val="restart"/>
            <w:tcBorders>
              <w:bottom w:val="nil"/>
            </w:tcBorders>
            <w:vAlign w:val="bottom"/>
          </w:tcPr>
          <w:p w14:paraId="16100624" w14:textId="77777777" w:rsidR="00EE717D" w:rsidRPr="00A75581" w:rsidRDefault="00EE717D" w:rsidP="00420B29"/>
        </w:tc>
      </w:tr>
      <w:tr w:rsidR="00EE717D" w:rsidRPr="00A75581" w14:paraId="4C84A4D0" w14:textId="77777777" w:rsidTr="00420B29">
        <w:trPr>
          <w:trHeight w:val="20"/>
        </w:trPr>
        <w:tc>
          <w:tcPr>
            <w:tcW w:w="3700" w:type="dxa"/>
            <w:tcBorders>
              <w:top w:val="single" w:sz="4" w:space="0" w:color="auto"/>
              <w:left w:val="single" w:sz="4" w:space="0" w:color="auto"/>
              <w:bottom w:val="single" w:sz="4" w:space="0" w:color="auto"/>
              <w:right w:val="single" w:sz="4" w:space="0" w:color="auto"/>
            </w:tcBorders>
            <w:vAlign w:val="center"/>
          </w:tcPr>
          <w:p w14:paraId="4460E390" w14:textId="19A271AF" w:rsidR="00EE717D" w:rsidRPr="00A75581" w:rsidRDefault="00EE717D" w:rsidP="00420B29">
            <w:pPr>
              <w:ind w:left="100"/>
            </w:pPr>
            <w:r w:rsidRPr="00EE717D">
              <w:rPr>
                <w:rFonts w:eastAsia="Times New Roman"/>
                <w:b/>
                <w:bCs/>
              </w:rPr>
              <w:lastRenderedPageBreak/>
              <w:t>Доза и продължителност на лечението</w:t>
            </w:r>
          </w:p>
        </w:tc>
        <w:tc>
          <w:tcPr>
            <w:tcW w:w="2680" w:type="dxa"/>
            <w:tcBorders>
              <w:top w:val="single" w:sz="4" w:space="0" w:color="auto"/>
              <w:left w:val="single" w:sz="4" w:space="0" w:color="auto"/>
              <w:bottom w:val="single" w:sz="4" w:space="0" w:color="auto"/>
              <w:right w:val="single" w:sz="4" w:space="0" w:color="auto"/>
            </w:tcBorders>
            <w:vAlign w:val="center"/>
          </w:tcPr>
          <w:p w14:paraId="5406F257" w14:textId="790ED4E0" w:rsidR="00EE717D" w:rsidRPr="00A75581" w:rsidRDefault="00EE717D" w:rsidP="00420B29">
            <w:pPr>
              <w:ind w:left="100"/>
            </w:pPr>
            <w:r>
              <w:rPr>
                <w:rFonts w:eastAsia="Times New Roman"/>
                <w:b/>
                <w:bCs/>
              </w:rPr>
              <w:t>Ривароксабан</w:t>
            </w:r>
            <w:r w:rsidRPr="00A75581">
              <w:rPr>
                <w:rFonts w:eastAsia="Times New Roman"/>
                <w:b/>
                <w:bCs/>
                <w:vertAlign w:val="superscript"/>
              </w:rPr>
              <w:t>a)</w:t>
            </w:r>
          </w:p>
          <w:p w14:paraId="298BC415" w14:textId="7BE8CE8B" w:rsidR="00EE717D" w:rsidRPr="00A75581" w:rsidRDefault="00EE717D" w:rsidP="00420B29">
            <w:pPr>
              <w:ind w:left="100"/>
            </w:pPr>
            <w:r>
              <w:rPr>
                <w:rFonts w:eastAsia="Times New Roman"/>
                <w:b/>
                <w:bCs/>
              </w:rPr>
              <w:t>6 или 12 месеца</w:t>
            </w:r>
          </w:p>
          <w:p w14:paraId="71EE1040" w14:textId="77777777" w:rsidR="00EE717D" w:rsidRPr="00A75581" w:rsidRDefault="00EE717D" w:rsidP="00420B29">
            <w:pPr>
              <w:ind w:left="100"/>
            </w:pPr>
            <w:r w:rsidRPr="00A75581">
              <w:rPr>
                <w:rFonts w:eastAsia="Times New Roman"/>
                <w:b/>
                <w:bCs/>
              </w:rPr>
              <w:t>N=602</w:t>
            </w:r>
          </w:p>
        </w:tc>
        <w:tc>
          <w:tcPr>
            <w:tcW w:w="2820" w:type="dxa"/>
            <w:tcBorders>
              <w:top w:val="single" w:sz="4" w:space="0" w:color="auto"/>
              <w:left w:val="single" w:sz="4" w:space="0" w:color="auto"/>
              <w:bottom w:val="single" w:sz="4" w:space="0" w:color="auto"/>
              <w:right w:val="single" w:sz="4" w:space="0" w:color="auto"/>
            </w:tcBorders>
            <w:vAlign w:val="center"/>
          </w:tcPr>
          <w:p w14:paraId="54F2510C" w14:textId="367CC144" w:rsidR="00EE717D" w:rsidRPr="00A75581" w:rsidRDefault="00EE717D" w:rsidP="00420B29">
            <w:pPr>
              <w:ind w:left="80"/>
            </w:pPr>
            <w:r>
              <w:rPr>
                <w:rFonts w:eastAsia="Times New Roman"/>
                <w:b/>
                <w:bCs/>
              </w:rPr>
              <w:t>Плацебо</w:t>
            </w:r>
          </w:p>
          <w:p w14:paraId="6F1C257A" w14:textId="39CC2540" w:rsidR="00EE717D" w:rsidRPr="00EE717D" w:rsidRDefault="00EE717D" w:rsidP="00420B29">
            <w:pPr>
              <w:ind w:left="80"/>
              <w:rPr>
                <w:lang w:val="bg-BG"/>
              </w:rPr>
            </w:pPr>
            <w:r>
              <w:rPr>
                <w:rFonts w:eastAsia="Times New Roman"/>
                <w:b/>
                <w:bCs/>
              </w:rPr>
              <w:t>6 или</w:t>
            </w:r>
            <w:r w:rsidRPr="00A75581">
              <w:rPr>
                <w:rFonts w:eastAsia="Times New Roman"/>
                <w:b/>
                <w:bCs/>
              </w:rPr>
              <w:t xml:space="preserve"> 12 </w:t>
            </w:r>
            <w:r>
              <w:rPr>
                <w:rFonts w:eastAsia="Times New Roman"/>
                <w:b/>
                <w:bCs/>
                <w:lang w:val="bg-BG"/>
              </w:rPr>
              <w:t>месеца</w:t>
            </w:r>
          </w:p>
          <w:p w14:paraId="25D6BDA5" w14:textId="77777777" w:rsidR="00EE717D" w:rsidRPr="00A75581" w:rsidRDefault="00EE717D" w:rsidP="00420B29">
            <w:pPr>
              <w:ind w:left="80"/>
            </w:pPr>
            <w:r w:rsidRPr="00A75581">
              <w:rPr>
                <w:rFonts w:eastAsia="Times New Roman"/>
                <w:b/>
                <w:bCs/>
              </w:rPr>
              <w:t>N=594</w:t>
            </w:r>
          </w:p>
        </w:tc>
        <w:tc>
          <w:tcPr>
            <w:tcW w:w="30" w:type="dxa"/>
            <w:vMerge/>
            <w:tcBorders>
              <w:left w:val="single" w:sz="4" w:space="0" w:color="auto"/>
              <w:bottom w:val="nil"/>
            </w:tcBorders>
            <w:vAlign w:val="bottom"/>
          </w:tcPr>
          <w:p w14:paraId="3A363464" w14:textId="77777777" w:rsidR="00EE717D" w:rsidRPr="00A75581" w:rsidRDefault="00EE717D" w:rsidP="00420B29"/>
        </w:tc>
      </w:tr>
      <w:tr w:rsidR="00EE717D" w:rsidRPr="00A75581" w14:paraId="7E534059" w14:textId="77777777" w:rsidTr="00420B29">
        <w:trPr>
          <w:trHeight w:val="20"/>
        </w:trPr>
        <w:tc>
          <w:tcPr>
            <w:tcW w:w="3700" w:type="dxa"/>
            <w:tcBorders>
              <w:top w:val="single" w:sz="4" w:space="0" w:color="auto"/>
              <w:left w:val="single" w:sz="4" w:space="0" w:color="auto"/>
              <w:bottom w:val="single" w:sz="4" w:space="0" w:color="auto"/>
              <w:right w:val="single" w:sz="4" w:space="0" w:color="auto"/>
            </w:tcBorders>
            <w:vAlign w:val="center"/>
          </w:tcPr>
          <w:p w14:paraId="17B39A27" w14:textId="0BB4BE15" w:rsidR="00EE717D" w:rsidRPr="00A75581" w:rsidRDefault="00EE717D" w:rsidP="00420B29">
            <w:pPr>
              <w:ind w:left="100"/>
            </w:pPr>
            <w:r w:rsidRPr="00EE717D">
              <w:rPr>
                <w:rFonts w:eastAsia="Times New Roman"/>
              </w:rPr>
              <w:t>Симптоматичен рецидивиращ ВТЕ*</w:t>
            </w:r>
          </w:p>
        </w:tc>
        <w:tc>
          <w:tcPr>
            <w:tcW w:w="2680" w:type="dxa"/>
            <w:tcBorders>
              <w:top w:val="single" w:sz="4" w:space="0" w:color="auto"/>
              <w:left w:val="single" w:sz="4" w:space="0" w:color="auto"/>
              <w:bottom w:val="single" w:sz="4" w:space="0" w:color="auto"/>
              <w:right w:val="single" w:sz="4" w:space="0" w:color="auto"/>
            </w:tcBorders>
            <w:vAlign w:val="center"/>
          </w:tcPr>
          <w:p w14:paraId="602D94CB" w14:textId="77777777" w:rsidR="00EE717D" w:rsidRPr="00A75581" w:rsidRDefault="00EE717D" w:rsidP="00420B29">
            <w:pPr>
              <w:ind w:left="100"/>
            </w:pPr>
            <w:r w:rsidRPr="00A75581">
              <w:rPr>
                <w:rFonts w:eastAsia="Times New Roman"/>
              </w:rPr>
              <w:t>8</w:t>
            </w:r>
          </w:p>
          <w:p w14:paraId="4FB22CA7" w14:textId="4D746D1C" w:rsidR="00EE717D" w:rsidRPr="00A75581" w:rsidRDefault="00EE717D" w:rsidP="009A5F87">
            <w:pPr>
              <w:ind w:left="100"/>
            </w:pPr>
            <w:r w:rsidRPr="00A75581">
              <w:rPr>
                <w:rFonts w:eastAsia="Times New Roman"/>
              </w:rPr>
              <w:t>(1</w:t>
            </w:r>
            <w:r w:rsidR="009A5F87">
              <w:rPr>
                <w:rFonts w:eastAsia="Times New Roman"/>
                <w:lang w:val="bg-BG"/>
              </w:rPr>
              <w:t>,</w:t>
            </w:r>
            <w:r w:rsidRPr="00A75581">
              <w:rPr>
                <w:rFonts w:eastAsia="Times New Roman"/>
              </w:rPr>
              <w:t>3%)</w:t>
            </w:r>
          </w:p>
        </w:tc>
        <w:tc>
          <w:tcPr>
            <w:tcW w:w="2820" w:type="dxa"/>
            <w:tcBorders>
              <w:top w:val="single" w:sz="4" w:space="0" w:color="auto"/>
              <w:left w:val="single" w:sz="4" w:space="0" w:color="auto"/>
              <w:bottom w:val="single" w:sz="4" w:space="0" w:color="auto"/>
              <w:right w:val="single" w:sz="4" w:space="0" w:color="auto"/>
            </w:tcBorders>
            <w:vAlign w:val="center"/>
          </w:tcPr>
          <w:p w14:paraId="0167D4A5" w14:textId="77777777" w:rsidR="00EE717D" w:rsidRPr="00A75581" w:rsidRDefault="00EE717D" w:rsidP="00420B29">
            <w:pPr>
              <w:ind w:left="80"/>
            </w:pPr>
            <w:r w:rsidRPr="00A75581">
              <w:rPr>
                <w:rFonts w:eastAsia="Times New Roman"/>
              </w:rPr>
              <w:t>42</w:t>
            </w:r>
          </w:p>
          <w:p w14:paraId="0755667B" w14:textId="4F81EE9B" w:rsidR="00EE717D" w:rsidRPr="00A75581" w:rsidRDefault="009A5F87" w:rsidP="00420B29">
            <w:pPr>
              <w:ind w:left="80"/>
            </w:pPr>
            <w:r>
              <w:rPr>
                <w:rFonts w:eastAsia="Times New Roman"/>
              </w:rPr>
              <w:t>(7,</w:t>
            </w:r>
            <w:r w:rsidR="00EE717D" w:rsidRPr="00A75581">
              <w:rPr>
                <w:rFonts w:eastAsia="Times New Roman"/>
              </w:rPr>
              <w:t>1%)</w:t>
            </w:r>
          </w:p>
        </w:tc>
        <w:tc>
          <w:tcPr>
            <w:tcW w:w="30" w:type="dxa"/>
            <w:vMerge/>
            <w:tcBorders>
              <w:left w:val="single" w:sz="4" w:space="0" w:color="auto"/>
              <w:bottom w:val="nil"/>
            </w:tcBorders>
            <w:vAlign w:val="bottom"/>
          </w:tcPr>
          <w:p w14:paraId="72493A6C" w14:textId="77777777" w:rsidR="00EE717D" w:rsidRPr="00A75581" w:rsidRDefault="00EE717D" w:rsidP="00420B29"/>
        </w:tc>
      </w:tr>
      <w:tr w:rsidR="00EE717D" w:rsidRPr="00A75581" w14:paraId="1098335A" w14:textId="77777777" w:rsidTr="00420B29">
        <w:trPr>
          <w:trHeight w:val="20"/>
        </w:trPr>
        <w:tc>
          <w:tcPr>
            <w:tcW w:w="3700" w:type="dxa"/>
            <w:tcBorders>
              <w:top w:val="single" w:sz="4" w:space="0" w:color="auto"/>
              <w:left w:val="single" w:sz="4" w:space="0" w:color="auto"/>
              <w:bottom w:val="single" w:sz="4" w:space="0" w:color="auto"/>
              <w:right w:val="single" w:sz="4" w:space="0" w:color="auto"/>
            </w:tcBorders>
            <w:vAlign w:val="center"/>
          </w:tcPr>
          <w:p w14:paraId="5AD88958" w14:textId="6B61312B" w:rsidR="00EE717D" w:rsidRPr="00A75581" w:rsidRDefault="009A5F87" w:rsidP="00420B29">
            <w:pPr>
              <w:ind w:left="680"/>
            </w:pPr>
            <w:r w:rsidRPr="009A5F87">
              <w:rPr>
                <w:rFonts w:eastAsia="Times New Roman"/>
              </w:rPr>
              <w:t>Симптоматичен рецидивиращ БЕ</w:t>
            </w:r>
          </w:p>
        </w:tc>
        <w:tc>
          <w:tcPr>
            <w:tcW w:w="2680" w:type="dxa"/>
            <w:tcBorders>
              <w:top w:val="single" w:sz="4" w:space="0" w:color="auto"/>
              <w:left w:val="single" w:sz="4" w:space="0" w:color="auto"/>
              <w:bottom w:val="single" w:sz="4" w:space="0" w:color="auto"/>
              <w:right w:val="single" w:sz="4" w:space="0" w:color="auto"/>
            </w:tcBorders>
            <w:vAlign w:val="center"/>
          </w:tcPr>
          <w:p w14:paraId="4019EE47" w14:textId="77777777" w:rsidR="00EE717D" w:rsidRPr="00A75581" w:rsidRDefault="00EE717D" w:rsidP="00420B29">
            <w:pPr>
              <w:ind w:left="100"/>
            </w:pPr>
            <w:r w:rsidRPr="00A75581">
              <w:rPr>
                <w:rFonts w:eastAsia="Times New Roman"/>
              </w:rPr>
              <w:t>2</w:t>
            </w:r>
          </w:p>
          <w:p w14:paraId="3DD6F68E" w14:textId="4272A1A0" w:rsidR="00EE717D" w:rsidRPr="00A75581" w:rsidRDefault="00EE717D" w:rsidP="009A5F87">
            <w:pPr>
              <w:ind w:left="100"/>
            </w:pPr>
            <w:r w:rsidRPr="00A75581">
              <w:rPr>
                <w:rFonts w:eastAsia="Times New Roman"/>
              </w:rPr>
              <w:t>(0</w:t>
            </w:r>
            <w:r w:rsidR="009A5F87">
              <w:rPr>
                <w:rFonts w:eastAsia="Times New Roman"/>
                <w:lang w:val="bg-BG"/>
              </w:rPr>
              <w:t>,</w:t>
            </w:r>
            <w:r w:rsidRPr="00A75581">
              <w:rPr>
                <w:rFonts w:eastAsia="Times New Roman"/>
              </w:rPr>
              <w:t>3%)</w:t>
            </w:r>
          </w:p>
        </w:tc>
        <w:tc>
          <w:tcPr>
            <w:tcW w:w="2820" w:type="dxa"/>
            <w:tcBorders>
              <w:top w:val="single" w:sz="4" w:space="0" w:color="auto"/>
              <w:left w:val="single" w:sz="4" w:space="0" w:color="auto"/>
              <w:bottom w:val="single" w:sz="4" w:space="0" w:color="auto"/>
              <w:right w:val="single" w:sz="4" w:space="0" w:color="auto"/>
            </w:tcBorders>
            <w:vAlign w:val="center"/>
          </w:tcPr>
          <w:p w14:paraId="7ABD7A7A" w14:textId="77777777" w:rsidR="00EE717D" w:rsidRPr="00A75581" w:rsidRDefault="00EE717D" w:rsidP="00420B29">
            <w:pPr>
              <w:ind w:left="80"/>
            </w:pPr>
            <w:r w:rsidRPr="00A75581">
              <w:rPr>
                <w:rFonts w:eastAsia="Times New Roman"/>
              </w:rPr>
              <w:t>13</w:t>
            </w:r>
          </w:p>
          <w:p w14:paraId="521092CE" w14:textId="7C38594D" w:rsidR="00EE717D" w:rsidRPr="00A75581" w:rsidRDefault="00EE717D" w:rsidP="009A5F87">
            <w:pPr>
              <w:ind w:left="80"/>
            </w:pPr>
            <w:r w:rsidRPr="00A75581">
              <w:rPr>
                <w:rFonts w:eastAsia="Times New Roman"/>
              </w:rPr>
              <w:t>(2</w:t>
            </w:r>
            <w:r w:rsidR="009A5F87">
              <w:rPr>
                <w:rFonts w:eastAsia="Times New Roman"/>
                <w:lang w:val="bg-BG"/>
              </w:rPr>
              <w:t>,</w:t>
            </w:r>
            <w:r w:rsidRPr="00A75581">
              <w:rPr>
                <w:rFonts w:eastAsia="Times New Roman"/>
              </w:rPr>
              <w:t>2%)</w:t>
            </w:r>
          </w:p>
        </w:tc>
        <w:tc>
          <w:tcPr>
            <w:tcW w:w="30" w:type="dxa"/>
            <w:vMerge/>
            <w:tcBorders>
              <w:left w:val="single" w:sz="4" w:space="0" w:color="auto"/>
              <w:bottom w:val="nil"/>
            </w:tcBorders>
            <w:vAlign w:val="bottom"/>
          </w:tcPr>
          <w:p w14:paraId="60DCC5AC" w14:textId="77777777" w:rsidR="00EE717D" w:rsidRPr="00A75581" w:rsidRDefault="00EE717D" w:rsidP="00420B29"/>
        </w:tc>
      </w:tr>
      <w:tr w:rsidR="00EE717D" w:rsidRPr="00A75581" w14:paraId="6958E6EB" w14:textId="77777777" w:rsidTr="00420B29">
        <w:trPr>
          <w:trHeight w:val="20"/>
        </w:trPr>
        <w:tc>
          <w:tcPr>
            <w:tcW w:w="3700" w:type="dxa"/>
            <w:tcBorders>
              <w:top w:val="single" w:sz="4" w:space="0" w:color="auto"/>
              <w:left w:val="single" w:sz="4" w:space="0" w:color="auto"/>
              <w:bottom w:val="single" w:sz="4" w:space="0" w:color="auto"/>
              <w:right w:val="single" w:sz="4" w:space="0" w:color="auto"/>
            </w:tcBorders>
            <w:vAlign w:val="center"/>
          </w:tcPr>
          <w:p w14:paraId="20FDFBA9" w14:textId="2007BF9A" w:rsidR="009A5F87" w:rsidRDefault="009A5F87" w:rsidP="009A5F87">
            <w:pPr>
              <w:pStyle w:val="Default"/>
              <w:rPr>
                <w:sz w:val="22"/>
                <w:szCs w:val="22"/>
              </w:rPr>
            </w:pPr>
            <w:r>
              <w:rPr>
                <w:sz w:val="22"/>
                <w:szCs w:val="22"/>
              </w:rPr>
              <w:t xml:space="preserve">            Симптоматична </w:t>
            </w:r>
          </w:p>
          <w:p w14:paraId="09671B27" w14:textId="775B5B41" w:rsidR="009A5F87" w:rsidRDefault="009A5F87" w:rsidP="009A5F87">
            <w:pPr>
              <w:pStyle w:val="Default"/>
            </w:pPr>
            <w:r>
              <w:rPr>
                <w:sz w:val="22"/>
                <w:szCs w:val="22"/>
              </w:rPr>
              <w:t xml:space="preserve">            рецидивираща ДВТ </w:t>
            </w:r>
          </w:p>
          <w:p w14:paraId="39F6AB55" w14:textId="4B961B9F" w:rsidR="00EE717D" w:rsidRPr="00A75581" w:rsidRDefault="00EE717D" w:rsidP="00420B29">
            <w:pPr>
              <w:ind w:left="680"/>
            </w:pPr>
          </w:p>
        </w:tc>
        <w:tc>
          <w:tcPr>
            <w:tcW w:w="2680" w:type="dxa"/>
            <w:tcBorders>
              <w:top w:val="single" w:sz="4" w:space="0" w:color="auto"/>
              <w:left w:val="single" w:sz="4" w:space="0" w:color="auto"/>
              <w:bottom w:val="single" w:sz="4" w:space="0" w:color="auto"/>
              <w:right w:val="single" w:sz="4" w:space="0" w:color="auto"/>
            </w:tcBorders>
            <w:vAlign w:val="center"/>
          </w:tcPr>
          <w:p w14:paraId="4717B917" w14:textId="77777777" w:rsidR="00EE717D" w:rsidRPr="00A75581" w:rsidRDefault="00EE717D" w:rsidP="00420B29">
            <w:pPr>
              <w:ind w:left="100"/>
            </w:pPr>
            <w:r w:rsidRPr="00A75581">
              <w:rPr>
                <w:rFonts w:eastAsia="Times New Roman"/>
              </w:rPr>
              <w:t>5</w:t>
            </w:r>
          </w:p>
          <w:p w14:paraId="74247FB1" w14:textId="1585F11F" w:rsidR="00EE717D" w:rsidRPr="00A75581" w:rsidRDefault="009A5F87" w:rsidP="00420B29">
            <w:pPr>
              <w:ind w:left="100"/>
            </w:pPr>
            <w:r>
              <w:rPr>
                <w:rFonts w:eastAsia="Times New Roman"/>
              </w:rPr>
              <w:t>(0,</w:t>
            </w:r>
            <w:r w:rsidR="00EE717D" w:rsidRPr="00A75581">
              <w:rPr>
                <w:rFonts w:eastAsia="Times New Roman"/>
              </w:rPr>
              <w:t>8%)</w:t>
            </w:r>
          </w:p>
        </w:tc>
        <w:tc>
          <w:tcPr>
            <w:tcW w:w="2820" w:type="dxa"/>
            <w:tcBorders>
              <w:top w:val="single" w:sz="4" w:space="0" w:color="auto"/>
              <w:left w:val="single" w:sz="4" w:space="0" w:color="auto"/>
              <w:bottom w:val="single" w:sz="4" w:space="0" w:color="auto"/>
              <w:right w:val="single" w:sz="4" w:space="0" w:color="auto"/>
            </w:tcBorders>
            <w:vAlign w:val="center"/>
          </w:tcPr>
          <w:p w14:paraId="3743AF6C" w14:textId="77777777" w:rsidR="00EE717D" w:rsidRPr="00A75581" w:rsidRDefault="00EE717D" w:rsidP="00420B29">
            <w:pPr>
              <w:ind w:left="80"/>
            </w:pPr>
            <w:r w:rsidRPr="00A75581">
              <w:rPr>
                <w:rFonts w:eastAsia="Times New Roman"/>
              </w:rPr>
              <w:t>31</w:t>
            </w:r>
          </w:p>
          <w:p w14:paraId="3AADA178" w14:textId="694909B7" w:rsidR="00EE717D" w:rsidRPr="00A75581" w:rsidRDefault="009A5F87" w:rsidP="00420B29">
            <w:pPr>
              <w:ind w:left="80"/>
            </w:pPr>
            <w:r>
              <w:rPr>
                <w:rFonts w:eastAsia="Times New Roman"/>
              </w:rPr>
              <w:t>(5,</w:t>
            </w:r>
            <w:r w:rsidR="00EE717D" w:rsidRPr="00A75581">
              <w:rPr>
                <w:rFonts w:eastAsia="Times New Roman"/>
              </w:rPr>
              <w:t>2%)</w:t>
            </w:r>
          </w:p>
        </w:tc>
        <w:tc>
          <w:tcPr>
            <w:tcW w:w="30" w:type="dxa"/>
            <w:vMerge/>
            <w:tcBorders>
              <w:left w:val="single" w:sz="4" w:space="0" w:color="auto"/>
              <w:bottom w:val="nil"/>
            </w:tcBorders>
            <w:vAlign w:val="bottom"/>
          </w:tcPr>
          <w:p w14:paraId="32184D44" w14:textId="77777777" w:rsidR="00EE717D" w:rsidRPr="00A75581" w:rsidRDefault="00EE717D" w:rsidP="00420B29"/>
        </w:tc>
      </w:tr>
      <w:tr w:rsidR="00EE717D" w:rsidRPr="00A75581" w14:paraId="6BB7BE12" w14:textId="77777777" w:rsidTr="00420B29">
        <w:trPr>
          <w:trHeight w:val="20"/>
        </w:trPr>
        <w:tc>
          <w:tcPr>
            <w:tcW w:w="3700" w:type="dxa"/>
            <w:tcBorders>
              <w:top w:val="single" w:sz="4" w:space="0" w:color="auto"/>
              <w:left w:val="single" w:sz="4" w:space="0" w:color="auto"/>
              <w:bottom w:val="single" w:sz="4" w:space="0" w:color="auto"/>
              <w:right w:val="single" w:sz="4" w:space="0" w:color="auto"/>
            </w:tcBorders>
            <w:vAlign w:val="center"/>
          </w:tcPr>
          <w:p w14:paraId="129FAE93" w14:textId="307A2959" w:rsidR="00EE717D" w:rsidRPr="00A75581" w:rsidRDefault="009A5F87" w:rsidP="00420B29">
            <w:pPr>
              <w:ind w:left="680"/>
            </w:pPr>
            <w:r w:rsidRPr="009A5F87">
              <w:rPr>
                <w:rFonts w:eastAsia="Times New Roman"/>
              </w:rPr>
              <w:t>Летален БЕ/смърт, при която не може да се изключи БЕ</w:t>
            </w:r>
          </w:p>
        </w:tc>
        <w:tc>
          <w:tcPr>
            <w:tcW w:w="2680" w:type="dxa"/>
            <w:tcBorders>
              <w:top w:val="single" w:sz="4" w:space="0" w:color="auto"/>
              <w:left w:val="single" w:sz="4" w:space="0" w:color="auto"/>
              <w:bottom w:val="single" w:sz="4" w:space="0" w:color="auto"/>
              <w:right w:val="single" w:sz="4" w:space="0" w:color="auto"/>
            </w:tcBorders>
            <w:vAlign w:val="center"/>
          </w:tcPr>
          <w:p w14:paraId="12F8F1C8" w14:textId="77777777" w:rsidR="00EE717D" w:rsidRPr="00A75581" w:rsidRDefault="00EE717D" w:rsidP="00420B29">
            <w:pPr>
              <w:ind w:left="100"/>
            </w:pPr>
            <w:r w:rsidRPr="00A75581">
              <w:rPr>
                <w:rFonts w:eastAsia="Times New Roman"/>
              </w:rPr>
              <w:t>1</w:t>
            </w:r>
          </w:p>
          <w:p w14:paraId="736037DB" w14:textId="6C0FED67" w:rsidR="00EE717D" w:rsidRPr="00A75581" w:rsidRDefault="009A5F87" w:rsidP="00420B29">
            <w:pPr>
              <w:ind w:left="100"/>
            </w:pPr>
            <w:r>
              <w:rPr>
                <w:rFonts w:eastAsia="Times New Roman"/>
              </w:rPr>
              <w:t>(0,</w:t>
            </w:r>
            <w:r w:rsidR="00EE717D" w:rsidRPr="00A75581">
              <w:rPr>
                <w:rFonts w:eastAsia="Times New Roman"/>
              </w:rPr>
              <w:t>2%)</w:t>
            </w:r>
          </w:p>
        </w:tc>
        <w:tc>
          <w:tcPr>
            <w:tcW w:w="2820" w:type="dxa"/>
            <w:tcBorders>
              <w:top w:val="single" w:sz="4" w:space="0" w:color="auto"/>
              <w:left w:val="single" w:sz="4" w:space="0" w:color="auto"/>
              <w:bottom w:val="single" w:sz="4" w:space="0" w:color="auto"/>
              <w:right w:val="single" w:sz="4" w:space="0" w:color="auto"/>
            </w:tcBorders>
            <w:vAlign w:val="center"/>
          </w:tcPr>
          <w:p w14:paraId="4D4BC139" w14:textId="77777777" w:rsidR="00EE717D" w:rsidRPr="00A75581" w:rsidRDefault="00EE717D" w:rsidP="00420B29">
            <w:pPr>
              <w:ind w:left="80"/>
            </w:pPr>
            <w:r w:rsidRPr="00A75581">
              <w:rPr>
                <w:rFonts w:eastAsia="Times New Roman"/>
              </w:rPr>
              <w:t>1</w:t>
            </w:r>
          </w:p>
          <w:p w14:paraId="6E407A80" w14:textId="7DCB9935" w:rsidR="00EE717D" w:rsidRPr="00A75581" w:rsidRDefault="009A5F87" w:rsidP="00420B29">
            <w:pPr>
              <w:ind w:left="80"/>
            </w:pPr>
            <w:r>
              <w:rPr>
                <w:rFonts w:eastAsia="Times New Roman"/>
              </w:rPr>
              <w:t>(0,</w:t>
            </w:r>
            <w:r w:rsidR="00EE717D" w:rsidRPr="00A75581">
              <w:rPr>
                <w:rFonts w:eastAsia="Times New Roman"/>
              </w:rPr>
              <w:t>2%)</w:t>
            </w:r>
          </w:p>
        </w:tc>
        <w:tc>
          <w:tcPr>
            <w:tcW w:w="30" w:type="dxa"/>
            <w:vMerge/>
            <w:tcBorders>
              <w:left w:val="single" w:sz="4" w:space="0" w:color="auto"/>
              <w:bottom w:val="nil"/>
            </w:tcBorders>
            <w:vAlign w:val="bottom"/>
          </w:tcPr>
          <w:p w14:paraId="3AA875B0" w14:textId="77777777" w:rsidR="00EE717D" w:rsidRPr="00A75581" w:rsidRDefault="00EE717D" w:rsidP="00420B29"/>
        </w:tc>
      </w:tr>
      <w:tr w:rsidR="00EE717D" w:rsidRPr="00A75581" w14:paraId="11285590" w14:textId="77777777" w:rsidTr="00420B29">
        <w:trPr>
          <w:trHeight w:val="20"/>
        </w:trPr>
        <w:tc>
          <w:tcPr>
            <w:tcW w:w="3700" w:type="dxa"/>
            <w:tcBorders>
              <w:top w:val="single" w:sz="4" w:space="0" w:color="auto"/>
              <w:left w:val="single" w:sz="4" w:space="0" w:color="auto"/>
              <w:bottom w:val="single" w:sz="4" w:space="0" w:color="auto"/>
              <w:right w:val="single" w:sz="4" w:space="0" w:color="auto"/>
            </w:tcBorders>
            <w:vAlign w:val="center"/>
          </w:tcPr>
          <w:p w14:paraId="0303B047" w14:textId="7E7339C3" w:rsidR="00EE717D" w:rsidRPr="00A75581" w:rsidRDefault="009A5F87" w:rsidP="00420B29">
            <w:pPr>
              <w:ind w:left="100"/>
            </w:pPr>
            <w:r w:rsidRPr="009A5F87">
              <w:rPr>
                <w:rFonts w:eastAsia="Times New Roman"/>
              </w:rPr>
              <w:t>Големи кръвоизливи</w:t>
            </w:r>
          </w:p>
        </w:tc>
        <w:tc>
          <w:tcPr>
            <w:tcW w:w="2680" w:type="dxa"/>
            <w:tcBorders>
              <w:top w:val="single" w:sz="4" w:space="0" w:color="auto"/>
              <w:left w:val="single" w:sz="4" w:space="0" w:color="auto"/>
              <w:bottom w:val="single" w:sz="4" w:space="0" w:color="auto"/>
              <w:right w:val="single" w:sz="4" w:space="0" w:color="auto"/>
            </w:tcBorders>
            <w:vAlign w:val="center"/>
          </w:tcPr>
          <w:p w14:paraId="3F8E5176" w14:textId="77777777" w:rsidR="00EE717D" w:rsidRPr="00A75581" w:rsidRDefault="00EE717D" w:rsidP="00420B29">
            <w:pPr>
              <w:ind w:left="100"/>
            </w:pPr>
            <w:r w:rsidRPr="00A75581">
              <w:rPr>
                <w:rFonts w:eastAsia="Times New Roman"/>
              </w:rPr>
              <w:t>4</w:t>
            </w:r>
          </w:p>
          <w:p w14:paraId="51D7E227" w14:textId="36112B17" w:rsidR="00EE717D" w:rsidRPr="00A75581" w:rsidRDefault="009A5F87" w:rsidP="00420B29">
            <w:pPr>
              <w:ind w:left="100"/>
            </w:pPr>
            <w:r>
              <w:rPr>
                <w:rFonts w:eastAsia="Times New Roman"/>
              </w:rPr>
              <w:t>(0,</w:t>
            </w:r>
            <w:r w:rsidR="00EE717D" w:rsidRPr="00A75581">
              <w:rPr>
                <w:rFonts w:eastAsia="Times New Roman"/>
              </w:rPr>
              <w:t>7%)</w:t>
            </w:r>
          </w:p>
        </w:tc>
        <w:tc>
          <w:tcPr>
            <w:tcW w:w="2820" w:type="dxa"/>
            <w:tcBorders>
              <w:top w:val="single" w:sz="4" w:space="0" w:color="auto"/>
              <w:left w:val="single" w:sz="4" w:space="0" w:color="auto"/>
              <w:bottom w:val="single" w:sz="4" w:space="0" w:color="auto"/>
              <w:right w:val="single" w:sz="4" w:space="0" w:color="auto"/>
            </w:tcBorders>
            <w:vAlign w:val="center"/>
          </w:tcPr>
          <w:p w14:paraId="620BCB2E" w14:textId="77777777" w:rsidR="00EE717D" w:rsidRPr="00A75581" w:rsidRDefault="00EE717D" w:rsidP="00420B29">
            <w:pPr>
              <w:ind w:left="80"/>
            </w:pPr>
            <w:r w:rsidRPr="00A75581">
              <w:rPr>
                <w:rFonts w:eastAsia="Times New Roman"/>
              </w:rPr>
              <w:t>0</w:t>
            </w:r>
          </w:p>
          <w:p w14:paraId="797E9BD1" w14:textId="59D8820E" w:rsidR="00EE717D" w:rsidRPr="00A75581" w:rsidRDefault="009A5F87" w:rsidP="00420B29">
            <w:pPr>
              <w:ind w:left="80"/>
            </w:pPr>
            <w:r>
              <w:rPr>
                <w:rFonts w:eastAsia="Times New Roman"/>
              </w:rPr>
              <w:t>(0,</w:t>
            </w:r>
            <w:r w:rsidR="00EE717D" w:rsidRPr="00A75581">
              <w:rPr>
                <w:rFonts w:eastAsia="Times New Roman"/>
              </w:rPr>
              <w:t>0%)</w:t>
            </w:r>
          </w:p>
        </w:tc>
        <w:tc>
          <w:tcPr>
            <w:tcW w:w="30" w:type="dxa"/>
            <w:vMerge/>
            <w:tcBorders>
              <w:left w:val="single" w:sz="4" w:space="0" w:color="auto"/>
              <w:bottom w:val="nil"/>
            </w:tcBorders>
            <w:vAlign w:val="bottom"/>
          </w:tcPr>
          <w:p w14:paraId="092CA7A7" w14:textId="77777777" w:rsidR="00EE717D" w:rsidRPr="00A75581" w:rsidRDefault="00EE717D" w:rsidP="00420B29"/>
        </w:tc>
      </w:tr>
      <w:tr w:rsidR="00EE717D" w:rsidRPr="00A75581" w14:paraId="3C3A6470" w14:textId="77777777" w:rsidTr="00420B29">
        <w:trPr>
          <w:trHeight w:val="20"/>
        </w:trPr>
        <w:tc>
          <w:tcPr>
            <w:tcW w:w="3700" w:type="dxa"/>
            <w:tcBorders>
              <w:top w:val="single" w:sz="4" w:space="0" w:color="auto"/>
              <w:left w:val="single" w:sz="4" w:space="0" w:color="auto"/>
              <w:bottom w:val="single" w:sz="4" w:space="0" w:color="auto"/>
              <w:right w:val="single" w:sz="4" w:space="0" w:color="auto"/>
            </w:tcBorders>
            <w:vAlign w:val="center"/>
          </w:tcPr>
          <w:p w14:paraId="53672903" w14:textId="0569141E" w:rsidR="00EE717D" w:rsidRPr="00A75581" w:rsidRDefault="009A5F87" w:rsidP="00420B29">
            <w:pPr>
              <w:ind w:left="100"/>
            </w:pPr>
            <w:r w:rsidRPr="009A5F87">
              <w:rPr>
                <w:rFonts w:eastAsia="Times New Roman"/>
              </w:rPr>
              <w:t>Клинично значими неголеми кръвоизливи</w:t>
            </w:r>
          </w:p>
        </w:tc>
        <w:tc>
          <w:tcPr>
            <w:tcW w:w="2680" w:type="dxa"/>
            <w:tcBorders>
              <w:top w:val="single" w:sz="4" w:space="0" w:color="auto"/>
              <w:left w:val="single" w:sz="4" w:space="0" w:color="auto"/>
              <w:bottom w:val="single" w:sz="4" w:space="0" w:color="auto"/>
              <w:right w:val="single" w:sz="4" w:space="0" w:color="auto"/>
            </w:tcBorders>
            <w:vAlign w:val="center"/>
          </w:tcPr>
          <w:p w14:paraId="379D3EAB" w14:textId="77777777" w:rsidR="00EE717D" w:rsidRPr="00A75581" w:rsidRDefault="00EE717D" w:rsidP="00420B29">
            <w:pPr>
              <w:ind w:left="100"/>
            </w:pPr>
            <w:r w:rsidRPr="00A75581">
              <w:rPr>
                <w:rFonts w:eastAsia="Times New Roman"/>
              </w:rPr>
              <w:t>32</w:t>
            </w:r>
          </w:p>
          <w:p w14:paraId="2679F326" w14:textId="5B7166B0" w:rsidR="00EE717D" w:rsidRPr="00A75581" w:rsidRDefault="009A5F87" w:rsidP="00420B29">
            <w:pPr>
              <w:ind w:left="100"/>
            </w:pPr>
            <w:r>
              <w:rPr>
                <w:rFonts w:eastAsia="Times New Roman"/>
              </w:rPr>
              <w:t>(5,</w:t>
            </w:r>
            <w:r w:rsidR="00EE717D" w:rsidRPr="00A75581">
              <w:rPr>
                <w:rFonts w:eastAsia="Times New Roman"/>
              </w:rPr>
              <w:t>4%)</w:t>
            </w:r>
          </w:p>
        </w:tc>
        <w:tc>
          <w:tcPr>
            <w:tcW w:w="2820" w:type="dxa"/>
            <w:tcBorders>
              <w:top w:val="single" w:sz="4" w:space="0" w:color="auto"/>
              <w:left w:val="single" w:sz="4" w:space="0" w:color="auto"/>
              <w:bottom w:val="single" w:sz="4" w:space="0" w:color="auto"/>
              <w:right w:val="single" w:sz="4" w:space="0" w:color="auto"/>
            </w:tcBorders>
            <w:vAlign w:val="center"/>
          </w:tcPr>
          <w:p w14:paraId="2F71C828" w14:textId="77777777" w:rsidR="00EE717D" w:rsidRPr="00A75581" w:rsidRDefault="00EE717D" w:rsidP="00420B29">
            <w:pPr>
              <w:ind w:left="80"/>
            </w:pPr>
            <w:r w:rsidRPr="00A75581">
              <w:rPr>
                <w:rFonts w:eastAsia="Times New Roman"/>
              </w:rPr>
              <w:t>7</w:t>
            </w:r>
          </w:p>
          <w:p w14:paraId="3B1867B8" w14:textId="53C88E34" w:rsidR="00EE717D" w:rsidRPr="00A75581" w:rsidRDefault="009A5F87" w:rsidP="00420B29">
            <w:pPr>
              <w:ind w:left="80"/>
            </w:pPr>
            <w:r>
              <w:rPr>
                <w:rFonts w:eastAsia="Times New Roman"/>
              </w:rPr>
              <w:t>(1,</w:t>
            </w:r>
            <w:r w:rsidR="00EE717D" w:rsidRPr="00A75581">
              <w:rPr>
                <w:rFonts w:eastAsia="Times New Roman"/>
              </w:rPr>
              <w:t>2%)</w:t>
            </w:r>
          </w:p>
        </w:tc>
        <w:tc>
          <w:tcPr>
            <w:tcW w:w="30" w:type="dxa"/>
            <w:vMerge/>
            <w:tcBorders>
              <w:left w:val="single" w:sz="4" w:space="0" w:color="auto"/>
              <w:bottom w:val="nil"/>
            </w:tcBorders>
            <w:vAlign w:val="bottom"/>
          </w:tcPr>
          <w:p w14:paraId="324FD8BC" w14:textId="77777777" w:rsidR="00EE717D" w:rsidRPr="00A75581" w:rsidRDefault="00EE717D" w:rsidP="00420B29"/>
        </w:tc>
      </w:tr>
    </w:tbl>
    <w:p w14:paraId="20C90C6F" w14:textId="6FB13DA2" w:rsidR="00420B29" w:rsidRDefault="00420B29" w:rsidP="00420B29">
      <w:pPr>
        <w:pStyle w:val="Default"/>
        <w:rPr>
          <w:sz w:val="22"/>
          <w:szCs w:val="22"/>
        </w:rPr>
      </w:pPr>
      <w:r>
        <w:rPr>
          <w:sz w:val="22"/>
          <w:szCs w:val="22"/>
        </w:rPr>
        <w:t xml:space="preserve">a) </w:t>
      </w:r>
      <w:r>
        <w:rPr>
          <w:sz w:val="22"/>
          <w:szCs w:val="22"/>
        </w:rPr>
        <w:tab/>
        <w:t xml:space="preserve">Ривароксабан 20 mg един път дневно </w:t>
      </w:r>
    </w:p>
    <w:p w14:paraId="6EFC2C3C" w14:textId="17777693" w:rsidR="00A16AF0" w:rsidRDefault="00420B29" w:rsidP="00420B29">
      <w:pPr>
        <w:ind w:left="680" w:hanging="640"/>
        <w:rPr>
          <w:rFonts w:eastAsia="Times New Roman"/>
          <w:lang w:val="bg-BG"/>
        </w:rPr>
      </w:pPr>
      <w:r>
        <w:rPr>
          <w:b/>
          <w:bCs/>
        </w:rPr>
        <w:t>*</w:t>
      </w:r>
      <w:r>
        <w:rPr>
          <w:b/>
          <w:bCs/>
        </w:rPr>
        <w:tab/>
        <w:t xml:space="preserve"> </w:t>
      </w:r>
      <w:r>
        <w:t xml:space="preserve">p &lt; 0,0001 (превъзходство), HR: 0,185 (0,087 - 0,393) </w:t>
      </w:r>
    </w:p>
    <w:p w14:paraId="759275E2" w14:textId="77777777" w:rsidR="00420B29" w:rsidRDefault="00420B29" w:rsidP="00C77EFB">
      <w:pPr>
        <w:ind w:left="680" w:hanging="640"/>
      </w:pPr>
    </w:p>
    <w:p w14:paraId="4A55DEE9" w14:textId="3BB40923" w:rsidR="00A16AF0" w:rsidRDefault="00420B29" w:rsidP="00420B29">
      <w:r>
        <w:t>В проучванет</w:t>
      </w:r>
      <w:r w:rsidR="00004FF2">
        <w:t>о Einstein Choice (вж. Таблица 10</w:t>
      </w:r>
      <w:r>
        <w:t xml:space="preserve">) </w:t>
      </w:r>
      <w:r>
        <w:rPr>
          <w:sz w:val="23"/>
          <w:szCs w:val="23"/>
        </w:rPr>
        <w:t xml:space="preserve">ривароксабан </w:t>
      </w:r>
      <w:r>
        <w:t xml:space="preserve">20 mg и 10 mg превъзхожда 100 mg ацетилсалицилова киселина по отношение на първичния резултат за ефикасност. Основният резултат за безопасност (събития на голям кръвоизлив) е сходен при пациентите, лекувани с </w:t>
      </w:r>
      <w:r>
        <w:rPr>
          <w:sz w:val="23"/>
          <w:szCs w:val="23"/>
        </w:rPr>
        <w:t xml:space="preserve">ривароксабан </w:t>
      </w:r>
      <w:r>
        <w:t>20 mg и 10 mg веднъж дневно в сравнение със 100 mg ацетилсалицилова киселина.</w:t>
      </w:r>
    </w:p>
    <w:p w14:paraId="17C5D16F" w14:textId="5C693B33" w:rsidR="00420B29" w:rsidRDefault="00420B29" w:rsidP="00420B29"/>
    <w:p w14:paraId="4C10FB9A" w14:textId="0B10D4F7" w:rsidR="00420B29" w:rsidRDefault="00420B29" w:rsidP="00420B29"/>
    <w:p w14:paraId="085F5236" w14:textId="5473FB7B" w:rsidR="00420B29" w:rsidRPr="00A75581" w:rsidRDefault="00004FF2" w:rsidP="00420B29">
      <w:r>
        <w:rPr>
          <w:rFonts w:eastAsia="Times New Roman"/>
          <w:b/>
          <w:bCs/>
        </w:rPr>
        <w:t>Таблица 10</w:t>
      </w:r>
      <w:r w:rsidR="00420B29" w:rsidRPr="00420B29">
        <w:rPr>
          <w:rFonts w:eastAsia="Times New Roman"/>
          <w:b/>
          <w:bCs/>
        </w:rPr>
        <w:t>: Резултати за ефикасност и безопасност от фаза III Einstein Choice</w:t>
      </w:r>
    </w:p>
    <w:tbl>
      <w:tblPr>
        <w:tblW w:w="93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76"/>
        <w:gridCol w:w="2160"/>
        <w:gridCol w:w="2124"/>
        <w:gridCol w:w="2139"/>
        <w:gridCol w:w="140"/>
      </w:tblGrid>
      <w:tr w:rsidR="00420B29" w:rsidRPr="00A75581" w14:paraId="0652BC8E" w14:textId="77777777" w:rsidTr="00420B29">
        <w:trPr>
          <w:trHeight w:val="20"/>
        </w:trPr>
        <w:tc>
          <w:tcPr>
            <w:tcW w:w="2776" w:type="dxa"/>
            <w:vAlign w:val="center"/>
          </w:tcPr>
          <w:p w14:paraId="4BE191F2" w14:textId="68C59E98" w:rsidR="00420B29" w:rsidRPr="00A75581" w:rsidRDefault="00420B29" w:rsidP="00420B29">
            <w:pPr>
              <w:ind w:left="100"/>
            </w:pPr>
            <w:r w:rsidRPr="00420B29">
              <w:rPr>
                <w:rFonts w:eastAsia="Times New Roman"/>
                <w:b/>
                <w:bCs/>
              </w:rPr>
              <w:t>Проучвана популация</w:t>
            </w:r>
          </w:p>
        </w:tc>
        <w:tc>
          <w:tcPr>
            <w:tcW w:w="6423" w:type="dxa"/>
            <w:gridSpan w:val="3"/>
            <w:tcBorders>
              <w:right w:val="single" w:sz="4" w:space="0" w:color="auto"/>
            </w:tcBorders>
            <w:vAlign w:val="center"/>
          </w:tcPr>
          <w:p w14:paraId="27A8D0D3" w14:textId="097C3C90" w:rsidR="00420B29" w:rsidRPr="00A75581" w:rsidRDefault="00420B29" w:rsidP="00420B29">
            <w:pPr>
              <w:ind w:left="100"/>
            </w:pPr>
            <w:r w:rsidRPr="00420B29">
              <w:rPr>
                <w:rFonts w:eastAsia="Times New Roman"/>
                <w:b/>
                <w:bCs/>
              </w:rPr>
              <w:t>3 396 са продължили профилактиката за рецидивиращ венозен тромбоемболизъм</w:t>
            </w:r>
          </w:p>
        </w:tc>
        <w:tc>
          <w:tcPr>
            <w:tcW w:w="140" w:type="dxa"/>
            <w:vMerge w:val="restart"/>
            <w:tcBorders>
              <w:top w:val="nil"/>
              <w:left w:val="single" w:sz="4" w:space="0" w:color="auto"/>
              <w:right w:val="nil"/>
            </w:tcBorders>
          </w:tcPr>
          <w:p w14:paraId="125FF550" w14:textId="77777777" w:rsidR="00420B29" w:rsidRPr="00A75581" w:rsidRDefault="00420B29" w:rsidP="00420B29"/>
        </w:tc>
      </w:tr>
      <w:tr w:rsidR="00420B29" w:rsidRPr="00A75581" w14:paraId="22B18BF0" w14:textId="77777777" w:rsidTr="00420B29">
        <w:trPr>
          <w:trHeight w:val="20"/>
        </w:trPr>
        <w:tc>
          <w:tcPr>
            <w:tcW w:w="2776" w:type="dxa"/>
            <w:vAlign w:val="center"/>
          </w:tcPr>
          <w:p w14:paraId="2F1859CC" w14:textId="1E065C7D" w:rsidR="00420B29" w:rsidRPr="00A75581" w:rsidRDefault="00420B29" w:rsidP="00420B29">
            <w:pPr>
              <w:ind w:left="100"/>
            </w:pPr>
            <w:r w:rsidRPr="00420B29">
              <w:rPr>
                <w:rFonts w:eastAsia="Times New Roman"/>
                <w:b/>
                <w:bCs/>
              </w:rPr>
              <w:t>Терапевтична доза</w:t>
            </w:r>
          </w:p>
        </w:tc>
        <w:tc>
          <w:tcPr>
            <w:tcW w:w="2160" w:type="dxa"/>
            <w:vAlign w:val="center"/>
          </w:tcPr>
          <w:p w14:paraId="3AA54D8C" w14:textId="77777777" w:rsidR="00420B29" w:rsidRDefault="00420B29" w:rsidP="00420B29">
            <w:pPr>
              <w:pStyle w:val="Default"/>
              <w:rPr>
                <w:sz w:val="22"/>
                <w:szCs w:val="22"/>
              </w:rPr>
            </w:pPr>
            <w:r>
              <w:rPr>
                <w:b/>
                <w:bCs/>
                <w:sz w:val="23"/>
                <w:szCs w:val="23"/>
              </w:rPr>
              <w:t xml:space="preserve">Ривароксабан </w:t>
            </w:r>
            <w:r>
              <w:rPr>
                <w:b/>
                <w:bCs/>
                <w:sz w:val="22"/>
                <w:szCs w:val="22"/>
              </w:rPr>
              <w:t xml:space="preserve">20 mg веднъж дневно </w:t>
            </w:r>
          </w:p>
          <w:p w14:paraId="43E1719B" w14:textId="2041CD4D" w:rsidR="00420B29" w:rsidRPr="00A75581" w:rsidRDefault="00420B29" w:rsidP="00420B29">
            <w:pPr>
              <w:ind w:left="100"/>
            </w:pPr>
            <w:r>
              <w:rPr>
                <w:b/>
                <w:bCs/>
              </w:rPr>
              <w:t xml:space="preserve">N=1 107 </w:t>
            </w:r>
          </w:p>
        </w:tc>
        <w:tc>
          <w:tcPr>
            <w:tcW w:w="2124" w:type="dxa"/>
            <w:vAlign w:val="center"/>
          </w:tcPr>
          <w:p w14:paraId="1D001D32" w14:textId="596E4915" w:rsidR="00420B29" w:rsidRPr="00420B29" w:rsidRDefault="00420B29" w:rsidP="00420B29">
            <w:pPr>
              <w:pStyle w:val="Default"/>
              <w:rPr>
                <w:b/>
                <w:bCs/>
                <w:sz w:val="23"/>
                <w:szCs w:val="23"/>
              </w:rPr>
            </w:pPr>
            <w:r>
              <w:rPr>
                <w:b/>
                <w:bCs/>
                <w:sz w:val="23"/>
                <w:szCs w:val="23"/>
              </w:rPr>
              <w:t xml:space="preserve">Ривароксабан </w:t>
            </w:r>
            <w:r>
              <w:rPr>
                <w:b/>
                <w:bCs/>
                <w:sz w:val="22"/>
                <w:szCs w:val="22"/>
              </w:rPr>
              <w:t xml:space="preserve">10 mg веднъж дневно </w:t>
            </w:r>
          </w:p>
          <w:p w14:paraId="5C829F6C" w14:textId="225C0120" w:rsidR="00420B29" w:rsidRPr="00A75581" w:rsidRDefault="00420B29" w:rsidP="00420B29">
            <w:pPr>
              <w:ind w:left="80"/>
            </w:pPr>
            <w:r>
              <w:rPr>
                <w:b/>
                <w:bCs/>
              </w:rPr>
              <w:t xml:space="preserve">N=1 127 </w:t>
            </w:r>
          </w:p>
        </w:tc>
        <w:tc>
          <w:tcPr>
            <w:tcW w:w="2139" w:type="dxa"/>
            <w:tcBorders>
              <w:right w:val="single" w:sz="4" w:space="0" w:color="auto"/>
            </w:tcBorders>
            <w:vAlign w:val="center"/>
          </w:tcPr>
          <w:p w14:paraId="0E870953" w14:textId="77777777" w:rsidR="00420B29" w:rsidRDefault="00420B29" w:rsidP="00420B29">
            <w:pPr>
              <w:pStyle w:val="Default"/>
              <w:rPr>
                <w:b/>
                <w:bCs/>
                <w:sz w:val="22"/>
                <w:szCs w:val="22"/>
              </w:rPr>
            </w:pPr>
            <w:r>
              <w:rPr>
                <w:b/>
                <w:bCs/>
                <w:sz w:val="22"/>
                <w:szCs w:val="22"/>
              </w:rPr>
              <w:t xml:space="preserve">АСК 100 mg </w:t>
            </w:r>
          </w:p>
          <w:p w14:paraId="2F0A7AD7" w14:textId="19668EF5" w:rsidR="00420B29" w:rsidRDefault="00420B29" w:rsidP="00420B29">
            <w:pPr>
              <w:pStyle w:val="Default"/>
              <w:rPr>
                <w:sz w:val="22"/>
                <w:szCs w:val="22"/>
              </w:rPr>
            </w:pPr>
            <w:r>
              <w:rPr>
                <w:b/>
                <w:bCs/>
                <w:sz w:val="22"/>
                <w:szCs w:val="22"/>
              </w:rPr>
              <w:t xml:space="preserve">веднъж дневно </w:t>
            </w:r>
          </w:p>
          <w:p w14:paraId="778D5EF1" w14:textId="05BB6E69" w:rsidR="00420B29" w:rsidRPr="00A75581" w:rsidRDefault="00420B29" w:rsidP="00420B29">
            <w:pPr>
              <w:ind w:left="100"/>
            </w:pPr>
            <w:r>
              <w:rPr>
                <w:b/>
                <w:bCs/>
              </w:rPr>
              <w:t xml:space="preserve">N=1 131 </w:t>
            </w:r>
          </w:p>
        </w:tc>
        <w:tc>
          <w:tcPr>
            <w:tcW w:w="140" w:type="dxa"/>
            <w:vMerge/>
            <w:tcBorders>
              <w:left w:val="single" w:sz="4" w:space="0" w:color="auto"/>
              <w:right w:val="nil"/>
            </w:tcBorders>
          </w:tcPr>
          <w:p w14:paraId="05803658" w14:textId="77777777" w:rsidR="00420B29" w:rsidRPr="00A75581" w:rsidRDefault="00420B29" w:rsidP="00420B29"/>
        </w:tc>
      </w:tr>
      <w:tr w:rsidR="00420B29" w:rsidRPr="00A75581" w14:paraId="01048AFF" w14:textId="77777777" w:rsidTr="00420B29">
        <w:trPr>
          <w:trHeight w:val="20"/>
        </w:trPr>
        <w:tc>
          <w:tcPr>
            <w:tcW w:w="2776" w:type="dxa"/>
            <w:vAlign w:val="center"/>
          </w:tcPr>
          <w:p w14:paraId="3C544213" w14:textId="6E799BFD" w:rsidR="00420B29" w:rsidRPr="00A75581" w:rsidRDefault="00D45C17" w:rsidP="00420B29">
            <w:pPr>
              <w:ind w:left="100"/>
            </w:pPr>
            <w:r w:rsidRPr="00D45C17">
              <w:rPr>
                <w:rFonts w:eastAsia="Times New Roman"/>
              </w:rPr>
              <w:t>Медиана на продължителността на лечението [интерквартилен диапазон]</w:t>
            </w:r>
          </w:p>
        </w:tc>
        <w:tc>
          <w:tcPr>
            <w:tcW w:w="2160" w:type="dxa"/>
            <w:vAlign w:val="center"/>
          </w:tcPr>
          <w:p w14:paraId="0777AF38" w14:textId="79F0C1B7" w:rsidR="00420B29" w:rsidRPr="00A75581" w:rsidRDefault="00D45C17" w:rsidP="00420B29">
            <w:pPr>
              <w:ind w:left="100"/>
            </w:pPr>
            <w:r>
              <w:rPr>
                <w:rFonts w:eastAsia="Times New Roman"/>
              </w:rPr>
              <w:t>349 [189-362] дни</w:t>
            </w:r>
          </w:p>
        </w:tc>
        <w:tc>
          <w:tcPr>
            <w:tcW w:w="2124" w:type="dxa"/>
            <w:vAlign w:val="center"/>
          </w:tcPr>
          <w:p w14:paraId="1589A26E" w14:textId="224E46AC" w:rsidR="00420B29" w:rsidRPr="00A75581" w:rsidRDefault="00D45C17" w:rsidP="00420B29">
            <w:pPr>
              <w:ind w:left="80"/>
            </w:pPr>
            <w:r>
              <w:rPr>
                <w:rFonts w:eastAsia="Times New Roman"/>
              </w:rPr>
              <w:t>353 [190-362] дни</w:t>
            </w:r>
          </w:p>
        </w:tc>
        <w:tc>
          <w:tcPr>
            <w:tcW w:w="2139" w:type="dxa"/>
            <w:tcBorders>
              <w:right w:val="single" w:sz="4" w:space="0" w:color="auto"/>
            </w:tcBorders>
            <w:vAlign w:val="center"/>
          </w:tcPr>
          <w:p w14:paraId="5C291A72" w14:textId="7D74C713" w:rsidR="00420B29" w:rsidRPr="00A75581" w:rsidRDefault="00D45C17" w:rsidP="00420B29">
            <w:pPr>
              <w:ind w:left="100"/>
            </w:pPr>
            <w:r>
              <w:rPr>
                <w:rFonts w:eastAsia="Times New Roman"/>
              </w:rPr>
              <w:t>350 [186-362] дни</w:t>
            </w:r>
          </w:p>
        </w:tc>
        <w:tc>
          <w:tcPr>
            <w:tcW w:w="140" w:type="dxa"/>
            <w:vMerge/>
            <w:tcBorders>
              <w:left w:val="single" w:sz="4" w:space="0" w:color="auto"/>
              <w:right w:val="nil"/>
            </w:tcBorders>
          </w:tcPr>
          <w:p w14:paraId="2FE86201" w14:textId="77777777" w:rsidR="00420B29" w:rsidRPr="00A75581" w:rsidRDefault="00420B29" w:rsidP="00420B29"/>
        </w:tc>
      </w:tr>
      <w:tr w:rsidR="00420B29" w:rsidRPr="00A75581" w14:paraId="1E7E2796" w14:textId="77777777" w:rsidTr="00420B29">
        <w:trPr>
          <w:trHeight w:val="20"/>
        </w:trPr>
        <w:tc>
          <w:tcPr>
            <w:tcW w:w="2776" w:type="dxa"/>
            <w:vAlign w:val="center"/>
          </w:tcPr>
          <w:p w14:paraId="265508D1" w14:textId="481444FA" w:rsidR="00420B29" w:rsidRPr="00A75581" w:rsidRDefault="00D45C17" w:rsidP="00420B29">
            <w:pPr>
              <w:ind w:left="100"/>
            </w:pPr>
            <w:r w:rsidRPr="00D45C17">
              <w:rPr>
                <w:rFonts w:eastAsia="Times New Roman"/>
              </w:rPr>
              <w:t>Симптоматичен рецидивиращ ВТЕ</w:t>
            </w:r>
          </w:p>
        </w:tc>
        <w:tc>
          <w:tcPr>
            <w:tcW w:w="2160" w:type="dxa"/>
            <w:vAlign w:val="center"/>
          </w:tcPr>
          <w:p w14:paraId="27400BE6" w14:textId="77777777" w:rsidR="00420B29" w:rsidRPr="00A75581" w:rsidRDefault="00420B29" w:rsidP="00420B29">
            <w:pPr>
              <w:ind w:left="100"/>
            </w:pPr>
            <w:r w:rsidRPr="00A75581">
              <w:rPr>
                <w:rFonts w:eastAsia="Times New Roman"/>
              </w:rPr>
              <w:t>17</w:t>
            </w:r>
          </w:p>
          <w:p w14:paraId="5F1550F4" w14:textId="6697035B" w:rsidR="00420B29" w:rsidRPr="00A75581" w:rsidRDefault="00EF7C8F" w:rsidP="00420B29">
            <w:pPr>
              <w:ind w:left="100"/>
            </w:pPr>
            <w:r>
              <w:rPr>
                <w:rFonts w:eastAsia="Times New Roman"/>
              </w:rPr>
              <w:t>(1,</w:t>
            </w:r>
            <w:r w:rsidR="00420B29" w:rsidRPr="00A75581">
              <w:rPr>
                <w:rFonts w:eastAsia="Times New Roman"/>
              </w:rPr>
              <w:t>5%)*</w:t>
            </w:r>
          </w:p>
        </w:tc>
        <w:tc>
          <w:tcPr>
            <w:tcW w:w="2124" w:type="dxa"/>
            <w:vAlign w:val="center"/>
          </w:tcPr>
          <w:p w14:paraId="4FCF9365" w14:textId="77777777" w:rsidR="00420B29" w:rsidRPr="00A75581" w:rsidRDefault="00420B29" w:rsidP="00420B29">
            <w:pPr>
              <w:ind w:left="80"/>
            </w:pPr>
            <w:r w:rsidRPr="00A75581">
              <w:rPr>
                <w:rFonts w:eastAsia="Times New Roman"/>
              </w:rPr>
              <w:t>13</w:t>
            </w:r>
          </w:p>
          <w:p w14:paraId="69565751" w14:textId="3A708120" w:rsidR="00420B29" w:rsidRPr="00A75581" w:rsidRDefault="00EF7C8F" w:rsidP="00420B29">
            <w:pPr>
              <w:ind w:left="80"/>
            </w:pPr>
            <w:r>
              <w:rPr>
                <w:rFonts w:eastAsia="Times New Roman"/>
              </w:rPr>
              <w:t>(1,</w:t>
            </w:r>
            <w:r w:rsidR="00420B29" w:rsidRPr="00A75581">
              <w:rPr>
                <w:rFonts w:eastAsia="Times New Roman"/>
              </w:rPr>
              <w:t>2%)**</w:t>
            </w:r>
          </w:p>
        </w:tc>
        <w:tc>
          <w:tcPr>
            <w:tcW w:w="2139" w:type="dxa"/>
            <w:tcBorders>
              <w:right w:val="single" w:sz="4" w:space="0" w:color="auto"/>
            </w:tcBorders>
            <w:vAlign w:val="center"/>
          </w:tcPr>
          <w:p w14:paraId="30609F29" w14:textId="77777777" w:rsidR="00420B29" w:rsidRPr="00A75581" w:rsidRDefault="00420B29" w:rsidP="00420B29">
            <w:pPr>
              <w:ind w:left="100"/>
            </w:pPr>
            <w:r w:rsidRPr="00A75581">
              <w:rPr>
                <w:rFonts w:eastAsia="Times New Roman"/>
              </w:rPr>
              <w:t>50</w:t>
            </w:r>
          </w:p>
          <w:p w14:paraId="05C6AE7B" w14:textId="4761E387" w:rsidR="00420B29" w:rsidRPr="00A75581" w:rsidRDefault="00EF7C8F" w:rsidP="00420B29">
            <w:pPr>
              <w:ind w:left="100"/>
            </w:pPr>
            <w:r>
              <w:rPr>
                <w:rFonts w:eastAsia="Times New Roman"/>
              </w:rPr>
              <w:t>(4,</w:t>
            </w:r>
            <w:r w:rsidR="00420B29" w:rsidRPr="00A75581">
              <w:rPr>
                <w:rFonts w:eastAsia="Times New Roman"/>
              </w:rPr>
              <w:t>4%)</w:t>
            </w:r>
          </w:p>
        </w:tc>
        <w:tc>
          <w:tcPr>
            <w:tcW w:w="140" w:type="dxa"/>
            <w:vMerge/>
            <w:tcBorders>
              <w:left w:val="single" w:sz="4" w:space="0" w:color="auto"/>
              <w:right w:val="nil"/>
            </w:tcBorders>
          </w:tcPr>
          <w:p w14:paraId="32205C35" w14:textId="77777777" w:rsidR="00420B29" w:rsidRPr="00A75581" w:rsidRDefault="00420B29" w:rsidP="00420B29"/>
        </w:tc>
      </w:tr>
      <w:tr w:rsidR="00420B29" w:rsidRPr="00A75581" w14:paraId="46B7FD3F" w14:textId="77777777" w:rsidTr="00420B29">
        <w:trPr>
          <w:trHeight w:val="20"/>
        </w:trPr>
        <w:tc>
          <w:tcPr>
            <w:tcW w:w="2776" w:type="dxa"/>
            <w:vAlign w:val="center"/>
          </w:tcPr>
          <w:p w14:paraId="5D92E759" w14:textId="635BFE8D" w:rsidR="00420B29" w:rsidRPr="00A75581" w:rsidRDefault="00D45C17" w:rsidP="00420B29">
            <w:pPr>
              <w:ind w:left="420"/>
            </w:pPr>
            <w:r w:rsidRPr="00D45C17">
              <w:rPr>
                <w:rFonts w:eastAsia="Times New Roman"/>
              </w:rPr>
              <w:t>Симптоматичен рецидивиращ БЕ</w:t>
            </w:r>
          </w:p>
        </w:tc>
        <w:tc>
          <w:tcPr>
            <w:tcW w:w="2160" w:type="dxa"/>
            <w:vAlign w:val="center"/>
          </w:tcPr>
          <w:p w14:paraId="67C23518" w14:textId="77777777" w:rsidR="00420B29" w:rsidRPr="00A75581" w:rsidRDefault="00420B29" w:rsidP="00420B29">
            <w:pPr>
              <w:ind w:left="100"/>
            </w:pPr>
            <w:r w:rsidRPr="00A75581">
              <w:rPr>
                <w:rFonts w:eastAsia="Times New Roman"/>
              </w:rPr>
              <w:t>6</w:t>
            </w:r>
          </w:p>
          <w:p w14:paraId="207BCBE9" w14:textId="518351C4" w:rsidR="00420B29" w:rsidRPr="00A75581" w:rsidRDefault="00EF7C8F" w:rsidP="00420B29">
            <w:pPr>
              <w:ind w:left="100"/>
            </w:pPr>
            <w:r>
              <w:rPr>
                <w:rFonts w:eastAsia="Times New Roman"/>
              </w:rPr>
              <w:t>(0,</w:t>
            </w:r>
            <w:r w:rsidR="00420B29" w:rsidRPr="00A75581">
              <w:rPr>
                <w:rFonts w:eastAsia="Times New Roman"/>
              </w:rPr>
              <w:t>5%)</w:t>
            </w:r>
          </w:p>
        </w:tc>
        <w:tc>
          <w:tcPr>
            <w:tcW w:w="2124" w:type="dxa"/>
            <w:vAlign w:val="center"/>
          </w:tcPr>
          <w:p w14:paraId="484A7C97" w14:textId="77777777" w:rsidR="00420B29" w:rsidRPr="00A75581" w:rsidRDefault="00420B29" w:rsidP="00420B29">
            <w:pPr>
              <w:ind w:left="80"/>
            </w:pPr>
            <w:r w:rsidRPr="00A75581">
              <w:rPr>
                <w:rFonts w:eastAsia="Times New Roman"/>
              </w:rPr>
              <w:t>6</w:t>
            </w:r>
          </w:p>
          <w:p w14:paraId="6C9A899D" w14:textId="00874C69" w:rsidR="00420B29" w:rsidRPr="00A75581" w:rsidRDefault="00EF7C8F" w:rsidP="00420B29">
            <w:pPr>
              <w:ind w:left="80"/>
            </w:pPr>
            <w:r>
              <w:rPr>
                <w:rFonts w:eastAsia="Times New Roman"/>
              </w:rPr>
              <w:t>(0,</w:t>
            </w:r>
            <w:r w:rsidR="00420B29" w:rsidRPr="00A75581">
              <w:rPr>
                <w:rFonts w:eastAsia="Times New Roman"/>
              </w:rPr>
              <w:t>5%)</w:t>
            </w:r>
          </w:p>
        </w:tc>
        <w:tc>
          <w:tcPr>
            <w:tcW w:w="2139" w:type="dxa"/>
            <w:tcBorders>
              <w:right w:val="single" w:sz="4" w:space="0" w:color="auto"/>
            </w:tcBorders>
            <w:vAlign w:val="center"/>
          </w:tcPr>
          <w:p w14:paraId="7F9E474A" w14:textId="77777777" w:rsidR="00420B29" w:rsidRPr="00A75581" w:rsidRDefault="00420B29" w:rsidP="00420B29">
            <w:pPr>
              <w:ind w:left="100"/>
            </w:pPr>
            <w:r w:rsidRPr="00A75581">
              <w:rPr>
                <w:rFonts w:eastAsia="Times New Roman"/>
              </w:rPr>
              <w:t>19</w:t>
            </w:r>
          </w:p>
          <w:p w14:paraId="7621DA71" w14:textId="0AA839DA" w:rsidR="00420B29" w:rsidRPr="00A75581" w:rsidRDefault="00EF7C8F" w:rsidP="00420B29">
            <w:pPr>
              <w:ind w:left="100"/>
            </w:pPr>
            <w:r>
              <w:rPr>
                <w:rFonts w:eastAsia="Times New Roman"/>
              </w:rPr>
              <w:t>(1,</w:t>
            </w:r>
            <w:r w:rsidR="00420B29" w:rsidRPr="00A75581">
              <w:rPr>
                <w:rFonts w:eastAsia="Times New Roman"/>
              </w:rPr>
              <w:t>7%)</w:t>
            </w:r>
          </w:p>
        </w:tc>
        <w:tc>
          <w:tcPr>
            <w:tcW w:w="140" w:type="dxa"/>
            <w:vMerge/>
            <w:tcBorders>
              <w:left w:val="single" w:sz="4" w:space="0" w:color="auto"/>
              <w:right w:val="nil"/>
            </w:tcBorders>
          </w:tcPr>
          <w:p w14:paraId="0BC604EF" w14:textId="77777777" w:rsidR="00420B29" w:rsidRPr="00A75581" w:rsidRDefault="00420B29" w:rsidP="00420B29"/>
        </w:tc>
      </w:tr>
      <w:tr w:rsidR="00420B29" w:rsidRPr="00A75581" w14:paraId="160A7C08" w14:textId="77777777" w:rsidTr="00420B29">
        <w:trPr>
          <w:trHeight w:val="20"/>
        </w:trPr>
        <w:tc>
          <w:tcPr>
            <w:tcW w:w="2776" w:type="dxa"/>
            <w:vAlign w:val="center"/>
          </w:tcPr>
          <w:p w14:paraId="5F31A71D" w14:textId="27A78FDF" w:rsidR="00420B29" w:rsidRPr="00A75581" w:rsidRDefault="00D45C17" w:rsidP="00D45C17">
            <w:pPr>
              <w:ind w:left="420"/>
            </w:pPr>
            <w:r w:rsidRPr="00D45C17">
              <w:t>Симптоматична рецидивираща ДВТ</w:t>
            </w:r>
          </w:p>
        </w:tc>
        <w:tc>
          <w:tcPr>
            <w:tcW w:w="2160" w:type="dxa"/>
            <w:vAlign w:val="center"/>
          </w:tcPr>
          <w:p w14:paraId="0EE4EA7D" w14:textId="77777777" w:rsidR="00420B29" w:rsidRPr="00A75581" w:rsidRDefault="00420B29" w:rsidP="00420B29">
            <w:pPr>
              <w:ind w:left="100"/>
            </w:pPr>
            <w:r w:rsidRPr="00A75581">
              <w:rPr>
                <w:rFonts w:eastAsia="Times New Roman"/>
              </w:rPr>
              <w:t>9</w:t>
            </w:r>
          </w:p>
          <w:p w14:paraId="7F0486E9" w14:textId="55ABCFF2" w:rsidR="00420B29" w:rsidRPr="00A75581" w:rsidRDefault="00EF7C8F" w:rsidP="00420B29">
            <w:pPr>
              <w:ind w:left="100"/>
            </w:pPr>
            <w:r>
              <w:rPr>
                <w:rFonts w:eastAsia="Times New Roman"/>
              </w:rPr>
              <w:t>(0,</w:t>
            </w:r>
            <w:r w:rsidR="00420B29" w:rsidRPr="00A75581">
              <w:rPr>
                <w:rFonts w:eastAsia="Times New Roman"/>
              </w:rPr>
              <w:t>8%)</w:t>
            </w:r>
          </w:p>
        </w:tc>
        <w:tc>
          <w:tcPr>
            <w:tcW w:w="2124" w:type="dxa"/>
            <w:vAlign w:val="center"/>
          </w:tcPr>
          <w:p w14:paraId="6BB8A01D" w14:textId="77777777" w:rsidR="00420B29" w:rsidRPr="00A75581" w:rsidRDefault="00420B29" w:rsidP="00420B29">
            <w:pPr>
              <w:ind w:left="80"/>
            </w:pPr>
            <w:r w:rsidRPr="00A75581">
              <w:rPr>
                <w:rFonts w:eastAsia="Times New Roman"/>
              </w:rPr>
              <w:t>8</w:t>
            </w:r>
          </w:p>
          <w:p w14:paraId="24E361F6" w14:textId="320D4BDA" w:rsidR="00420B29" w:rsidRPr="00A75581" w:rsidRDefault="00EF7C8F" w:rsidP="00420B29">
            <w:pPr>
              <w:ind w:left="80"/>
            </w:pPr>
            <w:r>
              <w:rPr>
                <w:rFonts w:eastAsia="Times New Roman"/>
              </w:rPr>
              <w:t>(0,</w:t>
            </w:r>
            <w:r w:rsidR="00420B29" w:rsidRPr="00A75581">
              <w:rPr>
                <w:rFonts w:eastAsia="Times New Roman"/>
              </w:rPr>
              <w:t>7%)</w:t>
            </w:r>
          </w:p>
        </w:tc>
        <w:tc>
          <w:tcPr>
            <w:tcW w:w="2139" w:type="dxa"/>
            <w:tcBorders>
              <w:right w:val="single" w:sz="4" w:space="0" w:color="auto"/>
            </w:tcBorders>
            <w:vAlign w:val="center"/>
          </w:tcPr>
          <w:p w14:paraId="4231E3B9" w14:textId="77777777" w:rsidR="00420B29" w:rsidRPr="00A75581" w:rsidRDefault="00420B29" w:rsidP="00420B29">
            <w:pPr>
              <w:ind w:left="100"/>
            </w:pPr>
            <w:r w:rsidRPr="00A75581">
              <w:rPr>
                <w:rFonts w:eastAsia="Times New Roman"/>
              </w:rPr>
              <w:t>30</w:t>
            </w:r>
          </w:p>
          <w:p w14:paraId="0EFA0361" w14:textId="0C3FD70F" w:rsidR="00420B29" w:rsidRPr="00A75581" w:rsidRDefault="00420B29" w:rsidP="00EF7C8F">
            <w:pPr>
              <w:ind w:left="100"/>
            </w:pPr>
            <w:r w:rsidRPr="00A75581">
              <w:rPr>
                <w:rFonts w:eastAsia="Times New Roman"/>
              </w:rPr>
              <w:t>(2</w:t>
            </w:r>
            <w:r w:rsidR="00EF7C8F">
              <w:rPr>
                <w:rFonts w:eastAsia="Times New Roman"/>
                <w:lang w:val="bg-BG"/>
              </w:rPr>
              <w:t>,</w:t>
            </w:r>
            <w:r w:rsidRPr="00A75581">
              <w:rPr>
                <w:rFonts w:eastAsia="Times New Roman"/>
              </w:rPr>
              <w:t>7%)</w:t>
            </w:r>
          </w:p>
        </w:tc>
        <w:tc>
          <w:tcPr>
            <w:tcW w:w="140" w:type="dxa"/>
            <w:vMerge/>
            <w:tcBorders>
              <w:left w:val="single" w:sz="4" w:space="0" w:color="auto"/>
              <w:right w:val="nil"/>
            </w:tcBorders>
          </w:tcPr>
          <w:p w14:paraId="28606B8B" w14:textId="77777777" w:rsidR="00420B29" w:rsidRPr="00A75581" w:rsidRDefault="00420B29" w:rsidP="00420B29"/>
        </w:tc>
      </w:tr>
      <w:tr w:rsidR="00420B29" w:rsidRPr="00A75581" w14:paraId="130CE5DA" w14:textId="77777777" w:rsidTr="00420B29">
        <w:trPr>
          <w:trHeight w:val="20"/>
        </w:trPr>
        <w:tc>
          <w:tcPr>
            <w:tcW w:w="2776" w:type="dxa"/>
            <w:vAlign w:val="center"/>
          </w:tcPr>
          <w:p w14:paraId="0E1676A8" w14:textId="623D436A" w:rsidR="00420B29" w:rsidRPr="00A75581" w:rsidRDefault="00D45C17" w:rsidP="00420B29">
            <w:pPr>
              <w:ind w:left="420"/>
            </w:pPr>
            <w:r w:rsidRPr="00D45C17">
              <w:rPr>
                <w:rFonts w:eastAsia="Times New Roman"/>
              </w:rPr>
              <w:t>Летален БЕ/ смърт, при която не може да се изключи БЕ</w:t>
            </w:r>
          </w:p>
        </w:tc>
        <w:tc>
          <w:tcPr>
            <w:tcW w:w="2160" w:type="dxa"/>
            <w:vAlign w:val="center"/>
          </w:tcPr>
          <w:p w14:paraId="0ED2CF72" w14:textId="77777777" w:rsidR="00420B29" w:rsidRPr="00A75581" w:rsidRDefault="00420B29" w:rsidP="00420B29">
            <w:pPr>
              <w:ind w:left="100"/>
            </w:pPr>
            <w:r w:rsidRPr="00A75581">
              <w:rPr>
                <w:rFonts w:eastAsia="Times New Roman"/>
              </w:rPr>
              <w:t>2</w:t>
            </w:r>
          </w:p>
          <w:p w14:paraId="486CF5AC" w14:textId="674792E2" w:rsidR="00420B29" w:rsidRPr="00A75581" w:rsidRDefault="00EF7C8F" w:rsidP="00420B29">
            <w:pPr>
              <w:ind w:left="100"/>
            </w:pPr>
            <w:r>
              <w:rPr>
                <w:rFonts w:eastAsia="Times New Roman"/>
              </w:rPr>
              <w:t>(0,</w:t>
            </w:r>
            <w:r w:rsidR="00420B29" w:rsidRPr="00A75581">
              <w:rPr>
                <w:rFonts w:eastAsia="Times New Roman"/>
              </w:rPr>
              <w:t>2%)</w:t>
            </w:r>
          </w:p>
        </w:tc>
        <w:tc>
          <w:tcPr>
            <w:tcW w:w="2124" w:type="dxa"/>
            <w:vAlign w:val="center"/>
          </w:tcPr>
          <w:p w14:paraId="1719963D" w14:textId="77777777" w:rsidR="00420B29" w:rsidRPr="00A75581" w:rsidRDefault="00420B29" w:rsidP="00420B29">
            <w:pPr>
              <w:ind w:left="80"/>
            </w:pPr>
            <w:r w:rsidRPr="00A75581">
              <w:rPr>
                <w:rFonts w:eastAsia="Times New Roman"/>
              </w:rPr>
              <w:t>0</w:t>
            </w:r>
          </w:p>
        </w:tc>
        <w:tc>
          <w:tcPr>
            <w:tcW w:w="2139" w:type="dxa"/>
            <w:tcBorders>
              <w:right w:val="single" w:sz="4" w:space="0" w:color="auto"/>
            </w:tcBorders>
            <w:vAlign w:val="center"/>
          </w:tcPr>
          <w:p w14:paraId="4BA551F7" w14:textId="77777777" w:rsidR="00420B29" w:rsidRPr="00A75581" w:rsidRDefault="00420B29" w:rsidP="00420B29">
            <w:pPr>
              <w:ind w:left="100"/>
            </w:pPr>
            <w:r w:rsidRPr="00A75581">
              <w:rPr>
                <w:rFonts w:eastAsia="Times New Roman"/>
              </w:rPr>
              <w:t>2</w:t>
            </w:r>
          </w:p>
          <w:p w14:paraId="2046463A" w14:textId="30981DC9" w:rsidR="00420B29" w:rsidRPr="00A75581" w:rsidRDefault="00EF7C8F" w:rsidP="00420B29">
            <w:pPr>
              <w:ind w:left="100"/>
            </w:pPr>
            <w:r>
              <w:rPr>
                <w:rFonts w:eastAsia="Times New Roman"/>
              </w:rPr>
              <w:t>(0,</w:t>
            </w:r>
            <w:r w:rsidR="00420B29" w:rsidRPr="00A75581">
              <w:rPr>
                <w:rFonts w:eastAsia="Times New Roman"/>
              </w:rPr>
              <w:t>2%)</w:t>
            </w:r>
          </w:p>
        </w:tc>
        <w:tc>
          <w:tcPr>
            <w:tcW w:w="140" w:type="dxa"/>
            <w:vMerge/>
            <w:tcBorders>
              <w:left w:val="single" w:sz="4" w:space="0" w:color="auto"/>
              <w:right w:val="nil"/>
            </w:tcBorders>
          </w:tcPr>
          <w:p w14:paraId="4300DC36" w14:textId="77777777" w:rsidR="00420B29" w:rsidRPr="00A75581" w:rsidRDefault="00420B29" w:rsidP="00420B29"/>
        </w:tc>
      </w:tr>
      <w:tr w:rsidR="00420B29" w:rsidRPr="00A75581" w14:paraId="3995ADBE" w14:textId="77777777" w:rsidTr="00420B29">
        <w:trPr>
          <w:trHeight w:val="20"/>
        </w:trPr>
        <w:tc>
          <w:tcPr>
            <w:tcW w:w="2776" w:type="dxa"/>
            <w:vAlign w:val="center"/>
          </w:tcPr>
          <w:p w14:paraId="37430DAC" w14:textId="39BDC49F" w:rsidR="00420B29" w:rsidRPr="00A75581" w:rsidRDefault="00D45C17" w:rsidP="00420B29">
            <w:pPr>
              <w:ind w:left="100"/>
            </w:pPr>
            <w:r w:rsidRPr="00D45C17">
              <w:rPr>
                <w:rFonts w:eastAsia="Times New Roman"/>
              </w:rPr>
              <w:t>Симптоматичен рецидивиращ ВТЕ, инфаркт на миокарда, инсулт или системна емболия извън ЦНС</w:t>
            </w:r>
          </w:p>
        </w:tc>
        <w:tc>
          <w:tcPr>
            <w:tcW w:w="2160" w:type="dxa"/>
            <w:vAlign w:val="center"/>
          </w:tcPr>
          <w:p w14:paraId="2270476B" w14:textId="77777777" w:rsidR="00420B29" w:rsidRPr="00A75581" w:rsidRDefault="00420B29" w:rsidP="00420B29">
            <w:pPr>
              <w:ind w:left="100"/>
            </w:pPr>
            <w:r w:rsidRPr="00A75581">
              <w:rPr>
                <w:rFonts w:eastAsia="Times New Roman"/>
              </w:rPr>
              <w:t>19</w:t>
            </w:r>
          </w:p>
          <w:p w14:paraId="487095BC" w14:textId="0A8CE34F" w:rsidR="00420B29" w:rsidRPr="00A75581" w:rsidRDefault="00EF7C8F" w:rsidP="00420B29">
            <w:pPr>
              <w:ind w:left="100"/>
            </w:pPr>
            <w:r>
              <w:rPr>
                <w:rFonts w:eastAsia="Times New Roman"/>
              </w:rPr>
              <w:t>(1,</w:t>
            </w:r>
            <w:r w:rsidR="00420B29" w:rsidRPr="00A75581">
              <w:rPr>
                <w:rFonts w:eastAsia="Times New Roman"/>
              </w:rPr>
              <w:t>7%)</w:t>
            </w:r>
          </w:p>
        </w:tc>
        <w:tc>
          <w:tcPr>
            <w:tcW w:w="2124" w:type="dxa"/>
            <w:vAlign w:val="center"/>
          </w:tcPr>
          <w:p w14:paraId="222D1A2D" w14:textId="77777777" w:rsidR="00420B29" w:rsidRPr="00A75581" w:rsidRDefault="00420B29" w:rsidP="00420B29">
            <w:pPr>
              <w:ind w:left="80"/>
            </w:pPr>
            <w:r w:rsidRPr="00A75581">
              <w:rPr>
                <w:rFonts w:eastAsia="Times New Roman"/>
              </w:rPr>
              <w:t>18</w:t>
            </w:r>
          </w:p>
          <w:p w14:paraId="3751F1C3" w14:textId="58CC200A" w:rsidR="00420B29" w:rsidRPr="00A75581" w:rsidRDefault="00420B29" w:rsidP="00EF7C8F">
            <w:pPr>
              <w:ind w:left="80"/>
            </w:pPr>
            <w:r w:rsidRPr="00A75581">
              <w:rPr>
                <w:rFonts w:eastAsia="Times New Roman"/>
              </w:rPr>
              <w:t>(1</w:t>
            </w:r>
            <w:r w:rsidR="00EF7C8F">
              <w:rPr>
                <w:rFonts w:eastAsia="Times New Roman"/>
                <w:lang w:val="bg-BG"/>
              </w:rPr>
              <w:t>,</w:t>
            </w:r>
            <w:r w:rsidRPr="00A75581">
              <w:rPr>
                <w:rFonts w:eastAsia="Times New Roman"/>
              </w:rPr>
              <w:t>6%)</w:t>
            </w:r>
          </w:p>
        </w:tc>
        <w:tc>
          <w:tcPr>
            <w:tcW w:w="2139" w:type="dxa"/>
            <w:tcBorders>
              <w:right w:val="single" w:sz="4" w:space="0" w:color="auto"/>
            </w:tcBorders>
            <w:vAlign w:val="center"/>
          </w:tcPr>
          <w:p w14:paraId="5DB48F45" w14:textId="77777777" w:rsidR="00420B29" w:rsidRPr="00A75581" w:rsidRDefault="00420B29" w:rsidP="00420B29">
            <w:pPr>
              <w:ind w:left="100"/>
            </w:pPr>
            <w:r w:rsidRPr="00A75581">
              <w:rPr>
                <w:rFonts w:eastAsia="Times New Roman"/>
              </w:rPr>
              <w:t>56</w:t>
            </w:r>
          </w:p>
          <w:p w14:paraId="72E92434" w14:textId="6F74CEDD" w:rsidR="00420B29" w:rsidRPr="00A75581" w:rsidRDefault="00EF7C8F" w:rsidP="00420B29">
            <w:pPr>
              <w:ind w:left="100"/>
            </w:pPr>
            <w:r>
              <w:rPr>
                <w:rFonts w:eastAsia="Times New Roman"/>
              </w:rPr>
              <w:t>(5,</w:t>
            </w:r>
            <w:r w:rsidR="00420B29" w:rsidRPr="00A75581">
              <w:rPr>
                <w:rFonts w:eastAsia="Times New Roman"/>
              </w:rPr>
              <w:t>0%)</w:t>
            </w:r>
          </w:p>
        </w:tc>
        <w:tc>
          <w:tcPr>
            <w:tcW w:w="140" w:type="dxa"/>
            <w:vMerge/>
            <w:tcBorders>
              <w:left w:val="single" w:sz="4" w:space="0" w:color="auto"/>
              <w:right w:val="nil"/>
            </w:tcBorders>
          </w:tcPr>
          <w:p w14:paraId="751ECC6F" w14:textId="77777777" w:rsidR="00420B29" w:rsidRPr="00A75581" w:rsidRDefault="00420B29" w:rsidP="00420B29"/>
        </w:tc>
      </w:tr>
      <w:tr w:rsidR="00420B29" w:rsidRPr="00A75581" w14:paraId="11737FE7" w14:textId="77777777" w:rsidTr="00420B29">
        <w:trPr>
          <w:trHeight w:val="20"/>
        </w:trPr>
        <w:tc>
          <w:tcPr>
            <w:tcW w:w="2776" w:type="dxa"/>
            <w:vAlign w:val="center"/>
          </w:tcPr>
          <w:p w14:paraId="3E372FC2" w14:textId="20FA5AC1" w:rsidR="00420B29" w:rsidRPr="00A75581" w:rsidRDefault="00D45C17" w:rsidP="00420B29">
            <w:pPr>
              <w:ind w:left="100"/>
            </w:pPr>
            <w:r w:rsidRPr="00D45C17">
              <w:rPr>
                <w:rFonts w:eastAsia="Times New Roman"/>
              </w:rPr>
              <w:t>Големи кръвоизливи</w:t>
            </w:r>
          </w:p>
        </w:tc>
        <w:tc>
          <w:tcPr>
            <w:tcW w:w="2160" w:type="dxa"/>
            <w:vAlign w:val="center"/>
          </w:tcPr>
          <w:p w14:paraId="6630083B" w14:textId="77777777" w:rsidR="00420B29" w:rsidRPr="00A75581" w:rsidRDefault="00420B29" w:rsidP="00420B29">
            <w:pPr>
              <w:ind w:left="100"/>
            </w:pPr>
            <w:r w:rsidRPr="00A75581">
              <w:rPr>
                <w:rFonts w:eastAsia="Times New Roman"/>
              </w:rPr>
              <w:t>6</w:t>
            </w:r>
          </w:p>
          <w:p w14:paraId="5BB8A8B5" w14:textId="5C2EA59E" w:rsidR="00420B29" w:rsidRPr="00A75581" w:rsidRDefault="00EF7C8F" w:rsidP="00420B29">
            <w:pPr>
              <w:ind w:left="100"/>
            </w:pPr>
            <w:r>
              <w:rPr>
                <w:rFonts w:eastAsia="Times New Roman"/>
              </w:rPr>
              <w:t>(0,</w:t>
            </w:r>
            <w:r w:rsidR="00420B29" w:rsidRPr="00A75581">
              <w:rPr>
                <w:rFonts w:eastAsia="Times New Roman"/>
              </w:rPr>
              <w:t>5%)</w:t>
            </w:r>
          </w:p>
        </w:tc>
        <w:tc>
          <w:tcPr>
            <w:tcW w:w="2124" w:type="dxa"/>
            <w:vAlign w:val="center"/>
          </w:tcPr>
          <w:p w14:paraId="562D0976" w14:textId="77777777" w:rsidR="00420B29" w:rsidRPr="00A75581" w:rsidRDefault="00420B29" w:rsidP="00420B29">
            <w:pPr>
              <w:ind w:left="80"/>
            </w:pPr>
            <w:r w:rsidRPr="00A75581">
              <w:rPr>
                <w:rFonts w:eastAsia="Times New Roman"/>
              </w:rPr>
              <w:t>5</w:t>
            </w:r>
          </w:p>
          <w:p w14:paraId="18D0C850" w14:textId="7483B7D9" w:rsidR="00420B29" w:rsidRPr="00A75581" w:rsidRDefault="00EF7C8F" w:rsidP="00420B29">
            <w:pPr>
              <w:ind w:left="80"/>
            </w:pPr>
            <w:r>
              <w:rPr>
                <w:rFonts w:eastAsia="Times New Roman"/>
              </w:rPr>
              <w:t>(0,</w:t>
            </w:r>
            <w:r w:rsidR="00420B29" w:rsidRPr="00A75581">
              <w:rPr>
                <w:rFonts w:eastAsia="Times New Roman"/>
              </w:rPr>
              <w:t>4%)</w:t>
            </w:r>
          </w:p>
        </w:tc>
        <w:tc>
          <w:tcPr>
            <w:tcW w:w="2139" w:type="dxa"/>
            <w:tcBorders>
              <w:right w:val="single" w:sz="4" w:space="0" w:color="auto"/>
            </w:tcBorders>
            <w:vAlign w:val="center"/>
          </w:tcPr>
          <w:p w14:paraId="1CA173BD" w14:textId="77777777" w:rsidR="00420B29" w:rsidRPr="00A75581" w:rsidRDefault="00420B29" w:rsidP="00420B29">
            <w:pPr>
              <w:ind w:left="100"/>
            </w:pPr>
            <w:r w:rsidRPr="00A75581">
              <w:rPr>
                <w:rFonts w:eastAsia="Times New Roman"/>
              </w:rPr>
              <w:t>3</w:t>
            </w:r>
          </w:p>
          <w:p w14:paraId="78E1E8DB" w14:textId="78987BC2" w:rsidR="00420B29" w:rsidRPr="00A75581" w:rsidRDefault="00EF7C8F" w:rsidP="00420B29">
            <w:pPr>
              <w:ind w:left="100"/>
            </w:pPr>
            <w:r>
              <w:rPr>
                <w:rFonts w:eastAsia="Times New Roman"/>
              </w:rPr>
              <w:t>(0,</w:t>
            </w:r>
            <w:r w:rsidR="00420B29" w:rsidRPr="00A75581">
              <w:rPr>
                <w:rFonts w:eastAsia="Times New Roman"/>
              </w:rPr>
              <w:t>3%)</w:t>
            </w:r>
          </w:p>
        </w:tc>
        <w:tc>
          <w:tcPr>
            <w:tcW w:w="140" w:type="dxa"/>
            <w:vMerge/>
            <w:tcBorders>
              <w:left w:val="single" w:sz="4" w:space="0" w:color="auto"/>
              <w:right w:val="nil"/>
            </w:tcBorders>
          </w:tcPr>
          <w:p w14:paraId="0DAF198A" w14:textId="77777777" w:rsidR="00420B29" w:rsidRPr="00A75581" w:rsidRDefault="00420B29" w:rsidP="00420B29"/>
        </w:tc>
      </w:tr>
      <w:tr w:rsidR="00420B29" w:rsidRPr="00A75581" w14:paraId="0C142196" w14:textId="77777777" w:rsidTr="00420B29">
        <w:trPr>
          <w:trHeight w:val="20"/>
        </w:trPr>
        <w:tc>
          <w:tcPr>
            <w:tcW w:w="2776" w:type="dxa"/>
            <w:vAlign w:val="center"/>
          </w:tcPr>
          <w:p w14:paraId="3C8D23CD" w14:textId="5E558B57" w:rsidR="00420B29" w:rsidRPr="00A75581" w:rsidRDefault="00D45C17" w:rsidP="00420B29">
            <w:pPr>
              <w:ind w:left="100"/>
            </w:pPr>
            <w:r w:rsidRPr="00D45C17">
              <w:rPr>
                <w:rFonts w:eastAsia="Times New Roman"/>
              </w:rPr>
              <w:lastRenderedPageBreak/>
              <w:t>Клинично значими неголеми кръвоизливи</w:t>
            </w:r>
          </w:p>
        </w:tc>
        <w:tc>
          <w:tcPr>
            <w:tcW w:w="2160" w:type="dxa"/>
            <w:vAlign w:val="center"/>
          </w:tcPr>
          <w:p w14:paraId="0DA345CB" w14:textId="77777777" w:rsidR="00420B29" w:rsidRPr="00A75581" w:rsidRDefault="00420B29" w:rsidP="00420B29">
            <w:pPr>
              <w:ind w:left="100"/>
            </w:pPr>
            <w:r w:rsidRPr="00A75581">
              <w:rPr>
                <w:rFonts w:eastAsia="Times New Roman"/>
              </w:rPr>
              <w:t>30</w:t>
            </w:r>
          </w:p>
          <w:p w14:paraId="4BB939D0" w14:textId="5BC903CF" w:rsidR="00420B29" w:rsidRPr="00A75581" w:rsidRDefault="00EF7C8F" w:rsidP="00420B29">
            <w:pPr>
              <w:ind w:left="100"/>
            </w:pPr>
            <w:r>
              <w:rPr>
                <w:rFonts w:eastAsia="Times New Roman"/>
              </w:rPr>
              <w:t>(2,</w:t>
            </w:r>
            <w:r w:rsidR="00420B29" w:rsidRPr="00A75581">
              <w:rPr>
                <w:rFonts w:eastAsia="Times New Roman"/>
              </w:rPr>
              <w:t>7)</w:t>
            </w:r>
          </w:p>
        </w:tc>
        <w:tc>
          <w:tcPr>
            <w:tcW w:w="2124" w:type="dxa"/>
            <w:vAlign w:val="center"/>
          </w:tcPr>
          <w:p w14:paraId="1BEBBBD4" w14:textId="77777777" w:rsidR="00420B29" w:rsidRPr="00A75581" w:rsidRDefault="00420B29" w:rsidP="00420B29">
            <w:pPr>
              <w:ind w:left="80"/>
            </w:pPr>
            <w:r w:rsidRPr="00A75581">
              <w:rPr>
                <w:rFonts w:eastAsia="Times New Roman"/>
              </w:rPr>
              <w:t>22</w:t>
            </w:r>
          </w:p>
          <w:p w14:paraId="3D9170A2" w14:textId="33D62977" w:rsidR="00420B29" w:rsidRPr="00A75581" w:rsidRDefault="00EF7C8F" w:rsidP="00420B29">
            <w:pPr>
              <w:ind w:left="80"/>
            </w:pPr>
            <w:r>
              <w:rPr>
                <w:rFonts w:eastAsia="Times New Roman"/>
              </w:rPr>
              <w:t>(2,</w:t>
            </w:r>
            <w:r w:rsidR="00420B29" w:rsidRPr="00A75581">
              <w:rPr>
                <w:rFonts w:eastAsia="Times New Roman"/>
              </w:rPr>
              <w:t>0)</w:t>
            </w:r>
          </w:p>
        </w:tc>
        <w:tc>
          <w:tcPr>
            <w:tcW w:w="2139" w:type="dxa"/>
            <w:tcBorders>
              <w:right w:val="single" w:sz="4" w:space="0" w:color="auto"/>
            </w:tcBorders>
            <w:vAlign w:val="center"/>
          </w:tcPr>
          <w:p w14:paraId="0F9ACEAC" w14:textId="77777777" w:rsidR="00420B29" w:rsidRPr="00A75581" w:rsidRDefault="00420B29" w:rsidP="00420B29">
            <w:pPr>
              <w:ind w:left="100"/>
            </w:pPr>
            <w:r w:rsidRPr="00A75581">
              <w:rPr>
                <w:rFonts w:eastAsia="Times New Roman"/>
              </w:rPr>
              <w:t>20</w:t>
            </w:r>
          </w:p>
          <w:p w14:paraId="40F74B77" w14:textId="19F0B8DA" w:rsidR="00420B29" w:rsidRPr="00A75581" w:rsidRDefault="00420B29" w:rsidP="00EF7C8F">
            <w:pPr>
              <w:ind w:left="100"/>
            </w:pPr>
            <w:r w:rsidRPr="00A75581">
              <w:rPr>
                <w:rFonts w:eastAsia="Times New Roman"/>
              </w:rPr>
              <w:t>(1</w:t>
            </w:r>
            <w:r w:rsidR="00EF7C8F">
              <w:rPr>
                <w:rFonts w:eastAsia="Times New Roman"/>
                <w:lang w:val="bg-BG"/>
              </w:rPr>
              <w:t>,</w:t>
            </w:r>
            <w:r w:rsidRPr="00A75581">
              <w:rPr>
                <w:rFonts w:eastAsia="Times New Roman"/>
              </w:rPr>
              <w:t>8)</w:t>
            </w:r>
          </w:p>
        </w:tc>
        <w:tc>
          <w:tcPr>
            <w:tcW w:w="140" w:type="dxa"/>
            <w:vMerge/>
            <w:tcBorders>
              <w:left w:val="single" w:sz="4" w:space="0" w:color="auto"/>
              <w:right w:val="nil"/>
            </w:tcBorders>
          </w:tcPr>
          <w:p w14:paraId="6A16E9CC" w14:textId="77777777" w:rsidR="00420B29" w:rsidRPr="00A75581" w:rsidRDefault="00420B29" w:rsidP="00420B29"/>
        </w:tc>
      </w:tr>
      <w:tr w:rsidR="00420B29" w:rsidRPr="00A75581" w14:paraId="2C348A03" w14:textId="77777777" w:rsidTr="00420B29">
        <w:trPr>
          <w:trHeight w:val="20"/>
        </w:trPr>
        <w:tc>
          <w:tcPr>
            <w:tcW w:w="2776" w:type="dxa"/>
            <w:vAlign w:val="center"/>
          </w:tcPr>
          <w:p w14:paraId="7845F56F" w14:textId="030D774F" w:rsidR="00420B29" w:rsidRPr="00A75581" w:rsidRDefault="00D45C17" w:rsidP="00420B29">
            <w:pPr>
              <w:ind w:left="100"/>
            </w:pPr>
            <w:r w:rsidRPr="00D45C17">
              <w:rPr>
                <w:rFonts w:eastAsia="Times New Roman"/>
              </w:rPr>
              <w:t>Симптоматичен рецидивиращ ВТЕ или голям кръвоизлив (нетна клинична полза)</w:t>
            </w:r>
          </w:p>
        </w:tc>
        <w:tc>
          <w:tcPr>
            <w:tcW w:w="2160" w:type="dxa"/>
            <w:vAlign w:val="center"/>
          </w:tcPr>
          <w:p w14:paraId="2EE58DE0" w14:textId="77777777" w:rsidR="00420B29" w:rsidRPr="00A75581" w:rsidRDefault="00420B29" w:rsidP="00420B29">
            <w:pPr>
              <w:ind w:left="100"/>
            </w:pPr>
            <w:r w:rsidRPr="00A75581">
              <w:rPr>
                <w:rFonts w:eastAsia="Times New Roman"/>
              </w:rPr>
              <w:t>23</w:t>
            </w:r>
          </w:p>
          <w:p w14:paraId="3780893E" w14:textId="41180FB3" w:rsidR="00420B29" w:rsidRPr="00A75581" w:rsidRDefault="00420B29" w:rsidP="00EF7C8F">
            <w:pPr>
              <w:ind w:left="100"/>
            </w:pPr>
            <w:r w:rsidRPr="00A75581">
              <w:rPr>
                <w:rFonts w:eastAsia="Times New Roman"/>
              </w:rPr>
              <w:t>(2</w:t>
            </w:r>
            <w:r w:rsidR="00EF7C8F">
              <w:rPr>
                <w:rFonts w:eastAsia="Times New Roman"/>
                <w:lang w:val="bg-BG"/>
              </w:rPr>
              <w:t>,</w:t>
            </w:r>
            <w:r w:rsidRPr="00A75581">
              <w:rPr>
                <w:rFonts w:eastAsia="Times New Roman"/>
              </w:rPr>
              <w:t>1%)</w:t>
            </w:r>
            <w:r w:rsidRPr="00A75581">
              <w:rPr>
                <w:rFonts w:eastAsia="Times New Roman"/>
                <w:vertAlign w:val="superscript"/>
              </w:rPr>
              <w:t>+</w:t>
            </w:r>
          </w:p>
        </w:tc>
        <w:tc>
          <w:tcPr>
            <w:tcW w:w="2124" w:type="dxa"/>
            <w:vAlign w:val="center"/>
          </w:tcPr>
          <w:p w14:paraId="591DD235" w14:textId="77777777" w:rsidR="00420B29" w:rsidRPr="00A75581" w:rsidRDefault="00420B29" w:rsidP="00420B29">
            <w:pPr>
              <w:ind w:left="80"/>
            </w:pPr>
            <w:r w:rsidRPr="00A75581">
              <w:rPr>
                <w:rFonts w:eastAsia="Times New Roman"/>
              </w:rPr>
              <w:t>17</w:t>
            </w:r>
          </w:p>
          <w:p w14:paraId="68162E6B" w14:textId="62BE4867" w:rsidR="00420B29" w:rsidRPr="00A75581" w:rsidRDefault="00EF7C8F" w:rsidP="00420B29">
            <w:pPr>
              <w:ind w:left="80"/>
            </w:pPr>
            <w:r>
              <w:rPr>
                <w:rFonts w:eastAsia="Times New Roman"/>
              </w:rPr>
              <w:t>(1,</w:t>
            </w:r>
            <w:r w:rsidR="00420B29" w:rsidRPr="00A75581">
              <w:rPr>
                <w:rFonts w:eastAsia="Times New Roman"/>
              </w:rPr>
              <w:t>5%)</w:t>
            </w:r>
            <w:r w:rsidR="00420B29" w:rsidRPr="00A75581">
              <w:rPr>
                <w:rFonts w:eastAsia="Times New Roman"/>
                <w:vertAlign w:val="superscript"/>
              </w:rPr>
              <w:t>++</w:t>
            </w:r>
          </w:p>
        </w:tc>
        <w:tc>
          <w:tcPr>
            <w:tcW w:w="2139" w:type="dxa"/>
            <w:tcBorders>
              <w:right w:val="single" w:sz="4" w:space="0" w:color="auto"/>
            </w:tcBorders>
            <w:vAlign w:val="center"/>
          </w:tcPr>
          <w:p w14:paraId="35FF9FAE" w14:textId="77777777" w:rsidR="00420B29" w:rsidRPr="00A75581" w:rsidRDefault="00420B29" w:rsidP="00420B29">
            <w:pPr>
              <w:ind w:left="100"/>
            </w:pPr>
            <w:r w:rsidRPr="00A75581">
              <w:rPr>
                <w:rFonts w:eastAsia="Times New Roman"/>
              </w:rPr>
              <w:t>53</w:t>
            </w:r>
          </w:p>
          <w:p w14:paraId="2A9DA3C3" w14:textId="57052CBC" w:rsidR="00420B29" w:rsidRPr="00A75581" w:rsidRDefault="00EF7C8F" w:rsidP="00420B29">
            <w:pPr>
              <w:ind w:left="100"/>
            </w:pPr>
            <w:r>
              <w:rPr>
                <w:rFonts w:eastAsia="Times New Roman"/>
              </w:rPr>
              <w:t>(4,</w:t>
            </w:r>
            <w:r w:rsidR="00420B29" w:rsidRPr="00A75581">
              <w:rPr>
                <w:rFonts w:eastAsia="Times New Roman"/>
              </w:rPr>
              <w:t>7%)</w:t>
            </w:r>
          </w:p>
        </w:tc>
        <w:tc>
          <w:tcPr>
            <w:tcW w:w="140" w:type="dxa"/>
            <w:vMerge/>
            <w:tcBorders>
              <w:left w:val="single" w:sz="4" w:space="0" w:color="auto"/>
              <w:bottom w:val="nil"/>
              <w:right w:val="nil"/>
            </w:tcBorders>
          </w:tcPr>
          <w:p w14:paraId="7CA0499A" w14:textId="77777777" w:rsidR="00420B29" w:rsidRPr="00A75581" w:rsidRDefault="00420B29" w:rsidP="00420B29"/>
        </w:tc>
      </w:tr>
    </w:tbl>
    <w:p w14:paraId="65388154" w14:textId="679275C3" w:rsidR="00D45C17" w:rsidRDefault="00D45C17" w:rsidP="00D45C17">
      <w:pPr>
        <w:pStyle w:val="Default"/>
        <w:ind w:left="720" w:hanging="720"/>
        <w:rPr>
          <w:sz w:val="22"/>
          <w:szCs w:val="22"/>
        </w:rPr>
      </w:pPr>
      <w:r>
        <w:rPr>
          <w:sz w:val="22"/>
          <w:szCs w:val="22"/>
        </w:rPr>
        <w:t>*</w:t>
      </w:r>
      <w:r>
        <w:rPr>
          <w:sz w:val="22"/>
          <w:szCs w:val="22"/>
        </w:rPr>
        <w:tab/>
        <w:t xml:space="preserve"> p&lt;0,001(превъзходство) ривароксабан 20 mg веднъж дневно спрямо АСК 100 mg веднъж дневно; HR=0,34 (0,20–0,59) </w:t>
      </w:r>
    </w:p>
    <w:p w14:paraId="43C6567F" w14:textId="7A9D3DFA" w:rsidR="00D45C17" w:rsidRDefault="00D45C17" w:rsidP="00D45C17">
      <w:pPr>
        <w:pStyle w:val="Default"/>
        <w:ind w:left="720" w:hanging="720"/>
        <w:rPr>
          <w:sz w:val="22"/>
          <w:szCs w:val="22"/>
        </w:rPr>
      </w:pPr>
      <w:r>
        <w:rPr>
          <w:sz w:val="22"/>
          <w:szCs w:val="22"/>
        </w:rPr>
        <w:t>**</w:t>
      </w:r>
      <w:r>
        <w:rPr>
          <w:sz w:val="22"/>
          <w:szCs w:val="22"/>
        </w:rPr>
        <w:tab/>
        <w:t xml:space="preserve"> p&lt;0,001 (превъзходство) ривароксабан 10 mg веднъж дневно спрямо АСК 100 mg веднъж дневно; HR=0,26 (0,14–0,47) </w:t>
      </w:r>
    </w:p>
    <w:p w14:paraId="2AF11DF4" w14:textId="46FF8D3F" w:rsidR="00D45C17" w:rsidRDefault="00D45C17" w:rsidP="00D45C17">
      <w:pPr>
        <w:pStyle w:val="Default"/>
        <w:ind w:left="720" w:hanging="720"/>
        <w:rPr>
          <w:sz w:val="22"/>
          <w:szCs w:val="22"/>
        </w:rPr>
      </w:pPr>
      <w:r>
        <w:rPr>
          <w:sz w:val="14"/>
          <w:szCs w:val="14"/>
        </w:rPr>
        <w:t>+</w:t>
      </w:r>
      <w:r>
        <w:rPr>
          <w:sz w:val="14"/>
          <w:szCs w:val="14"/>
        </w:rPr>
        <w:tab/>
        <w:t xml:space="preserve"> </w:t>
      </w:r>
      <w:r>
        <w:rPr>
          <w:sz w:val="22"/>
          <w:szCs w:val="22"/>
        </w:rPr>
        <w:t xml:space="preserve">Ривароксабан 20 mg веднъж дневно спрямо АСК 100 mg веднъж дневно; HR=0,44 (0,27–0,71), p=0,0009 (номинална) </w:t>
      </w:r>
    </w:p>
    <w:p w14:paraId="1FC6C28D" w14:textId="1A9C3A49" w:rsidR="00420B29" w:rsidRDefault="00D45C17" w:rsidP="00D45C17">
      <w:pPr>
        <w:ind w:left="720" w:hanging="720"/>
      </w:pPr>
      <w:r>
        <w:rPr>
          <w:sz w:val="14"/>
          <w:szCs w:val="14"/>
        </w:rPr>
        <w:t>++</w:t>
      </w:r>
      <w:r>
        <w:rPr>
          <w:sz w:val="14"/>
          <w:szCs w:val="14"/>
        </w:rPr>
        <w:tab/>
        <w:t xml:space="preserve"> </w:t>
      </w:r>
      <w:r>
        <w:t xml:space="preserve">Ривароксабан 10 mg веднъж дневно спрямо АСК 100 mg веднъж дневно; HR=0,32 (0,18–0,55), p&lt;0,0001 (номинална) </w:t>
      </w:r>
    </w:p>
    <w:p w14:paraId="14B7BA14" w14:textId="77777777" w:rsidR="00BD58B2" w:rsidRDefault="00BD58B2" w:rsidP="00420B29"/>
    <w:p w14:paraId="18A0E8C3" w14:textId="77777777" w:rsidR="00BD58B2" w:rsidRDefault="00BD58B2" w:rsidP="00BD58B2">
      <w:pPr>
        <w:pStyle w:val="Default"/>
        <w:rPr>
          <w:sz w:val="22"/>
          <w:szCs w:val="22"/>
        </w:rPr>
      </w:pPr>
      <w:r>
        <w:rPr>
          <w:sz w:val="22"/>
          <w:szCs w:val="22"/>
        </w:rPr>
        <w:t>В допълнение към програмата EINSTEIN фаза III, е проведено проспективно, неинтервенциoнално, отворено кохортно проучване (XALIA) с централизирана оценка, включващ рецидивиращ ВТЕ, голямо кървене и смърт. 5 142 пациента с остра ДВТ са включени за проучване безопасността на ривароксабан в дългосрочен план в сравнение със стандартната антикоагулантна терапия в клиничната практика. Стойностите на голямо кървене, рецидивиращ ВТЕ и всички случаи на смърт за ривароксабан са били съответно 0,7%, 1,4% и 0,5%. Съществуват разлики в основни характеристики на пациентите, включително възраст, рак и бъбречно увреждане. Използван е стратифициран анализ по предварително определени</w:t>
      </w:r>
      <w:r>
        <w:t xml:space="preserve"> </w:t>
      </w:r>
      <w:r>
        <w:rPr>
          <w:sz w:val="22"/>
          <w:szCs w:val="22"/>
        </w:rPr>
        <w:t xml:space="preserve">стойности за групиране на измерваните основни характеристики, но въпреки това оставащите отклонения може да повлияят на резултатите. Коригираните HR за голямо кървене, рецидивиращ ВТЕ и всички случаи на смърт са били съответно 0,77 (95% CI 0,40 - 1,50), 0,91 (95% CI 0,54 - 1,54) и 0,51 (95% CI 0,24 - 1,07). </w:t>
      </w:r>
    </w:p>
    <w:p w14:paraId="5521D267" w14:textId="700E47F2" w:rsidR="00420B29" w:rsidRPr="00BD58B2" w:rsidRDefault="00BD58B2" w:rsidP="00BD58B2">
      <w:pPr>
        <w:rPr>
          <w:lang w:val="bg-BG"/>
        </w:rPr>
      </w:pPr>
      <w:r>
        <w:t>Тези резултати при пациенти, които са били наблюдавани при реални условия, са в съответствие с установения профил на безопасност при това показание.</w:t>
      </w:r>
    </w:p>
    <w:p w14:paraId="471653B9" w14:textId="33F29728" w:rsidR="00420B29" w:rsidRDefault="00420B29" w:rsidP="00420B29"/>
    <w:p w14:paraId="27E06A90" w14:textId="77777777" w:rsidR="00004FF2" w:rsidRPr="00C125AE" w:rsidRDefault="00004FF2" w:rsidP="00004FF2">
      <w:pPr>
        <w:pStyle w:val="Default"/>
        <w:rPr>
          <w:sz w:val="22"/>
          <w:szCs w:val="22"/>
          <w:u w:val="single"/>
        </w:rPr>
      </w:pPr>
      <w:r w:rsidRPr="00C125AE">
        <w:rPr>
          <w:sz w:val="22"/>
          <w:szCs w:val="22"/>
          <w:u w:val="single"/>
        </w:rPr>
        <w:t xml:space="preserve">Педиатрична популация </w:t>
      </w:r>
    </w:p>
    <w:p w14:paraId="6764EF2D" w14:textId="77777777" w:rsidR="00004FF2" w:rsidRPr="00C125AE" w:rsidRDefault="00004FF2" w:rsidP="00004FF2">
      <w:pPr>
        <w:pStyle w:val="Default"/>
        <w:rPr>
          <w:sz w:val="22"/>
          <w:szCs w:val="22"/>
          <w:u w:val="single"/>
        </w:rPr>
      </w:pPr>
      <w:r w:rsidRPr="00C125AE">
        <w:rPr>
          <w:i/>
          <w:iCs/>
          <w:sz w:val="22"/>
          <w:szCs w:val="22"/>
          <w:u w:val="single"/>
        </w:rPr>
        <w:t xml:space="preserve">Лечение на ВТЕ и профилактика на рецидиви на ВТЕ при педиатрични пациенти </w:t>
      </w:r>
    </w:p>
    <w:p w14:paraId="7C9D9E9D" w14:textId="26387B86" w:rsidR="00004FF2" w:rsidRDefault="00004FF2" w:rsidP="00004FF2">
      <w:r>
        <w:t>Общо 727 деца с потвърден остър ВТЕ, от които 528 получили ривароксабан, са проучени в 6 отворени, многоцентрови педиатрични проучвания. Дозировката, коригирана според телесното тегло, при пациенти от раждането до възраст под 18 години, е довела до експозиция на ривароксабан, подобна на наблюдаваната при възрастни пациенти с ДВТ, лекувани с ривароксабан 20 mg един път дневно, както е потвърдено в проучването фаза III (вж. точка 5.2).</w:t>
      </w:r>
    </w:p>
    <w:p w14:paraId="38BB5FE3" w14:textId="77777777" w:rsidR="00004FF2" w:rsidRDefault="00004FF2" w:rsidP="004B3035"/>
    <w:p w14:paraId="712ADAF8" w14:textId="747F3862" w:rsidR="00004FF2" w:rsidRDefault="00004FF2" w:rsidP="004B3035">
      <w:r>
        <w:t>Проучването EINSTEIN Junior фаза III е рандомизирано, активно контролирано, отворено, многоцентрово клинично проучване при 500 педиатрични пациенти (на възраст от раждането до &lt; 18 години) с потвърден остър ВТЕ. Имало е 276 деца на възраст 12 до &lt; 18 години, 101 деца на възраст 6 до &lt; 12 години, 69 деца на възраст 2 до &lt; 6 години и 54 деца на възраст &lt; 2 години.</w:t>
      </w:r>
    </w:p>
    <w:p w14:paraId="4FA2F67F" w14:textId="250C514B" w:rsidR="00004FF2" w:rsidRDefault="00004FF2" w:rsidP="004B3035"/>
    <w:p w14:paraId="649763DD" w14:textId="3148B696" w:rsidR="00004FF2" w:rsidRDefault="00004FF2" w:rsidP="004B3035">
      <w:r>
        <w:t xml:space="preserve">Индексният ВТЕ е класифициран като едно от следните: ВТЕ във връзка с централен венозен катетър (ЦВК-ВТЕ; 90/335 пациенти в групата на ривароксабан, 37/165 пациенти в групата на сравнително лечение), церебрална венозна и синусова тромбоза (ЦВСТ; 74/335 пациенти в групата на ривароксабан, 43/165 пациенти в групата на сравнително лечение) и всички други, включително ДВТ и БЕ (не-ЦВК-ВТЕ; 171/335 пациенти в групата на ривароксабан, 84/165 пациенти в групата на сравнително лечение). Най-често представената индексна тромбоза при деца на възраст 12 до &lt; 18 години е не-ЦВК-ВТЕ при 211 (76,4%); при деца на възраст 6 до &lt; 12 години и на възраст 2 до &lt; 6 години – ЦВСТ, съответно при 48 (47,5%) и 35 (50,7%); и при деца </w:t>
      </w:r>
      <w:r>
        <w:lastRenderedPageBreak/>
        <w:t>на възраст &lt; 2 години - ЦВК-ВТЕ при 37 (68,5%). Не е имало деца &lt; 6 месеца с ЦВСТ в групата на ривароксабан. 22 от пациентите с ЦВСТ са имали инфекция на ЦНС (13 пациенти в групата на ривароксабан и 9 пациенти в групата на сравнително лечение).</w:t>
      </w:r>
    </w:p>
    <w:p w14:paraId="4D9156AF" w14:textId="329226BD" w:rsidR="00004FF2" w:rsidRDefault="00004FF2" w:rsidP="004B3035"/>
    <w:p w14:paraId="10438FE0" w14:textId="6478CABD" w:rsidR="00004FF2" w:rsidRDefault="00004FF2" w:rsidP="00004FF2">
      <w:pPr>
        <w:pStyle w:val="Default"/>
        <w:rPr>
          <w:sz w:val="22"/>
          <w:szCs w:val="22"/>
        </w:rPr>
      </w:pPr>
      <w:r>
        <w:rPr>
          <w:sz w:val="22"/>
          <w:szCs w:val="22"/>
        </w:rPr>
        <w:t xml:space="preserve">ВТЕ е предизвикан от постоянни, преходни или и от двете – постоянни и преходни рискови фактори при 438 (87,6%) деца. </w:t>
      </w:r>
    </w:p>
    <w:p w14:paraId="0906A3DB" w14:textId="77777777" w:rsidR="00C125AE" w:rsidRDefault="00C125AE" w:rsidP="00004FF2">
      <w:pPr>
        <w:pStyle w:val="Default"/>
        <w:rPr>
          <w:sz w:val="22"/>
          <w:szCs w:val="22"/>
        </w:rPr>
      </w:pPr>
    </w:p>
    <w:p w14:paraId="3D727832" w14:textId="7A758694" w:rsidR="00004FF2" w:rsidRDefault="00004FF2" w:rsidP="00004FF2">
      <w:pPr>
        <w:pStyle w:val="Default"/>
        <w:rPr>
          <w:sz w:val="22"/>
          <w:szCs w:val="22"/>
        </w:rPr>
      </w:pPr>
      <w:r>
        <w:rPr>
          <w:sz w:val="22"/>
          <w:szCs w:val="22"/>
        </w:rPr>
        <w:t>Пациентите са получили първоначално лечение с терапевтични дози нефракциониран хепарин (НФХ), хепарин с ниско молекулно тегло (ХНМТ), или фондапаринукс за най-малко 5 дни и са рандомизирани 2:1 да получават или дози ривароксабан, коригирани спрямо телесното тегло, или сравнителни лекарства в групата на сравнително лечение (хепарини, АВК) за 3-месечен период на лечение в основното проучване (1 месец при деца &lt; 2 години с ЦВК-ВТЕ). В края на периода на лечение в основното проучване диагностичното образно изследване, направено на изходно ниво, е направено повторно, ако е било клинично приложимо.</w:t>
      </w:r>
      <w:r w:rsidRPr="00004FF2">
        <w:t xml:space="preserve"> </w:t>
      </w:r>
      <w:r>
        <w:rPr>
          <w:sz w:val="22"/>
          <w:szCs w:val="22"/>
        </w:rPr>
        <w:t xml:space="preserve">Лечението в проучването е можело да бъде спряно в този момент или по преценка на Изследователя да бъде продължено общо за до 12 месеца (при деца &lt;2 години с ЦВК-ВТЕ – до 3 месеца). </w:t>
      </w:r>
    </w:p>
    <w:p w14:paraId="09B8DE85" w14:textId="77777777" w:rsidR="00004FF2" w:rsidRDefault="00004FF2" w:rsidP="00004FF2">
      <w:pPr>
        <w:pStyle w:val="Default"/>
        <w:rPr>
          <w:sz w:val="22"/>
          <w:szCs w:val="22"/>
        </w:rPr>
      </w:pPr>
    </w:p>
    <w:p w14:paraId="2BE4E6CB" w14:textId="6B79F8C4" w:rsidR="00004FF2" w:rsidRDefault="00004FF2" w:rsidP="00004FF2">
      <w:r>
        <w:t>Първичният резултат за ефикасност е симптоматичен рецидивиращ ВТЕ. Първичният резултат за безопасност е комбинацията от голям кръвоизлив и клинично значим не-голям кръвоизлив (КЗНГК). Всички резултати за ефикасност и безопасност са проверени и потвърдени централно от независима комисия, заслепена за определеното лечение. Резултатите за ефикасност и безопасност са показани в Таблици 11 и 12 по-долу.</w:t>
      </w:r>
    </w:p>
    <w:p w14:paraId="31C23E24" w14:textId="4329A404" w:rsidR="00004FF2" w:rsidRDefault="00004FF2" w:rsidP="004B3035"/>
    <w:p w14:paraId="2F85F9CE" w14:textId="158B6146" w:rsidR="00004FF2" w:rsidRPr="00004FF2" w:rsidRDefault="00004FF2" w:rsidP="004B3035">
      <w:pPr>
        <w:rPr>
          <w:lang w:val="bg-BG"/>
        </w:rPr>
      </w:pPr>
      <w:r>
        <w:t>Събития на рецидивиращ ВТЕ са възникнали в групата на лечение с ривароксабан при 4 от 335 пациенти и в групата на сравнително лечение при 5 от 165 пациенти. Комбинацията от голям кръвоизлив и КЗНГК е докладвана при 10 от 329 пациенти (3%), лекувани с ривароксабан и при 3 от 162 пациенти (1,9%), лекувани с компаратора</w:t>
      </w:r>
      <w:r>
        <w:rPr>
          <w:lang w:val="bg-BG"/>
        </w:rPr>
        <w:t xml:space="preserve">. </w:t>
      </w:r>
      <w:r>
        <w:t>Нетна клинична полза</w:t>
      </w:r>
      <w:r>
        <w:rPr>
          <w:lang w:val="bg-BG"/>
        </w:rPr>
        <w:t xml:space="preserve"> </w:t>
      </w:r>
      <w:r>
        <w:t xml:space="preserve">(симптоматичен рецидивиращ ВТЕ плюс събития на голям кръвоизлив) е съобщена в групата на лечение с ривароксабан при 4 от 335 пациенти и в групата на сравнително лечение при 7 от 165 пациенти. Нормализиране на тромботичното обременяване при повторното образно изследване е възникнало при 128 от 335 пациенти на лечение с ривароксабан и при 43 от 165 пациенти в групата на сравнително лечение. Тези находки обикновено са подобни сред възрастовите групи. В групата на ривароксабан е имало 119 (36,2%) деца </w:t>
      </w:r>
      <w:r>
        <w:rPr>
          <w:color w:val="1F2023"/>
        </w:rPr>
        <w:t>с някакво кървене, възникнало при лечението, а в групата на сравнително лечение е имало 45 (27,8%) деца.</w:t>
      </w:r>
    </w:p>
    <w:p w14:paraId="4956CDD0" w14:textId="77777777" w:rsidR="00004FF2" w:rsidRDefault="00004FF2" w:rsidP="004B3035"/>
    <w:p w14:paraId="0F4BD654" w14:textId="77777777" w:rsidR="004762C7" w:rsidRPr="00566CE6" w:rsidRDefault="004762C7" w:rsidP="004B3035"/>
    <w:p w14:paraId="04EC8194" w14:textId="615BE6DC" w:rsidR="00004FF2" w:rsidRPr="008E343B" w:rsidRDefault="00182353" w:rsidP="00004FF2">
      <w:r>
        <w:rPr>
          <w:b/>
          <w:bCs/>
        </w:rPr>
        <w:t>Tаблица</w:t>
      </w:r>
      <w:r w:rsidR="00004FF2" w:rsidRPr="008E343B">
        <w:rPr>
          <w:b/>
          <w:bCs/>
        </w:rPr>
        <w:t xml:space="preserve"> 11: </w:t>
      </w:r>
      <w:r w:rsidR="00004FF2" w:rsidRPr="00004FF2">
        <w:rPr>
          <w:b/>
          <w:bCs/>
        </w:rPr>
        <w:t>Резултати за ефикасност в края на основния период на лечение</w:t>
      </w:r>
    </w:p>
    <w:tbl>
      <w:tblPr>
        <w:tblW w:w="0" w:type="auto"/>
        <w:tblInd w:w="112" w:type="dxa"/>
        <w:tblLayout w:type="fixed"/>
        <w:tblCellMar>
          <w:left w:w="0" w:type="dxa"/>
          <w:right w:w="0" w:type="dxa"/>
        </w:tblCellMar>
        <w:tblLook w:val="01E0" w:firstRow="1" w:lastRow="1" w:firstColumn="1" w:lastColumn="1" w:noHBand="0" w:noVBand="0"/>
      </w:tblPr>
      <w:tblGrid>
        <w:gridCol w:w="5212"/>
        <w:gridCol w:w="2126"/>
        <w:gridCol w:w="2126"/>
      </w:tblGrid>
      <w:tr w:rsidR="00004FF2" w:rsidRPr="008E343B" w14:paraId="787B64EA" w14:textId="77777777" w:rsidTr="00004FF2">
        <w:trPr>
          <w:trHeight w:hRule="exact" w:val="516"/>
        </w:trPr>
        <w:tc>
          <w:tcPr>
            <w:tcW w:w="5212" w:type="dxa"/>
            <w:tcBorders>
              <w:top w:val="single" w:sz="4" w:space="0" w:color="7E7E7E"/>
              <w:left w:val="single" w:sz="4" w:space="0" w:color="7E7E7E"/>
              <w:bottom w:val="single" w:sz="4" w:space="0" w:color="7E7E7E"/>
              <w:right w:val="single" w:sz="4" w:space="0" w:color="7E7E7E"/>
            </w:tcBorders>
          </w:tcPr>
          <w:p w14:paraId="0033AB37" w14:textId="74C6C105" w:rsidR="00004FF2" w:rsidRPr="00004FF2" w:rsidRDefault="00004FF2" w:rsidP="00004FF2">
            <w:pPr>
              <w:rPr>
                <w:lang w:val="bg-BG"/>
              </w:rPr>
            </w:pPr>
            <w:r>
              <w:rPr>
                <w:b/>
                <w:bCs/>
                <w:lang w:val="bg-BG"/>
              </w:rPr>
              <w:t>Събитие</w:t>
            </w:r>
          </w:p>
        </w:tc>
        <w:tc>
          <w:tcPr>
            <w:tcW w:w="2126" w:type="dxa"/>
            <w:tcBorders>
              <w:top w:val="single" w:sz="4" w:space="0" w:color="7E7E7E"/>
              <w:left w:val="single" w:sz="4" w:space="0" w:color="7E7E7E"/>
              <w:bottom w:val="single" w:sz="4" w:space="0" w:color="7E7E7E"/>
              <w:right w:val="single" w:sz="4" w:space="0" w:color="7E7E7E"/>
            </w:tcBorders>
          </w:tcPr>
          <w:p w14:paraId="7F508145" w14:textId="77777777" w:rsidR="00004FF2" w:rsidRDefault="00004FF2" w:rsidP="00004FF2">
            <w:pPr>
              <w:pStyle w:val="Default"/>
            </w:pPr>
            <w:r>
              <w:rPr>
                <w:b/>
                <w:bCs/>
                <w:sz w:val="22"/>
                <w:szCs w:val="22"/>
              </w:rPr>
              <w:t xml:space="preserve">Ривароксабан </w:t>
            </w:r>
          </w:p>
          <w:p w14:paraId="6E4DA153" w14:textId="77777777" w:rsidR="00004FF2" w:rsidRPr="008E343B" w:rsidRDefault="00004FF2" w:rsidP="00004FF2">
            <w:r w:rsidRPr="008E343B">
              <w:rPr>
                <w:b/>
                <w:bCs/>
              </w:rPr>
              <w:t>N=335*</w:t>
            </w:r>
          </w:p>
        </w:tc>
        <w:tc>
          <w:tcPr>
            <w:tcW w:w="2126" w:type="dxa"/>
            <w:tcBorders>
              <w:top w:val="single" w:sz="4" w:space="0" w:color="7E7E7E"/>
              <w:left w:val="single" w:sz="4" w:space="0" w:color="7E7E7E"/>
              <w:bottom w:val="single" w:sz="4" w:space="0" w:color="7E7E7E"/>
              <w:right w:val="single" w:sz="4" w:space="0" w:color="7E7E7E"/>
            </w:tcBorders>
          </w:tcPr>
          <w:p w14:paraId="70738D92" w14:textId="77777777" w:rsidR="00004FF2" w:rsidRDefault="00004FF2" w:rsidP="00004FF2">
            <w:pPr>
              <w:pStyle w:val="Default"/>
            </w:pPr>
            <w:r>
              <w:rPr>
                <w:b/>
                <w:bCs/>
                <w:sz w:val="22"/>
                <w:szCs w:val="22"/>
              </w:rPr>
              <w:t xml:space="preserve">Компаратор </w:t>
            </w:r>
          </w:p>
          <w:p w14:paraId="416FC8E9" w14:textId="77777777" w:rsidR="00004FF2" w:rsidRPr="008E343B" w:rsidRDefault="00004FF2" w:rsidP="00004FF2">
            <w:r w:rsidRPr="008E343B">
              <w:rPr>
                <w:b/>
                <w:bCs/>
              </w:rPr>
              <w:t>N=165*</w:t>
            </w:r>
          </w:p>
        </w:tc>
      </w:tr>
      <w:tr w:rsidR="00004FF2" w:rsidRPr="008E343B" w14:paraId="70BCB4FB" w14:textId="77777777" w:rsidTr="00004FF2">
        <w:trPr>
          <w:trHeight w:hRule="exact" w:val="769"/>
        </w:trPr>
        <w:tc>
          <w:tcPr>
            <w:tcW w:w="5212" w:type="dxa"/>
            <w:tcBorders>
              <w:top w:val="single" w:sz="4" w:space="0" w:color="7E7E7E"/>
              <w:left w:val="single" w:sz="4" w:space="0" w:color="7E7E7E"/>
              <w:bottom w:val="single" w:sz="4" w:space="0" w:color="7E7E7E"/>
              <w:right w:val="single" w:sz="4" w:space="0" w:color="7E7E7E"/>
            </w:tcBorders>
          </w:tcPr>
          <w:p w14:paraId="0B3164A9" w14:textId="77777777" w:rsidR="00C125AE" w:rsidRDefault="00C125AE" w:rsidP="00004FF2">
            <w:r>
              <w:t>Рецидивиращ ВТЕ</w:t>
            </w:r>
          </w:p>
          <w:p w14:paraId="30DB4FC8" w14:textId="4A9D5DAF" w:rsidR="00004FF2" w:rsidRPr="008E343B" w:rsidRDefault="00182353" w:rsidP="00C125AE">
            <w:r w:rsidRPr="00182353">
              <w:t>(първичен резултат за ефикасност)</w:t>
            </w:r>
          </w:p>
        </w:tc>
        <w:tc>
          <w:tcPr>
            <w:tcW w:w="2126" w:type="dxa"/>
            <w:tcBorders>
              <w:top w:val="single" w:sz="4" w:space="0" w:color="7E7E7E"/>
              <w:left w:val="single" w:sz="4" w:space="0" w:color="7E7E7E"/>
              <w:bottom w:val="single" w:sz="4" w:space="0" w:color="7E7E7E"/>
              <w:right w:val="single" w:sz="4" w:space="0" w:color="7E7E7E"/>
            </w:tcBorders>
          </w:tcPr>
          <w:p w14:paraId="68907F59" w14:textId="77777777" w:rsidR="00004FF2" w:rsidRPr="008E343B" w:rsidRDefault="00004FF2" w:rsidP="00004FF2">
            <w:r w:rsidRPr="008E343B">
              <w:t>4</w:t>
            </w:r>
          </w:p>
          <w:p w14:paraId="0A72756B" w14:textId="77777777" w:rsidR="00004FF2" w:rsidRPr="008E343B" w:rsidRDefault="00004FF2" w:rsidP="00004FF2">
            <w:r w:rsidRPr="008E343B">
              <w:t>(1.2%, 95% CI</w:t>
            </w:r>
          </w:p>
          <w:p w14:paraId="640F358D" w14:textId="77777777" w:rsidR="00004FF2" w:rsidRPr="008E343B" w:rsidRDefault="00004FF2" w:rsidP="00004FF2">
            <w:r w:rsidRPr="008E343B">
              <w:t>0.4% – 3.0%)</w:t>
            </w:r>
          </w:p>
        </w:tc>
        <w:tc>
          <w:tcPr>
            <w:tcW w:w="2126" w:type="dxa"/>
            <w:tcBorders>
              <w:top w:val="single" w:sz="4" w:space="0" w:color="7E7E7E"/>
              <w:left w:val="single" w:sz="4" w:space="0" w:color="7E7E7E"/>
              <w:bottom w:val="single" w:sz="4" w:space="0" w:color="7E7E7E"/>
              <w:right w:val="single" w:sz="4" w:space="0" w:color="7E7E7E"/>
            </w:tcBorders>
          </w:tcPr>
          <w:p w14:paraId="36865E74" w14:textId="77777777" w:rsidR="00004FF2" w:rsidRPr="008E343B" w:rsidRDefault="00004FF2" w:rsidP="00004FF2">
            <w:r w:rsidRPr="008E343B">
              <w:t>5</w:t>
            </w:r>
          </w:p>
          <w:p w14:paraId="5BE2681F" w14:textId="77777777" w:rsidR="00004FF2" w:rsidRPr="008E343B" w:rsidRDefault="00004FF2" w:rsidP="00004FF2">
            <w:r w:rsidRPr="008E343B">
              <w:t>(3.0%, 95% CI</w:t>
            </w:r>
          </w:p>
          <w:p w14:paraId="17C16141" w14:textId="77777777" w:rsidR="00004FF2" w:rsidRPr="008E343B" w:rsidRDefault="00004FF2" w:rsidP="00004FF2">
            <w:r w:rsidRPr="008E343B">
              <w:t>1.2% - 6.6%)</w:t>
            </w:r>
          </w:p>
        </w:tc>
      </w:tr>
      <w:tr w:rsidR="00004FF2" w:rsidRPr="008E343B" w14:paraId="6968EFCF" w14:textId="77777777" w:rsidTr="00004FF2">
        <w:trPr>
          <w:trHeight w:hRule="exact" w:val="768"/>
        </w:trPr>
        <w:tc>
          <w:tcPr>
            <w:tcW w:w="5212" w:type="dxa"/>
            <w:tcBorders>
              <w:top w:val="single" w:sz="4" w:space="0" w:color="7E7E7E"/>
              <w:left w:val="single" w:sz="4" w:space="0" w:color="7E7E7E"/>
              <w:bottom w:val="single" w:sz="4" w:space="0" w:color="7E7E7E"/>
              <w:right w:val="single" w:sz="4" w:space="0" w:color="7E7E7E"/>
            </w:tcBorders>
          </w:tcPr>
          <w:p w14:paraId="0D8BD64C" w14:textId="77777777" w:rsidR="00182353" w:rsidRDefault="00182353" w:rsidP="00182353">
            <w:pPr>
              <w:pStyle w:val="Default"/>
            </w:pPr>
            <w:r>
              <w:rPr>
                <w:sz w:val="22"/>
                <w:szCs w:val="22"/>
              </w:rPr>
              <w:t xml:space="preserve">Комбинация: симптоматичен рецидивиращ ВТЕ + асимптоматично влошаване при повторното образно изследване </w:t>
            </w:r>
          </w:p>
          <w:p w14:paraId="1DF74607" w14:textId="623E5783" w:rsidR="00004FF2" w:rsidRPr="008E343B" w:rsidRDefault="00004FF2" w:rsidP="00004FF2"/>
        </w:tc>
        <w:tc>
          <w:tcPr>
            <w:tcW w:w="2126" w:type="dxa"/>
            <w:tcBorders>
              <w:top w:val="single" w:sz="4" w:space="0" w:color="7E7E7E"/>
              <w:left w:val="single" w:sz="4" w:space="0" w:color="7E7E7E"/>
              <w:bottom w:val="single" w:sz="4" w:space="0" w:color="7E7E7E"/>
              <w:right w:val="single" w:sz="4" w:space="0" w:color="7E7E7E"/>
            </w:tcBorders>
          </w:tcPr>
          <w:p w14:paraId="32462C72" w14:textId="77777777" w:rsidR="00004FF2" w:rsidRPr="008E343B" w:rsidRDefault="00004FF2" w:rsidP="00004FF2">
            <w:r w:rsidRPr="008E343B">
              <w:t>5</w:t>
            </w:r>
          </w:p>
          <w:p w14:paraId="4923EA34" w14:textId="77777777" w:rsidR="00004FF2" w:rsidRPr="008E343B" w:rsidRDefault="00004FF2" w:rsidP="00004FF2">
            <w:r w:rsidRPr="008E343B">
              <w:t>(1.5%, 95% CI</w:t>
            </w:r>
          </w:p>
          <w:p w14:paraId="01DCB01A" w14:textId="77777777" w:rsidR="00004FF2" w:rsidRPr="008E343B" w:rsidRDefault="00004FF2" w:rsidP="00004FF2">
            <w:r w:rsidRPr="008E343B">
              <w:t>0.6% – 3.4%)</w:t>
            </w:r>
          </w:p>
        </w:tc>
        <w:tc>
          <w:tcPr>
            <w:tcW w:w="2126" w:type="dxa"/>
            <w:tcBorders>
              <w:top w:val="single" w:sz="4" w:space="0" w:color="7E7E7E"/>
              <w:left w:val="single" w:sz="4" w:space="0" w:color="7E7E7E"/>
              <w:bottom w:val="single" w:sz="4" w:space="0" w:color="7E7E7E"/>
              <w:right w:val="single" w:sz="4" w:space="0" w:color="7E7E7E"/>
            </w:tcBorders>
          </w:tcPr>
          <w:p w14:paraId="0A5C7571" w14:textId="77777777" w:rsidR="00004FF2" w:rsidRPr="008E343B" w:rsidRDefault="00004FF2" w:rsidP="00004FF2">
            <w:r w:rsidRPr="008E343B">
              <w:t>6</w:t>
            </w:r>
          </w:p>
          <w:p w14:paraId="18123909" w14:textId="77777777" w:rsidR="00004FF2" w:rsidRPr="008E343B" w:rsidRDefault="00004FF2" w:rsidP="00004FF2">
            <w:r w:rsidRPr="008E343B">
              <w:t>(3.6%, 95% CI</w:t>
            </w:r>
          </w:p>
          <w:p w14:paraId="0E22D598" w14:textId="77777777" w:rsidR="00004FF2" w:rsidRPr="008E343B" w:rsidRDefault="00004FF2" w:rsidP="00004FF2">
            <w:r w:rsidRPr="008E343B">
              <w:t>1.6% – 7.6%)</w:t>
            </w:r>
          </w:p>
        </w:tc>
      </w:tr>
      <w:tr w:rsidR="00004FF2" w:rsidRPr="008E343B" w14:paraId="039BAA63" w14:textId="77777777" w:rsidTr="00004FF2">
        <w:trPr>
          <w:trHeight w:hRule="exact" w:val="830"/>
        </w:trPr>
        <w:tc>
          <w:tcPr>
            <w:tcW w:w="5212" w:type="dxa"/>
            <w:tcBorders>
              <w:top w:val="single" w:sz="4" w:space="0" w:color="7E7E7E"/>
              <w:left w:val="single" w:sz="4" w:space="0" w:color="7E7E7E"/>
              <w:bottom w:val="single" w:sz="4" w:space="0" w:color="7E7E7E"/>
              <w:right w:val="single" w:sz="4" w:space="0" w:color="7E7E7E"/>
            </w:tcBorders>
          </w:tcPr>
          <w:p w14:paraId="4958B3DE" w14:textId="77777777" w:rsidR="00182353" w:rsidRDefault="00182353" w:rsidP="00182353">
            <w:pPr>
              <w:pStyle w:val="Default"/>
            </w:pPr>
            <w:r>
              <w:rPr>
                <w:sz w:val="22"/>
                <w:szCs w:val="22"/>
              </w:rPr>
              <w:t xml:space="preserve">Комбинация: симптоматичен рецидивиращ ВТЕ + асимптоматично влошаване + без промяна при повторното образно изследване </w:t>
            </w:r>
          </w:p>
          <w:p w14:paraId="79C4DA9C" w14:textId="6237605D" w:rsidR="00004FF2" w:rsidRPr="008E343B" w:rsidRDefault="00004FF2" w:rsidP="00004FF2"/>
        </w:tc>
        <w:tc>
          <w:tcPr>
            <w:tcW w:w="2126" w:type="dxa"/>
            <w:tcBorders>
              <w:top w:val="single" w:sz="4" w:space="0" w:color="7E7E7E"/>
              <w:left w:val="single" w:sz="4" w:space="0" w:color="7E7E7E"/>
              <w:bottom w:val="single" w:sz="4" w:space="0" w:color="7E7E7E"/>
              <w:right w:val="single" w:sz="4" w:space="0" w:color="7E7E7E"/>
            </w:tcBorders>
          </w:tcPr>
          <w:p w14:paraId="10038551" w14:textId="77777777" w:rsidR="00004FF2" w:rsidRPr="008E343B" w:rsidRDefault="00004FF2" w:rsidP="00004FF2">
            <w:r w:rsidRPr="008E343B">
              <w:t>21</w:t>
            </w:r>
          </w:p>
          <w:p w14:paraId="721E249A" w14:textId="77777777" w:rsidR="00004FF2" w:rsidRPr="008E343B" w:rsidRDefault="00004FF2" w:rsidP="00004FF2">
            <w:r w:rsidRPr="008E343B">
              <w:t>(6.3%, 95% CI</w:t>
            </w:r>
          </w:p>
          <w:p w14:paraId="096F2049" w14:textId="77777777" w:rsidR="00004FF2" w:rsidRPr="008E343B" w:rsidRDefault="00004FF2" w:rsidP="00004FF2">
            <w:r w:rsidRPr="008E343B">
              <w:t>4.0% – 9.2%)</w:t>
            </w:r>
          </w:p>
        </w:tc>
        <w:tc>
          <w:tcPr>
            <w:tcW w:w="2126" w:type="dxa"/>
            <w:tcBorders>
              <w:top w:val="single" w:sz="4" w:space="0" w:color="7E7E7E"/>
              <w:left w:val="single" w:sz="4" w:space="0" w:color="7E7E7E"/>
              <w:bottom w:val="single" w:sz="4" w:space="0" w:color="7E7E7E"/>
              <w:right w:val="single" w:sz="4" w:space="0" w:color="7E7E7E"/>
            </w:tcBorders>
          </w:tcPr>
          <w:p w14:paraId="07363936" w14:textId="77777777" w:rsidR="00004FF2" w:rsidRPr="008E343B" w:rsidRDefault="00004FF2" w:rsidP="00004FF2">
            <w:r w:rsidRPr="008E343B">
              <w:t>19</w:t>
            </w:r>
          </w:p>
          <w:p w14:paraId="463D71EE" w14:textId="77777777" w:rsidR="00004FF2" w:rsidRPr="008E343B" w:rsidRDefault="00004FF2" w:rsidP="00004FF2">
            <w:r w:rsidRPr="008E343B">
              <w:t>(11.5%, 95% CI</w:t>
            </w:r>
          </w:p>
          <w:p w14:paraId="3E48A2D5" w14:textId="77777777" w:rsidR="00004FF2" w:rsidRPr="008E343B" w:rsidRDefault="00004FF2" w:rsidP="00004FF2">
            <w:r w:rsidRPr="008E343B">
              <w:t>7.3% – 17.4%)</w:t>
            </w:r>
          </w:p>
        </w:tc>
      </w:tr>
      <w:tr w:rsidR="00004FF2" w:rsidRPr="008E343B" w14:paraId="51CAE698" w14:textId="77777777" w:rsidTr="00004FF2">
        <w:trPr>
          <w:trHeight w:hRule="exact" w:val="857"/>
        </w:trPr>
        <w:tc>
          <w:tcPr>
            <w:tcW w:w="5212" w:type="dxa"/>
            <w:tcBorders>
              <w:top w:val="single" w:sz="4" w:space="0" w:color="7E7E7E"/>
              <w:left w:val="single" w:sz="4" w:space="0" w:color="7E7E7E"/>
              <w:bottom w:val="single" w:sz="4" w:space="0" w:color="7E7E7E"/>
              <w:right w:val="single" w:sz="4" w:space="0" w:color="7E7E7E"/>
            </w:tcBorders>
          </w:tcPr>
          <w:p w14:paraId="2E2FC15D" w14:textId="77777777" w:rsidR="00182353" w:rsidRDefault="00182353" w:rsidP="00182353">
            <w:pPr>
              <w:pStyle w:val="Default"/>
            </w:pPr>
            <w:r>
              <w:rPr>
                <w:sz w:val="22"/>
                <w:szCs w:val="22"/>
              </w:rPr>
              <w:t xml:space="preserve">Нормализиране при повторното образно изследване </w:t>
            </w:r>
          </w:p>
          <w:p w14:paraId="05E445C0" w14:textId="44B911AA" w:rsidR="00004FF2" w:rsidRPr="008E343B" w:rsidRDefault="00004FF2" w:rsidP="00004FF2"/>
        </w:tc>
        <w:tc>
          <w:tcPr>
            <w:tcW w:w="2126" w:type="dxa"/>
            <w:tcBorders>
              <w:top w:val="single" w:sz="4" w:space="0" w:color="7E7E7E"/>
              <w:left w:val="single" w:sz="4" w:space="0" w:color="7E7E7E"/>
              <w:bottom w:val="single" w:sz="4" w:space="0" w:color="7E7E7E"/>
              <w:right w:val="single" w:sz="4" w:space="0" w:color="7E7E7E"/>
            </w:tcBorders>
          </w:tcPr>
          <w:p w14:paraId="2154898E" w14:textId="77777777" w:rsidR="00004FF2" w:rsidRPr="008E343B" w:rsidRDefault="00004FF2" w:rsidP="00004FF2">
            <w:r w:rsidRPr="008E343B">
              <w:t>128</w:t>
            </w:r>
          </w:p>
          <w:p w14:paraId="432DC5E8" w14:textId="77777777" w:rsidR="00004FF2" w:rsidRPr="008E343B" w:rsidRDefault="00004FF2" w:rsidP="00004FF2">
            <w:r w:rsidRPr="008E343B">
              <w:t>(38.2%, 95% CI</w:t>
            </w:r>
          </w:p>
          <w:p w14:paraId="4E0E2D65" w14:textId="77777777" w:rsidR="00004FF2" w:rsidRPr="008E343B" w:rsidRDefault="00004FF2" w:rsidP="00004FF2">
            <w:r w:rsidRPr="008E343B">
              <w:t>33.0% - 43.5%)</w:t>
            </w:r>
          </w:p>
        </w:tc>
        <w:tc>
          <w:tcPr>
            <w:tcW w:w="2126" w:type="dxa"/>
            <w:tcBorders>
              <w:top w:val="single" w:sz="4" w:space="0" w:color="7E7E7E"/>
              <w:left w:val="single" w:sz="4" w:space="0" w:color="7E7E7E"/>
              <w:bottom w:val="single" w:sz="4" w:space="0" w:color="7E7E7E"/>
              <w:right w:val="single" w:sz="4" w:space="0" w:color="7E7E7E"/>
            </w:tcBorders>
          </w:tcPr>
          <w:p w14:paraId="10F06CE9" w14:textId="77777777" w:rsidR="00004FF2" w:rsidRPr="008E343B" w:rsidRDefault="00004FF2" w:rsidP="00004FF2">
            <w:r w:rsidRPr="008E343B">
              <w:t>43</w:t>
            </w:r>
          </w:p>
          <w:p w14:paraId="728EEBBA" w14:textId="77777777" w:rsidR="00004FF2" w:rsidRPr="008E343B" w:rsidRDefault="00004FF2" w:rsidP="00004FF2">
            <w:r w:rsidRPr="008E343B">
              <w:t>(26.1%, 95% CI</w:t>
            </w:r>
          </w:p>
          <w:p w14:paraId="6FF62A8A" w14:textId="77777777" w:rsidR="00004FF2" w:rsidRPr="008E343B" w:rsidRDefault="00004FF2" w:rsidP="00004FF2">
            <w:r w:rsidRPr="008E343B">
              <w:t>19.8% - 33.0%)</w:t>
            </w:r>
          </w:p>
        </w:tc>
      </w:tr>
      <w:tr w:rsidR="00004FF2" w:rsidRPr="008E343B" w14:paraId="6B83DF9B" w14:textId="77777777" w:rsidTr="00004FF2">
        <w:trPr>
          <w:trHeight w:hRule="exact" w:val="983"/>
        </w:trPr>
        <w:tc>
          <w:tcPr>
            <w:tcW w:w="5212" w:type="dxa"/>
            <w:tcBorders>
              <w:top w:val="single" w:sz="4" w:space="0" w:color="7E7E7E"/>
              <w:left w:val="single" w:sz="4" w:space="0" w:color="7E7E7E"/>
              <w:bottom w:val="single" w:sz="4" w:space="0" w:color="7E7E7E"/>
              <w:right w:val="single" w:sz="4" w:space="0" w:color="7E7E7E"/>
            </w:tcBorders>
          </w:tcPr>
          <w:p w14:paraId="328BF8D9" w14:textId="77777777" w:rsidR="00182353" w:rsidRDefault="00182353" w:rsidP="00182353">
            <w:pPr>
              <w:pStyle w:val="Default"/>
            </w:pPr>
            <w:r>
              <w:rPr>
                <w:sz w:val="22"/>
                <w:szCs w:val="22"/>
              </w:rPr>
              <w:lastRenderedPageBreak/>
              <w:t xml:space="preserve">Комбинация: симптоматичен рецидивиращ ВТЕ + голям кръвоизлив (нетна клинична полза) </w:t>
            </w:r>
          </w:p>
          <w:p w14:paraId="6FFD35CC" w14:textId="5CE5D02D" w:rsidR="00004FF2" w:rsidRPr="008E343B" w:rsidRDefault="00004FF2" w:rsidP="00004FF2"/>
        </w:tc>
        <w:tc>
          <w:tcPr>
            <w:tcW w:w="2126" w:type="dxa"/>
            <w:tcBorders>
              <w:top w:val="single" w:sz="4" w:space="0" w:color="7E7E7E"/>
              <w:left w:val="single" w:sz="4" w:space="0" w:color="7E7E7E"/>
              <w:bottom w:val="single" w:sz="4" w:space="0" w:color="7E7E7E"/>
              <w:right w:val="single" w:sz="4" w:space="0" w:color="7E7E7E"/>
            </w:tcBorders>
          </w:tcPr>
          <w:p w14:paraId="6005D87B" w14:textId="77777777" w:rsidR="00004FF2" w:rsidRPr="008E343B" w:rsidRDefault="00004FF2" w:rsidP="00004FF2">
            <w:r w:rsidRPr="008E343B">
              <w:t>4</w:t>
            </w:r>
          </w:p>
          <w:p w14:paraId="5B4ECCCF" w14:textId="77777777" w:rsidR="00004FF2" w:rsidRPr="008E343B" w:rsidRDefault="00004FF2" w:rsidP="00004FF2">
            <w:r w:rsidRPr="008E343B">
              <w:t>(1.2%, 95% CI</w:t>
            </w:r>
          </w:p>
          <w:p w14:paraId="79141124" w14:textId="77777777" w:rsidR="00004FF2" w:rsidRPr="008E343B" w:rsidRDefault="00004FF2" w:rsidP="00004FF2">
            <w:r w:rsidRPr="008E343B">
              <w:t>0.4% - 3.0%)</w:t>
            </w:r>
          </w:p>
        </w:tc>
        <w:tc>
          <w:tcPr>
            <w:tcW w:w="2126" w:type="dxa"/>
            <w:tcBorders>
              <w:top w:val="single" w:sz="4" w:space="0" w:color="7E7E7E"/>
              <w:left w:val="single" w:sz="4" w:space="0" w:color="7E7E7E"/>
              <w:bottom w:val="single" w:sz="4" w:space="0" w:color="7E7E7E"/>
              <w:right w:val="single" w:sz="4" w:space="0" w:color="7E7E7E"/>
            </w:tcBorders>
          </w:tcPr>
          <w:p w14:paraId="11E27A28" w14:textId="77777777" w:rsidR="00004FF2" w:rsidRPr="008E343B" w:rsidRDefault="00004FF2" w:rsidP="00004FF2">
            <w:r w:rsidRPr="008E343B">
              <w:t>7</w:t>
            </w:r>
          </w:p>
          <w:p w14:paraId="38750F8C" w14:textId="77777777" w:rsidR="00004FF2" w:rsidRPr="008E343B" w:rsidRDefault="00004FF2" w:rsidP="00004FF2">
            <w:r w:rsidRPr="008E343B">
              <w:t>(4.2%, 95% CI</w:t>
            </w:r>
          </w:p>
          <w:p w14:paraId="7DE23E7B" w14:textId="77777777" w:rsidR="00004FF2" w:rsidRPr="008E343B" w:rsidRDefault="00004FF2" w:rsidP="00004FF2">
            <w:r w:rsidRPr="008E343B">
              <w:t>2.0% - 8.4%)</w:t>
            </w:r>
          </w:p>
        </w:tc>
      </w:tr>
      <w:tr w:rsidR="00004FF2" w:rsidRPr="008E343B" w14:paraId="2B765033" w14:textId="77777777" w:rsidTr="00004FF2">
        <w:trPr>
          <w:trHeight w:hRule="exact" w:val="854"/>
        </w:trPr>
        <w:tc>
          <w:tcPr>
            <w:tcW w:w="5212" w:type="dxa"/>
            <w:tcBorders>
              <w:top w:val="single" w:sz="4" w:space="0" w:color="7E7E7E"/>
              <w:left w:val="single" w:sz="4" w:space="0" w:color="7E7E7E"/>
              <w:bottom w:val="single" w:sz="4" w:space="0" w:color="000000"/>
              <w:right w:val="single" w:sz="4" w:space="0" w:color="7E7E7E"/>
            </w:tcBorders>
          </w:tcPr>
          <w:p w14:paraId="32955C66" w14:textId="77777777" w:rsidR="00182353" w:rsidRDefault="00182353" w:rsidP="00182353">
            <w:pPr>
              <w:pStyle w:val="Default"/>
            </w:pPr>
            <w:r>
              <w:rPr>
                <w:sz w:val="22"/>
                <w:szCs w:val="22"/>
              </w:rPr>
              <w:t xml:space="preserve">Летален или нелетален белодробен емболизъм </w:t>
            </w:r>
          </w:p>
          <w:p w14:paraId="3D261EF1" w14:textId="3B1292D6" w:rsidR="00004FF2" w:rsidRPr="008E343B" w:rsidRDefault="00004FF2" w:rsidP="00004FF2"/>
        </w:tc>
        <w:tc>
          <w:tcPr>
            <w:tcW w:w="2126" w:type="dxa"/>
            <w:tcBorders>
              <w:top w:val="single" w:sz="4" w:space="0" w:color="7E7E7E"/>
              <w:left w:val="single" w:sz="4" w:space="0" w:color="7E7E7E"/>
              <w:bottom w:val="single" w:sz="4" w:space="0" w:color="000000"/>
              <w:right w:val="single" w:sz="4" w:space="0" w:color="7E7E7E"/>
            </w:tcBorders>
          </w:tcPr>
          <w:p w14:paraId="7A7DD119" w14:textId="77777777" w:rsidR="00004FF2" w:rsidRPr="008E343B" w:rsidRDefault="00004FF2" w:rsidP="00004FF2">
            <w:r w:rsidRPr="008E343B">
              <w:t>1</w:t>
            </w:r>
          </w:p>
          <w:p w14:paraId="47CBAC36" w14:textId="77777777" w:rsidR="00004FF2" w:rsidRPr="008E343B" w:rsidRDefault="00004FF2" w:rsidP="00004FF2">
            <w:r w:rsidRPr="008E343B">
              <w:t>(0.3%, 95% CI</w:t>
            </w:r>
          </w:p>
          <w:p w14:paraId="6B9A5E78" w14:textId="77777777" w:rsidR="00004FF2" w:rsidRPr="008E343B" w:rsidRDefault="00004FF2" w:rsidP="00004FF2">
            <w:r w:rsidRPr="008E343B">
              <w:t>0.0% – 1.6%)</w:t>
            </w:r>
          </w:p>
        </w:tc>
        <w:tc>
          <w:tcPr>
            <w:tcW w:w="2126" w:type="dxa"/>
            <w:tcBorders>
              <w:top w:val="single" w:sz="4" w:space="0" w:color="7E7E7E"/>
              <w:left w:val="single" w:sz="4" w:space="0" w:color="7E7E7E"/>
              <w:bottom w:val="single" w:sz="4" w:space="0" w:color="000000"/>
              <w:right w:val="single" w:sz="4" w:space="0" w:color="7E7E7E"/>
            </w:tcBorders>
          </w:tcPr>
          <w:p w14:paraId="1C270D0B" w14:textId="77777777" w:rsidR="00004FF2" w:rsidRPr="008E343B" w:rsidRDefault="00004FF2" w:rsidP="00004FF2">
            <w:r w:rsidRPr="008E343B">
              <w:t>1</w:t>
            </w:r>
          </w:p>
          <w:p w14:paraId="212C24C2" w14:textId="77777777" w:rsidR="00004FF2" w:rsidRPr="008E343B" w:rsidRDefault="00004FF2" w:rsidP="00004FF2">
            <w:r w:rsidRPr="008E343B">
              <w:t>(0.6%, 95% CI</w:t>
            </w:r>
          </w:p>
          <w:p w14:paraId="358ADE13" w14:textId="77777777" w:rsidR="00004FF2" w:rsidRPr="008E343B" w:rsidRDefault="00004FF2" w:rsidP="00004FF2">
            <w:r w:rsidRPr="008E343B">
              <w:t>0.0% – 3.1%)</w:t>
            </w:r>
          </w:p>
        </w:tc>
      </w:tr>
    </w:tbl>
    <w:p w14:paraId="74EF916F" w14:textId="3A23ABDE" w:rsidR="00004FF2" w:rsidRPr="008E343B" w:rsidRDefault="00004FF2" w:rsidP="00004FF2">
      <w:pPr>
        <w:ind w:left="142"/>
      </w:pPr>
      <w:r w:rsidRPr="008E343B">
        <w:t xml:space="preserve">*FAS= </w:t>
      </w:r>
      <w:r w:rsidR="00182353">
        <w:t>пълен набор за анализ (full analysis set), всички деца, които са били рандомизирани</w:t>
      </w:r>
    </w:p>
    <w:p w14:paraId="25AB5885" w14:textId="77777777" w:rsidR="00004FF2" w:rsidRPr="008E343B" w:rsidRDefault="00004FF2" w:rsidP="00004FF2"/>
    <w:p w14:paraId="5A76A4BD" w14:textId="2E3E77C5" w:rsidR="00004FF2" w:rsidRPr="008E343B" w:rsidRDefault="00182353" w:rsidP="00004FF2">
      <w:r>
        <w:rPr>
          <w:b/>
          <w:bCs/>
        </w:rPr>
        <w:t>Таблица</w:t>
      </w:r>
      <w:r w:rsidR="00004FF2" w:rsidRPr="008E343B">
        <w:rPr>
          <w:b/>
          <w:bCs/>
        </w:rPr>
        <w:t xml:space="preserve"> 12: </w:t>
      </w:r>
      <w:r>
        <w:rPr>
          <w:b/>
          <w:bCs/>
        </w:rPr>
        <w:t>Резултати за безопасност в края на основния период на лечение</w:t>
      </w:r>
    </w:p>
    <w:tbl>
      <w:tblPr>
        <w:tblW w:w="0" w:type="auto"/>
        <w:tblInd w:w="112" w:type="dxa"/>
        <w:tblLayout w:type="fixed"/>
        <w:tblCellMar>
          <w:left w:w="0" w:type="dxa"/>
          <w:right w:w="0" w:type="dxa"/>
        </w:tblCellMar>
        <w:tblLook w:val="01E0" w:firstRow="1" w:lastRow="1" w:firstColumn="1" w:lastColumn="1" w:noHBand="0" w:noVBand="0"/>
      </w:tblPr>
      <w:tblGrid>
        <w:gridCol w:w="5212"/>
        <w:gridCol w:w="2126"/>
        <w:gridCol w:w="2126"/>
      </w:tblGrid>
      <w:tr w:rsidR="00004FF2" w:rsidRPr="008E343B" w14:paraId="6CD1CDA3" w14:textId="77777777" w:rsidTr="00004FF2">
        <w:trPr>
          <w:trHeight w:hRule="exact" w:val="516"/>
        </w:trPr>
        <w:tc>
          <w:tcPr>
            <w:tcW w:w="5212" w:type="dxa"/>
            <w:tcBorders>
              <w:top w:val="single" w:sz="4" w:space="0" w:color="7E7E7E"/>
              <w:left w:val="single" w:sz="4" w:space="0" w:color="7E7E7E"/>
              <w:bottom w:val="single" w:sz="4" w:space="0" w:color="7E7E7E"/>
              <w:right w:val="single" w:sz="4" w:space="0" w:color="7E7E7E"/>
            </w:tcBorders>
          </w:tcPr>
          <w:p w14:paraId="149AD87B" w14:textId="77777777" w:rsidR="00004FF2" w:rsidRPr="008E343B" w:rsidRDefault="00004FF2" w:rsidP="00004FF2"/>
        </w:tc>
        <w:tc>
          <w:tcPr>
            <w:tcW w:w="2126" w:type="dxa"/>
            <w:tcBorders>
              <w:top w:val="single" w:sz="4" w:space="0" w:color="7E7E7E"/>
              <w:left w:val="single" w:sz="4" w:space="0" w:color="7E7E7E"/>
              <w:bottom w:val="single" w:sz="4" w:space="0" w:color="7E7E7E"/>
              <w:right w:val="single" w:sz="4" w:space="0" w:color="7E7E7E"/>
            </w:tcBorders>
          </w:tcPr>
          <w:p w14:paraId="02B89BC3" w14:textId="77777777" w:rsidR="00182353" w:rsidRDefault="00182353" w:rsidP="00182353">
            <w:pPr>
              <w:pStyle w:val="Default"/>
            </w:pPr>
            <w:r>
              <w:rPr>
                <w:b/>
                <w:bCs/>
                <w:sz w:val="22"/>
                <w:szCs w:val="22"/>
              </w:rPr>
              <w:t xml:space="preserve">Ривароксабан </w:t>
            </w:r>
          </w:p>
          <w:p w14:paraId="3AF88E63" w14:textId="77777777" w:rsidR="00004FF2" w:rsidRPr="008E343B" w:rsidRDefault="00004FF2" w:rsidP="00004FF2">
            <w:r w:rsidRPr="008E343B">
              <w:rPr>
                <w:b/>
                <w:bCs/>
              </w:rPr>
              <w:t>N=329*</w:t>
            </w:r>
          </w:p>
        </w:tc>
        <w:tc>
          <w:tcPr>
            <w:tcW w:w="2126" w:type="dxa"/>
            <w:tcBorders>
              <w:top w:val="single" w:sz="4" w:space="0" w:color="7E7E7E"/>
              <w:left w:val="single" w:sz="4" w:space="0" w:color="7E7E7E"/>
              <w:bottom w:val="single" w:sz="4" w:space="0" w:color="7E7E7E"/>
              <w:right w:val="single" w:sz="4" w:space="0" w:color="7E7E7E"/>
            </w:tcBorders>
          </w:tcPr>
          <w:p w14:paraId="08D8DBE5" w14:textId="77777777" w:rsidR="00182353" w:rsidRDefault="00182353" w:rsidP="00182353">
            <w:pPr>
              <w:pStyle w:val="Default"/>
            </w:pPr>
            <w:r>
              <w:rPr>
                <w:b/>
                <w:bCs/>
                <w:sz w:val="22"/>
                <w:szCs w:val="22"/>
              </w:rPr>
              <w:t xml:space="preserve">Компаратор </w:t>
            </w:r>
          </w:p>
          <w:p w14:paraId="4F2C2D47" w14:textId="77777777" w:rsidR="00004FF2" w:rsidRPr="008E343B" w:rsidRDefault="00004FF2" w:rsidP="00004FF2">
            <w:r w:rsidRPr="008E343B">
              <w:rPr>
                <w:b/>
                <w:bCs/>
              </w:rPr>
              <w:t>N=162*</w:t>
            </w:r>
          </w:p>
        </w:tc>
      </w:tr>
      <w:tr w:rsidR="00004FF2" w:rsidRPr="008E343B" w14:paraId="320B38E1" w14:textId="77777777" w:rsidTr="00004FF2">
        <w:trPr>
          <w:trHeight w:hRule="exact" w:val="768"/>
        </w:trPr>
        <w:tc>
          <w:tcPr>
            <w:tcW w:w="5212" w:type="dxa"/>
            <w:tcBorders>
              <w:top w:val="single" w:sz="4" w:space="0" w:color="7E7E7E"/>
              <w:left w:val="single" w:sz="4" w:space="0" w:color="7E7E7E"/>
              <w:bottom w:val="single" w:sz="4" w:space="0" w:color="7E7E7E"/>
              <w:right w:val="single" w:sz="4" w:space="0" w:color="7E7E7E"/>
            </w:tcBorders>
          </w:tcPr>
          <w:p w14:paraId="78EFA068" w14:textId="77777777" w:rsidR="00182353" w:rsidRDefault="00182353" w:rsidP="00182353">
            <w:pPr>
              <w:pStyle w:val="Default"/>
            </w:pPr>
            <w:r>
              <w:rPr>
                <w:sz w:val="22"/>
                <w:szCs w:val="22"/>
              </w:rPr>
              <w:t xml:space="preserve">Комбинация: голям кръвоизлив + КЗНГК (първичен резултат за безопасност) </w:t>
            </w:r>
          </w:p>
          <w:p w14:paraId="47CAE60B" w14:textId="1E083677" w:rsidR="00004FF2" w:rsidRPr="008E343B" w:rsidRDefault="00004FF2" w:rsidP="00004FF2"/>
        </w:tc>
        <w:tc>
          <w:tcPr>
            <w:tcW w:w="2126" w:type="dxa"/>
            <w:tcBorders>
              <w:top w:val="single" w:sz="4" w:space="0" w:color="7E7E7E"/>
              <w:left w:val="single" w:sz="4" w:space="0" w:color="7E7E7E"/>
              <w:bottom w:val="single" w:sz="4" w:space="0" w:color="7E7E7E"/>
              <w:right w:val="single" w:sz="4" w:space="0" w:color="7E7E7E"/>
            </w:tcBorders>
          </w:tcPr>
          <w:p w14:paraId="4DE80957" w14:textId="77777777" w:rsidR="00004FF2" w:rsidRPr="008E343B" w:rsidRDefault="00004FF2" w:rsidP="00004FF2">
            <w:r w:rsidRPr="008E343B">
              <w:t>10</w:t>
            </w:r>
          </w:p>
          <w:p w14:paraId="59BB242C" w14:textId="77777777" w:rsidR="00004FF2" w:rsidRPr="008E343B" w:rsidRDefault="00004FF2" w:rsidP="00004FF2">
            <w:r w:rsidRPr="008E343B">
              <w:t>(3.0%, 95% CI</w:t>
            </w:r>
          </w:p>
          <w:p w14:paraId="7B679674" w14:textId="77777777" w:rsidR="00004FF2" w:rsidRPr="008E343B" w:rsidRDefault="00004FF2" w:rsidP="00004FF2">
            <w:r w:rsidRPr="008E343B">
              <w:t>1.6% - 5.5%)</w:t>
            </w:r>
          </w:p>
        </w:tc>
        <w:tc>
          <w:tcPr>
            <w:tcW w:w="2126" w:type="dxa"/>
            <w:tcBorders>
              <w:top w:val="single" w:sz="4" w:space="0" w:color="7E7E7E"/>
              <w:left w:val="single" w:sz="4" w:space="0" w:color="7E7E7E"/>
              <w:bottom w:val="single" w:sz="4" w:space="0" w:color="7E7E7E"/>
              <w:right w:val="single" w:sz="4" w:space="0" w:color="7E7E7E"/>
            </w:tcBorders>
          </w:tcPr>
          <w:p w14:paraId="5003E49D" w14:textId="77777777" w:rsidR="00004FF2" w:rsidRPr="008E343B" w:rsidRDefault="00004FF2" w:rsidP="00004FF2">
            <w:r w:rsidRPr="008E343B">
              <w:t>3</w:t>
            </w:r>
          </w:p>
          <w:p w14:paraId="40663A45" w14:textId="77777777" w:rsidR="00004FF2" w:rsidRPr="008E343B" w:rsidRDefault="00004FF2" w:rsidP="00004FF2">
            <w:r w:rsidRPr="008E343B">
              <w:t>(1.9%, 95% CI</w:t>
            </w:r>
          </w:p>
          <w:p w14:paraId="2CD63DBD" w14:textId="77777777" w:rsidR="00004FF2" w:rsidRPr="008E343B" w:rsidRDefault="00004FF2" w:rsidP="00004FF2">
            <w:r w:rsidRPr="008E343B">
              <w:t>0.5% - 5.3%)</w:t>
            </w:r>
          </w:p>
        </w:tc>
      </w:tr>
      <w:tr w:rsidR="00004FF2" w:rsidRPr="008E343B" w14:paraId="1E96E610" w14:textId="77777777" w:rsidTr="00004FF2">
        <w:trPr>
          <w:trHeight w:hRule="exact" w:val="769"/>
        </w:trPr>
        <w:tc>
          <w:tcPr>
            <w:tcW w:w="5212" w:type="dxa"/>
            <w:tcBorders>
              <w:top w:val="single" w:sz="4" w:space="0" w:color="7E7E7E"/>
              <w:left w:val="single" w:sz="4" w:space="0" w:color="7E7E7E"/>
              <w:bottom w:val="single" w:sz="4" w:space="0" w:color="7E7E7E"/>
              <w:right w:val="single" w:sz="4" w:space="0" w:color="7E7E7E"/>
            </w:tcBorders>
          </w:tcPr>
          <w:p w14:paraId="59B2C99D" w14:textId="77777777" w:rsidR="00182353" w:rsidRDefault="00182353" w:rsidP="00182353">
            <w:pPr>
              <w:pStyle w:val="Default"/>
            </w:pPr>
            <w:r>
              <w:rPr>
                <w:sz w:val="22"/>
                <w:szCs w:val="22"/>
              </w:rPr>
              <w:t xml:space="preserve">Голям кръвоизлив </w:t>
            </w:r>
          </w:p>
          <w:p w14:paraId="7391D292" w14:textId="32DC4B23" w:rsidR="00004FF2" w:rsidRPr="008E343B" w:rsidRDefault="00004FF2" w:rsidP="00004FF2"/>
        </w:tc>
        <w:tc>
          <w:tcPr>
            <w:tcW w:w="2126" w:type="dxa"/>
            <w:tcBorders>
              <w:top w:val="single" w:sz="4" w:space="0" w:color="7E7E7E"/>
              <w:left w:val="single" w:sz="4" w:space="0" w:color="7E7E7E"/>
              <w:bottom w:val="single" w:sz="4" w:space="0" w:color="7E7E7E"/>
              <w:right w:val="single" w:sz="4" w:space="0" w:color="7E7E7E"/>
            </w:tcBorders>
          </w:tcPr>
          <w:p w14:paraId="3C482C24" w14:textId="77777777" w:rsidR="00004FF2" w:rsidRPr="008E343B" w:rsidRDefault="00004FF2" w:rsidP="00004FF2">
            <w:r w:rsidRPr="008E343B">
              <w:t>0</w:t>
            </w:r>
          </w:p>
          <w:p w14:paraId="37D239B8" w14:textId="77777777" w:rsidR="00004FF2" w:rsidRPr="008E343B" w:rsidRDefault="00004FF2" w:rsidP="00004FF2">
            <w:r w:rsidRPr="008E343B">
              <w:t>(0.0%, 95% CI</w:t>
            </w:r>
          </w:p>
          <w:p w14:paraId="16FD1D1D" w14:textId="77777777" w:rsidR="00004FF2" w:rsidRPr="008E343B" w:rsidRDefault="00004FF2" w:rsidP="00004FF2">
            <w:r w:rsidRPr="008E343B">
              <w:t>0.0% - 1.1%)</w:t>
            </w:r>
          </w:p>
        </w:tc>
        <w:tc>
          <w:tcPr>
            <w:tcW w:w="2126" w:type="dxa"/>
            <w:tcBorders>
              <w:top w:val="single" w:sz="4" w:space="0" w:color="7E7E7E"/>
              <w:left w:val="single" w:sz="4" w:space="0" w:color="7E7E7E"/>
              <w:bottom w:val="single" w:sz="4" w:space="0" w:color="7E7E7E"/>
              <w:right w:val="single" w:sz="4" w:space="0" w:color="7E7E7E"/>
            </w:tcBorders>
          </w:tcPr>
          <w:p w14:paraId="0752B024" w14:textId="77777777" w:rsidR="00004FF2" w:rsidRPr="008E343B" w:rsidRDefault="00004FF2" w:rsidP="00004FF2">
            <w:r w:rsidRPr="008E343B">
              <w:t>2</w:t>
            </w:r>
          </w:p>
          <w:p w14:paraId="0A3BF6F3" w14:textId="77777777" w:rsidR="00004FF2" w:rsidRPr="008E343B" w:rsidRDefault="00004FF2" w:rsidP="00004FF2">
            <w:r w:rsidRPr="008E343B">
              <w:t>(1.2%, 95% CI</w:t>
            </w:r>
          </w:p>
          <w:p w14:paraId="397D7FA6" w14:textId="77777777" w:rsidR="00004FF2" w:rsidRPr="008E343B" w:rsidRDefault="00004FF2" w:rsidP="00004FF2">
            <w:r w:rsidRPr="008E343B">
              <w:t>0.2% - 4.3%)</w:t>
            </w:r>
          </w:p>
        </w:tc>
      </w:tr>
      <w:tr w:rsidR="00004FF2" w:rsidRPr="008E343B" w14:paraId="105CD9D2" w14:textId="77777777" w:rsidTr="00004FF2">
        <w:trPr>
          <w:trHeight w:hRule="exact" w:val="263"/>
        </w:trPr>
        <w:tc>
          <w:tcPr>
            <w:tcW w:w="5212" w:type="dxa"/>
            <w:tcBorders>
              <w:top w:val="single" w:sz="4" w:space="0" w:color="7E7E7E"/>
              <w:left w:val="single" w:sz="4" w:space="0" w:color="7E7E7E"/>
              <w:bottom w:val="single" w:sz="4" w:space="0" w:color="000000"/>
              <w:right w:val="single" w:sz="4" w:space="0" w:color="7E7E7E"/>
            </w:tcBorders>
          </w:tcPr>
          <w:p w14:paraId="557497AB" w14:textId="77777777" w:rsidR="00182353" w:rsidRDefault="00182353" w:rsidP="00182353">
            <w:pPr>
              <w:pStyle w:val="Default"/>
              <w:rPr>
                <w:color w:val="1F2023"/>
              </w:rPr>
            </w:pPr>
            <w:r>
              <w:rPr>
                <w:color w:val="1F2023"/>
                <w:sz w:val="22"/>
                <w:szCs w:val="22"/>
              </w:rPr>
              <w:t xml:space="preserve">Някакво кървене, възникнало при лечението </w:t>
            </w:r>
          </w:p>
          <w:p w14:paraId="1E04B6BA" w14:textId="0E3FF62F" w:rsidR="00004FF2" w:rsidRPr="008E343B" w:rsidRDefault="00004FF2" w:rsidP="00004FF2"/>
        </w:tc>
        <w:tc>
          <w:tcPr>
            <w:tcW w:w="2126" w:type="dxa"/>
            <w:tcBorders>
              <w:top w:val="single" w:sz="4" w:space="0" w:color="7E7E7E"/>
              <w:left w:val="single" w:sz="4" w:space="0" w:color="7E7E7E"/>
              <w:bottom w:val="single" w:sz="4" w:space="0" w:color="000000"/>
              <w:right w:val="single" w:sz="4" w:space="0" w:color="7E7E7E"/>
            </w:tcBorders>
          </w:tcPr>
          <w:p w14:paraId="35E2B8EA" w14:textId="77777777" w:rsidR="00004FF2" w:rsidRPr="008E343B" w:rsidRDefault="00004FF2" w:rsidP="00004FF2">
            <w:r w:rsidRPr="008E343B">
              <w:t>119 (36.2%)</w:t>
            </w:r>
          </w:p>
        </w:tc>
        <w:tc>
          <w:tcPr>
            <w:tcW w:w="2126" w:type="dxa"/>
            <w:tcBorders>
              <w:top w:val="single" w:sz="4" w:space="0" w:color="7E7E7E"/>
              <w:left w:val="single" w:sz="4" w:space="0" w:color="7E7E7E"/>
              <w:bottom w:val="single" w:sz="4" w:space="0" w:color="000000"/>
              <w:right w:val="single" w:sz="4" w:space="0" w:color="7E7E7E"/>
            </w:tcBorders>
          </w:tcPr>
          <w:p w14:paraId="55DCBD73" w14:textId="77777777" w:rsidR="00004FF2" w:rsidRPr="008E343B" w:rsidRDefault="00004FF2" w:rsidP="00004FF2">
            <w:r w:rsidRPr="008E343B">
              <w:t>45 (27.8%)</w:t>
            </w:r>
          </w:p>
        </w:tc>
      </w:tr>
    </w:tbl>
    <w:p w14:paraId="551CF620" w14:textId="06A86183" w:rsidR="00004FF2" w:rsidRPr="008E343B" w:rsidRDefault="00004FF2" w:rsidP="00004FF2">
      <w:pPr>
        <w:ind w:left="284" w:hanging="142"/>
      </w:pPr>
      <w:r w:rsidRPr="008E343B">
        <w:t xml:space="preserve">*SAF= </w:t>
      </w:r>
      <w:r w:rsidR="00182353">
        <w:t>набор за анализ на безопасността (safety analysis set), всички деца, които са били рандомизирани и са получили най-малко 1 доза от изпитваното лекарство</w:t>
      </w:r>
      <w:r w:rsidRPr="008E343B">
        <w:t>.</w:t>
      </w:r>
    </w:p>
    <w:p w14:paraId="76CEC790" w14:textId="2F5C0B14" w:rsidR="00E54096" w:rsidRDefault="00E54096">
      <w:pPr>
        <w:tabs>
          <w:tab w:val="left" w:pos="540"/>
        </w:tabs>
      </w:pPr>
    </w:p>
    <w:p w14:paraId="661C587E" w14:textId="06281A61" w:rsidR="00004FF2" w:rsidRDefault="00182353">
      <w:pPr>
        <w:tabs>
          <w:tab w:val="left" w:pos="540"/>
        </w:tabs>
      </w:pPr>
      <w:r>
        <w:t>Профилът на ефикасност и безопасност на ривароксабан е в голяма степен подобен между педиатричната популация с ВТЕ и възрастната популация с ДВТ/БЕ, въпреки това, делът на участниците с някакво кървене е по-висок в педиатричната популация с ВТЕ в сравнение с възрастната популация с ДВТ/БЕ.</w:t>
      </w:r>
    </w:p>
    <w:p w14:paraId="4B88B190" w14:textId="38FF0EEF" w:rsidR="00182353" w:rsidRDefault="00182353">
      <w:pPr>
        <w:tabs>
          <w:tab w:val="left" w:pos="540"/>
        </w:tabs>
      </w:pPr>
    </w:p>
    <w:p w14:paraId="123F3F99" w14:textId="77777777" w:rsidR="00182353" w:rsidRPr="00C125AE" w:rsidRDefault="00182353" w:rsidP="00182353">
      <w:pPr>
        <w:pStyle w:val="Default"/>
        <w:rPr>
          <w:sz w:val="22"/>
          <w:szCs w:val="22"/>
          <w:u w:val="single"/>
        </w:rPr>
      </w:pPr>
      <w:r w:rsidRPr="00C125AE">
        <w:rPr>
          <w:sz w:val="22"/>
          <w:szCs w:val="22"/>
          <w:u w:val="single"/>
        </w:rPr>
        <w:t xml:space="preserve">Пациенти с високорисков тройнопозитивен антифосфолипиден синдром </w:t>
      </w:r>
    </w:p>
    <w:p w14:paraId="2BECCB4E" w14:textId="7B7118FF" w:rsidR="00182353" w:rsidRDefault="00182353" w:rsidP="00182353">
      <w:pPr>
        <w:tabs>
          <w:tab w:val="left" w:pos="540"/>
        </w:tabs>
      </w:pPr>
      <w:r>
        <w:t>В спонсорирано от изследователя, рандомизирано, отворено многоцентрово проучване със заслепена оценка на крайните точки, ривароксабан е сравнен с варфарин при пациенти с анамнеза за тромбоза, диагностицирани с антифосфолипиден синдром и с висок риск от тромбоемболични събития (положителни при всичките 3 антифосфолипидни теста: лупусен</w:t>
      </w:r>
      <w:r w:rsidRPr="00182353">
        <w:t xml:space="preserve"> </w:t>
      </w:r>
      <w:r>
        <w:t>антикоагулант, антикардиолипинови антитела и антитела срещу бета-2-гликопротеин I). Проучването е прекратено преждевременно след включването на 120 пациенти поради твърде много събития сред пациентите в групата на ривароксабан. Средното проследяване е 569 дни. 59 пациенти са рандомизирани на ривароксабан 20 mg (15 mg за пациенти с креатининов клирънс (CrCl) &lt;50 ml/min) и 61 на варфарин (INR 2,0 - 3,0). Тромбоемболични събития се проявяват при 12% от пациентите, рандомизирани на ривароксабан (4 исхемични инсулта и 3 миокардни инфаркта). Не са съобщавани събития при пациенти, рандомизирани на варфарин. Масивно кървене се наблюдава при 4-ма пациенти (7%) от групата на ривароксабан и при 2-ма пациенти (3%) от групата на варфарин.</w:t>
      </w:r>
    </w:p>
    <w:p w14:paraId="3CD8E82C" w14:textId="0D7BA6F9" w:rsidR="00182353" w:rsidRDefault="00182353" w:rsidP="00182353">
      <w:pPr>
        <w:tabs>
          <w:tab w:val="left" w:pos="540"/>
        </w:tabs>
      </w:pPr>
    </w:p>
    <w:p w14:paraId="3DA7196B" w14:textId="77777777" w:rsidR="00182353" w:rsidRPr="00182353" w:rsidRDefault="00182353" w:rsidP="00182353">
      <w:pPr>
        <w:pStyle w:val="Default"/>
        <w:rPr>
          <w:sz w:val="22"/>
          <w:szCs w:val="22"/>
          <w:u w:val="single"/>
        </w:rPr>
      </w:pPr>
      <w:r w:rsidRPr="00182353">
        <w:rPr>
          <w:sz w:val="22"/>
          <w:szCs w:val="22"/>
          <w:u w:val="single"/>
        </w:rPr>
        <w:t xml:space="preserve">Педиатрична популация </w:t>
      </w:r>
    </w:p>
    <w:p w14:paraId="5BC14FD5" w14:textId="201FF364" w:rsidR="00182353" w:rsidRDefault="00182353" w:rsidP="00182353">
      <w:pPr>
        <w:tabs>
          <w:tab w:val="left" w:pos="540"/>
        </w:tabs>
      </w:pPr>
      <w:r>
        <w:t>Европейската агенция по лекарствата освобождава от задължението за предоставяне на резултатите от проучванията с</w:t>
      </w:r>
      <w:r w:rsidR="00995806">
        <w:t xml:space="preserve"> </w:t>
      </w:r>
      <w:r w:rsidR="00995806">
        <w:rPr>
          <w:lang w:val="bg-BG"/>
        </w:rPr>
        <w:t>референтният медицински продукт, съдържащ ривароксабан</w:t>
      </w:r>
      <w:r>
        <w:t xml:space="preserve"> във всички подгрупи на педиатричната популация при профилактика на тромбоемболични събития (вж. точка 4.2 за информация относно употреба в педиатрията).</w:t>
      </w:r>
    </w:p>
    <w:p w14:paraId="427BA380" w14:textId="77777777" w:rsidR="00004FF2" w:rsidRDefault="00004FF2">
      <w:pPr>
        <w:tabs>
          <w:tab w:val="left" w:pos="540"/>
        </w:tabs>
      </w:pPr>
    </w:p>
    <w:p w14:paraId="4B85AB1E" w14:textId="0ECDC55A" w:rsidR="004762C7" w:rsidRPr="00566CE6" w:rsidRDefault="00030E48">
      <w:pPr>
        <w:tabs>
          <w:tab w:val="left" w:pos="540"/>
        </w:tabs>
      </w:pPr>
      <w:r w:rsidRPr="00566CE6">
        <w:rPr>
          <w:rFonts w:eastAsia="Times New Roman"/>
          <w:b/>
          <w:bCs/>
        </w:rPr>
        <w:t>5.2</w:t>
      </w:r>
      <w:r w:rsidRPr="00566CE6">
        <w:tab/>
      </w:r>
      <w:r w:rsidR="00E54096">
        <w:rPr>
          <w:b/>
          <w:bCs/>
        </w:rPr>
        <w:t>Фармакокинетични свойства</w:t>
      </w:r>
    </w:p>
    <w:p w14:paraId="62028A2B" w14:textId="77777777" w:rsidR="004762C7" w:rsidRPr="00566CE6" w:rsidRDefault="004762C7" w:rsidP="004B3035"/>
    <w:p w14:paraId="41EE9AAB" w14:textId="77777777" w:rsidR="00E54096" w:rsidRPr="00E54096" w:rsidRDefault="00E54096">
      <w:pPr>
        <w:ind w:right="500"/>
        <w:rPr>
          <w:u w:val="single"/>
        </w:rPr>
      </w:pPr>
      <w:r w:rsidRPr="00E54096">
        <w:rPr>
          <w:u w:val="single"/>
        </w:rPr>
        <w:t xml:space="preserve">Абсорбция </w:t>
      </w:r>
    </w:p>
    <w:p w14:paraId="506BD1C8" w14:textId="77777777" w:rsidR="00182353" w:rsidRDefault="00182353" w:rsidP="00E54096">
      <w:pPr>
        <w:pStyle w:val="Default"/>
        <w:rPr>
          <w:sz w:val="22"/>
          <w:szCs w:val="22"/>
        </w:rPr>
      </w:pPr>
      <w:r>
        <w:rPr>
          <w:sz w:val="22"/>
          <w:szCs w:val="22"/>
        </w:rPr>
        <w:lastRenderedPageBreak/>
        <w:t xml:space="preserve">Следващата информация е базирана на данни, получени при възрастни. </w:t>
      </w:r>
    </w:p>
    <w:p w14:paraId="71A6A7D2" w14:textId="3556724D" w:rsidR="00E54096" w:rsidRDefault="00E54096" w:rsidP="00E54096">
      <w:pPr>
        <w:pStyle w:val="Default"/>
        <w:rPr>
          <w:sz w:val="22"/>
          <w:szCs w:val="22"/>
        </w:rPr>
      </w:pPr>
      <w:r>
        <w:rPr>
          <w:sz w:val="22"/>
          <w:szCs w:val="22"/>
        </w:rPr>
        <w:t>Ривароксабан се абсорбира бързо, като максималните концентрации (C</w:t>
      </w:r>
      <w:r>
        <w:rPr>
          <w:rFonts w:ascii="ZWAdobeF" w:hAnsi="ZWAdobeF" w:cs="ZWAdobeF"/>
          <w:sz w:val="2"/>
          <w:szCs w:val="2"/>
        </w:rPr>
        <w:t>R</w:t>
      </w:r>
      <w:r>
        <w:rPr>
          <w:sz w:val="14"/>
          <w:szCs w:val="14"/>
        </w:rPr>
        <w:t>max</w:t>
      </w:r>
      <w:r>
        <w:rPr>
          <w:rFonts w:ascii="ZWAdobeF" w:hAnsi="ZWAdobeF" w:cs="ZWAdobeF"/>
          <w:sz w:val="2"/>
          <w:szCs w:val="2"/>
        </w:rPr>
        <w:t>R</w:t>
      </w:r>
      <w:r>
        <w:rPr>
          <w:sz w:val="22"/>
          <w:szCs w:val="22"/>
        </w:rPr>
        <w:t xml:space="preserve">) се достигат 2 - 4 часа след приема на таблетката. </w:t>
      </w:r>
    </w:p>
    <w:p w14:paraId="21812657" w14:textId="77777777" w:rsidR="00E54096" w:rsidRDefault="00E54096" w:rsidP="00E54096">
      <w:pPr>
        <w:pStyle w:val="Default"/>
        <w:rPr>
          <w:sz w:val="22"/>
          <w:szCs w:val="22"/>
        </w:rPr>
      </w:pPr>
      <w:r>
        <w:rPr>
          <w:sz w:val="22"/>
          <w:szCs w:val="22"/>
        </w:rPr>
        <w:t>Пероралната абсорбция на ривароксабан е почти пълна и пероралната бионаличност е висока (80 - 100%) за доза от 2,5 mg и 10 mg, приета като таблетка, независимо дали приемът е на гладно или след хранене. Приемът на ривароксабан с храна не повлиява AUC или C</w:t>
      </w:r>
      <w:r>
        <w:rPr>
          <w:rFonts w:ascii="ZWAdobeF" w:hAnsi="ZWAdobeF" w:cs="ZWAdobeF"/>
          <w:sz w:val="2"/>
          <w:szCs w:val="2"/>
        </w:rPr>
        <w:t>R</w:t>
      </w:r>
      <w:r>
        <w:rPr>
          <w:sz w:val="14"/>
          <w:szCs w:val="14"/>
        </w:rPr>
        <w:t>max</w:t>
      </w:r>
      <w:r>
        <w:rPr>
          <w:rFonts w:ascii="ZWAdobeF" w:hAnsi="ZWAdobeF" w:cs="ZWAdobeF"/>
          <w:sz w:val="2"/>
          <w:szCs w:val="2"/>
        </w:rPr>
        <w:t xml:space="preserve">R </w:t>
      </w:r>
      <w:r>
        <w:rPr>
          <w:sz w:val="22"/>
          <w:szCs w:val="22"/>
        </w:rPr>
        <w:t xml:space="preserve">при дозите 2,5 mg и 10 mg. Ривароксабан таблетки от 2,5 mg и 10 mg могат да се приемат с или без храна. </w:t>
      </w:r>
    </w:p>
    <w:p w14:paraId="30863754" w14:textId="2C8030B5" w:rsidR="00182353" w:rsidRDefault="00182353" w:rsidP="00E54096">
      <w:pPr>
        <w:pStyle w:val="Default"/>
        <w:rPr>
          <w:sz w:val="22"/>
          <w:szCs w:val="22"/>
        </w:rPr>
      </w:pPr>
      <w:r>
        <w:rPr>
          <w:sz w:val="22"/>
          <w:szCs w:val="22"/>
        </w:rPr>
        <w:t xml:space="preserve">Поради намалената степен на абсорбция е определена перорална бионаличност от 66% за таблетка 20 mg приета на гладно. При прием на таблетки ривароксабан 20 mg с храна се наблюдават повишения на средната AUC с 39% в сравнение с прием на таблетките на гладно, което говори за почти пълна абсорбция и висока перорална бионаличност. </w:t>
      </w:r>
      <w:r w:rsidR="00480BC7">
        <w:rPr>
          <w:sz w:val="22"/>
          <w:szCs w:val="22"/>
        </w:rPr>
        <w:t>Р</w:t>
      </w:r>
      <w:r w:rsidR="00480BC7">
        <w:rPr>
          <w:sz w:val="22"/>
          <w:szCs w:val="22"/>
          <w:lang w:val="mk-MK"/>
        </w:rPr>
        <w:t>уфиксало</w:t>
      </w:r>
      <w:r>
        <w:rPr>
          <w:sz w:val="22"/>
          <w:szCs w:val="22"/>
        </w:rPr>
        <w:t>15 mg и 20 mg трябва да се приема с храна (вж. точка 4.2).</w:t>
      </w:r>
    </w:p>
    <w:p w14:paraId="25CDE32A" w14:textId="1C991733" w:rsidR="00182353" w:rsidRDefault="00182353" w:rsidP="00E54096">
      <w:pPr>
        <w:pStyle w:val="Default"/>
        <w:rPr>
          <w:sz w:val="22"/>
          <w:szCs w:val="22"/>
        </w:rPr>
      </w:pPr>
      <w:r>
        <w:rPr>
          <w:sz w:val="22"/>
          <w:szCs w:val="22"/>
        </w:rPr>
        <w:t xml:space="preserve">Фармакокинетиката на ривароксабан е почти линейна до около 15 mg един път на ден при прием на гладно. След прием на храна ривароксабан таблетки 10 mg, 15 mg и 20 mg показва пропорционалност на дозата. При по-високи дози ривароксабан показва ограничена от разтворимостта абсорбция с намалена бионаличност и намаляване на степента на абсорбцията при повишаване на дозата. Фармакокинетичната вариабилност на ривароксабан е умерена с вариране между отделните пациенти </w:t>
      </w:r>
      <w:r w:rsidR="00C125AE">
        <w:rPr>
          <w:sz w:val="22"/>
          <w:szCs w:val="22"/>
        </w:rPr>
        <w:t>(CV%) в интервала от 30% до 40%</w:t>
      </w:r>
    </w:p>
    <w:p w14:paraId="77833D70" w14:textId="77777777" w:rsidR="00E54096" w:rsidRDefault="00E54096" w:rsidP="00E54096">
      <w:pPr>
        <w:pStyle w:val="Default"/>
        <w:rPr>
          <w:sz w:val="22"/>
          <w:szCs w:val="22"/>
        </w:rPr>
      </w:pPr>
      <w:r>
        <w:rPr>
          <w:sz w:val="22"/>
          <w:szCs w:val="22"/>
        </w:rPr>
        <w:t>Абсорбцията на ривароксабан зависи от мястото на неговото освобождаване в стомашно-чревния тракт. Съобщава се за 29% и 56% намаление на AUC и C</w:t>
      </w:r>
      <w:r>
        <w:rPr>
          <w:rFonts w:ascii="ZWAdobeF" w:hAnsi="ZWAdobeF" w:cs="ZWAdobeF"/>
          <w:sz w:val="2"/>
          <w:szCs w:val="2"/>
        </w:rPr>
        <w:t>R</w:t>
      </w:r>
      <w:r>
        <w:rPr>
          <w:sz w:val="14"/>
          <w:szCs w:val="14"/>
        </w:rPr>
        <w:t>max</w:t>
      </w:r>
      <w:r>
        <w:rPr>
          <w:rFonts w:ascii="ZWAdobeF" w:hAnsi="ZWAdobeF" w:cs="ZWAdobeF"/>
          <w:sz w:val="2"/>
          <w:szCs w:val="2"/>
        </w:rPr>
        <w:t xml:space="preserve">R </w:t>
      </w:r>
      <w:r>
        <w:rPr>
          <w:sz w:val="22"/>
          <w:szCs w:val="22"/>
        </w:rPr>
        <w:t xml:space="preserve">в сравнение с таблетка, когато гранулат ривароксабан се освобождава в проксималните отдели на тънките черва. Експозицията се намалява допълнително, когато ривароксабан се освобождава в дисталните отдели на тънките черва или във възходящото дебело черво. По тази причина трябва да се намалена абсорбция и съответно свързана експозиция на ривароксабан. </w:t>
      </w:r>
    </w:p>
    <w:p w14:paraId="6EEE48E7" w14:textId="00D8E934" w:rsidR="00E54096" w:rsidRDefault="00E54096" w:rsidP="00E54096">
      <w:pPr>
        <w:ind w:right="500"/>
      </w:pPr>
      <w:r>
        <w:t>Бионаличността (AUC и C</w:t>
      </w:r>
      <w:r>
        <w:rPr>
          <w:rFonts w:ascii="ZWAdobeF" w:hAnsi="ZWAdobeF" w:cs="ZWAdobeF"/>
          <w:sz w:val="2"/>
          <w:szCs w:val="2"/>
        </w:rPr>
        <w:t>R</w:t>
      </w:r>
      <w:r>
        <w:rPr>
          <w:sz w:val="14"/>
          <w:szCs w:val="14"/>
        </w:rPr>
        <w:t>max</w:t>
      </w:r>
      <w:r>
        <w:rPr>
          <w:rFonts w:ascii="ZWAdobeF" w:hAnsi="ZWAdobeF" w:cs="ZWAdobeF"/>
          <w:sz w:val="2"/>
          <w:szCs w:val="2"/>
        </w:rPr>
        <w:t>R</w:t>
      </w:r>
      <w:r>
        <w:t>) е била сравнима при 20 mg ривароксабан, приложен перорално като разтрошена таблетка, размесена в ябълково пюре, или суспендирана във вода и приложена през стомашна сонда, последвано от течна храна, в сравнение с цялата таблетка. Като се има предвид предвидимия, пропорционален на дозата фармакокинетичен профил на ривароксабан, резултатите за бионаличността от това проучване вероятно са приложими за понижаване на дозите на ривароксабан.</w:t>
      </w:r>
    </w:p>
    <w:p w14:paraId="7D8080FC" w14:textId="2E107618" w:rsidR="004762C7" w:rsidRDefault="004762C7" w:rsidP="004B3035"/>
    <w:p w14:paraId="4AABFD9E" w14:textId="77777777" w:rsidR="00182353" w:rsidRDefault="00182353" w:rsidP="00182353">
      <w:pPr>
        <w:pStyle w:val="Default"/>
        <w:rPr>
          <w:sz w:val="22"/>
          <w:szCs w:val="22"/>
        </w:rPr>
      </w:pPr>
      <w:r>
        <w:rPr>
          <w:i/>
          <w:iCs/>
          <w:sz w:val="22"/>
          <w:szCs w:val="22"/>
        </w:rPr>
        <w:t xml:space="preserve">Педиатрична популация </w:t>
      </w:r>
    </w:p>
    <w:p w14:paraId="3E5D1D74" w14:textId="46F3CB34" w:rsidR="00182353" w:rsidRDefault="00182353" w:rsidP="00182353">
      <w:pPr>
        <w:pStyle w:val="Default"/>
        <w:rPr>
          <w:sz w:val="22"/>
          <w:szCs w:val="22"/>
        </w:rPr>
      </w:pPr>
      <w:r>
        <w:rPr>
          <w:sz w:val="22"/>
          <w:szCs w:val="22"/>
        </w:rPr>
        <w:t>Децата са получили ривароксабан таблетка или перорална суспензия по време на или непосредствено след хранене или прием на храна и с обичайна порция течност, за да се гарантира надеждно дозиране при деца. Както при възрастните, ривароксабан се абсорбира</w:t>
      </w:r>
      <w:r w:rsidRPr="00182353">
        <w:t xml:space="preserve"> </w:t>
      </w:r>
      <w:r>
        <w:rPr>
          <w:sz w:val="22"/>
          <w:szCs w:val="22"/>
        </w:rPr>
        <w:t xml:space="preserve">веднага след перорално приложение под формата на таблетка или гранули за перорална суспензия при децата. Не е наблюдавана разлика нито в скоростта, нито в степента на абсорбция между лекарствените форми таблетка и гранули за перорална суспензия. Липсват ФК данни след интравенозно приложение при деца, така че абсолютната бионаличност на ривароксабан при деца е неизвестна. Установено е намаляване на относителната бионаличност при повишаващи се дози (в mg/kg телесно тегло), предполагащо ограничения на абсорбцията при по-високи дози, дори при прием заедно с храна. </w:t>
      </w:r>
    </w:p>
    <w:p w14:paraId="488F4D30" w14:textId="7C04D0AC" w:rsidR="00182353" w:rsidRPr="00566CE6" w:rsidRDefault="00182353" w:rsidP="00182353">
      <w:r>
        <w:t xml:space="preserve">Ривароксабан </w:t>
      </w:r>
      <w:r>
        <w:rPr>
          <w:lang w:val="bg-BG"/>
        </w:rPr>
        <w:t xml:space="preserve">15 </w:t>
      </w:r>
      <w:r>
        <w:t xml:space="preserve">mg </w:t>
      </w:r>
      <w:r>
        <w:rPr>
          <w:lang w:val="bg-BG"/>
        </w:rPr>
        <w:t xml:space="preserve">или </w:t>
      </w:r>
      <w:r>
        <w:t>20 mg таблетки трябва да се приема</w:t>
      </w:r>
      <w:r>
        <w:rPr>
          <w:lang w:val="bg-BG"/>
        </w:rPr>
        <w:t>т</w:t>
      </w:r>
      <w:r>
        <w:t xml:space="preserve"> при хранене или с храна (вж. точка 4.2).</w:t>
      </w:r>
    </w:p>
    <w:p w14:paraId="0CBC89BA" w14:textId="77777777" w:rsidR="00182353" w:rsidRDefault="00182353">
      <w:pPr>
        <w:rPr>
          <w:rFonts w:eastAsia="Times New Roman"/>
          <w:u w:val="single"/>
          <w:lang w:val="bg-BG"/>
        </w:rPr>
      </w:pPr>
    </w:p>
    <w:p w14:paraId="45E135BD" w14:textId="3FA08935" w:rsidR="004762C7" w:rsidRPr="00E54096" w:rsidRDefault="00E54096">
      <w:pPr>
        <w:rPr>
          <w:lang w:val="bg-BG"/>
        </w:rPr>
      </w:pPr>
      <w:r>
        <w:rPr>
          <w:rFonts w:eastAsia="Times New Roman"/>
          <w:u w:val="single"/>
          <w:lang w:val="bg-BG"/>
        </w:rPr>
        <w:t>Разпределение</w:t>
      </w:r>
    </w:p>
    <w:p w14:paraId="6BD7669A" w14:textId="76E2A181" w:rsidR="004762C7" w:rsidRPr="00566CE6" w:rsidRDefault="00E54096" w:rsidP="004B3035">
      <w:pPr>
        <w:ind w:right="308"/>
        <w:jc w:val="both"/>
      </w:pPr>
      <w:r>
        <w:t>Свързването с плазмените п</w:t>
      </w:r>
      <w:r w:rsidR="00182353">
        <w:t>ротеини при възрастни</w:t>
      </w:r>
      <w:r>
        <w:t xml:space="preserve"> е високо, около 92% до 95%, като серумният албумин е основната свързваща фракция. Обемът на разпределение е умерен с V</w:t>
      </w:r>
      <w:r>
        <w:rPr>
          <w:rFonts w:ascii="ZWAdobeF" w:hAnsi="ZWAdobeF" w:cs="ZWAdobeF"/>
          <w:sz w:val="2"/>
          <w:szCs w:val="2"/>
        </w:rPr>
        <w:t>R</w:t>
      </w:r>
      <w:r>
        <w:rPr>
          <w:sz w:val="14"/>
          <w:szCs w:val="14"/>
        </w:rPr>
        <w:t>ss</w:t>
      </w:r>
      <w:r>
        <w:rPr>
          <w:rFonts w:ascii="ZWAdobeF" w:hAnsi="ZWAdobeF" w:cs="ZWAdobeF"/>
          <w:sz w:val="2"/>
          <w:szCs w:val="2"/>
        </w:rPr>
        <w:t xml:space="preserve">R </w:t>
      </w:r>
      <w:r>
        <w:t>приблизително 50 литра</w:t>
      </w:r>
      <w:r w:rsidR="00030E48" w:rsidRPr="00566CE6">
        <w:rPr>
          <w:rFonts w:eastAsia="Times New Roman"/>
        </w:rPr>
        <w:t>.</w:t>
      </w:r>
    </w:p>
    <w:p w14:paraId="41882512" w14:textId="4C2F9002" w:rsidR="004762C7" w:rsidRDefault="004762C7" w:rsidP="004B3035"/>
    <w:p w14:paraId="1BD281AE" w14:textId="77777777" w:rsidR="00182353" w:rsidRDefault="00182353" w:rsidP="00182353">
      <w:pPr>
        <w:pStyle w:val="Default"/>
        <w:rPr>
          <w:sz w:val="22"/>
          <w:szCs w:val="22"/>
        </w:rPr>
      </w:pPr>
      <w:r>
        <w:rPr>
          <w:i/>
          <w:iCs/>
          <w:sz w:val="22"/>
          <w:szCs w:val="22"/>
        </w:rPr>
        <w:t xml:space="preserve">Педиатрична популация </w:t>
      </w:r>
    </w:p>
    <w:p w14:paraId="57B48028" w14:textId="48BDC75E" w:rsidR="00182353" w:rsidRDefault="00182353" w:rsidP="00182353">
      <w:r>
        <w:lastRenderedPageBreak/>
        <w:t>Липсват данни за свързването на ривароксабан с плазмените протеини, специфични за деца. Липсват ФК данни след интравенозно приложение на ривароксабан при деца. Обемът на разпределение в стационарно състояние (V</w:t>
      </w:r>
      <w:r>
        <w:rPr>
          <w:sz w:val="14"/>
          <w:szCs w:val="14"/>
        </w:rPr>
        <w:t>ss</w:t>
      </w:r>
      <w:r>
        <w:t>), изчислен чрез популационно ФК моделиране при деца (възрастов диапазон 0 до &lt; 18 години) след перорално приложение на ривароксабан, зависи от телесното тегло и може да бъде описан с алометрична функция, със средна стойност 113 l при лице с телесно тегло 82,8 kg.</w:t>
      </w:r>
    </w:p>
    <w:p w14:paraId="33963AEA" w14:textId="77777777" w:rsidR="00182353" w:rsidRPr="00566CE6" w:rsidRDefault="00182353" w:rsidP="00182353"/>
    <w:p w14:paraId="15C7AE23" w14:textId="77777777" w:rsidR="00E54096" w:rsidRDefault="00E54096" w:rsidP="004B3035">
      <w:pPr>
        <w:ind w:right="48"/>
        <w:rPr>
          <w:rFonts w:eastAsia="Times New Roman"/>
          <w:u w:val="single"/>
        </w:rPr>
      </w:pPr>
      <w:r w:rsidRPr="00E54096">
        <w:rPr>
          <w:rFonts w:eastAsia="Times New Roman"/>
          <w:u w:val="single"/>
        </w:rPr>
        <w:t>Биотрансформация и елиминиране</w:t>
      </w:r>
    </w:p>
    <w:p w14:paraId="1F61A850" w14:textId="77777777" w:rsidR="00E54096" w:rsidRDefault="00E54096" w:rsidP="00E54096">
      <w:pPr>
        <w:pStyle w:val="Default"/>
        <w:rPr>
          <w:sz w:val="22"/>
          <w:szCs w:val="22"/>
        </w:rPr>
      </w:pPr>
      <w:r>
        <w:rPr>
          <w:sz w:val="22"/>
          <w:szCs w:val="22"/>
        </w:rPr>
        <w:t xml:space="preserve">Около 2/3 от приложената доза ривароксабан се подлага на метаболитно разграждане, след което половината се елиминира през бъбреците, а другата половина – с фекалиите. Последната 1/3 от приложената доза се излъчва чрез директна бъбречна екскреция като непроменено активно вещество в урината, главно чрез активна бъбречна секреция. </w:t>
      </w:r>
    </w:p>
    <w:p w14:paraId="0082B698" w14:textId="77777777" w:rsidR="00E54096" w:rsidRDefault="00E54096" w:rsidP="00E54096">
      <w:pPr>
        <w:pStyle w:val="Default"/>
        <w:rPr>
          <w:sz w:val="22"/>
          <w:szCs w:val="22"/>
        </w:rPr>
      </w:pPr>
      <w:r>
        <w:rPr>
          <w:sz w:val="22"/>
          <w:szCs w:val="22"/>
        </w:rPr>
        <w:t xml:space="preserve">Ривароксабан се метаболизира чрез CYP3A4, CYP2J2 и CYP-независими механизми. Разграждането чрез окисление на морфолиноновия радикал и хидролизата на амидните връзки са основните процеси на биотрансформация. От </w:t>
      </w:r>
      <w:r>
        <w:rPr>
          <w:i/>
          <w:iCs/>
          <w:sz w:val="22"/>
          <w:szCs w:val="22"/>
        </w:rPr>
        <w:t xml:space="preserve">in vitro </w:t>
      </w:r>
      <w:r>
        <w:rPr>
          <w:sz w:val="22"/>
          <w:szCs w:val="22"/>
        </w:rPr>
        <w:t xml:space="preserve">изследвания е известно, че ривароксабан е субстрат на транспортните протеини P-gp (P-гликопротеин) и Bcrp (протеин на резистентност на рак на гърдата). </w:t>
      </w:r>
    </w:p>
    <w:p w14:paraId="138D2074" w14:textId="77777777" w:rsidR="00E54096" w:rsidRDefault="00E54096" w:rsidP="00E54096">
      <w:pPr>
        <w:ind w:right="48"/>
      </w:pPr>
      <w:r>
        <w:t xml:space="preserve">Непромененият ривароксабан е най-важният компонент в човешката плазма, без да има други основни или активни циркулиращи метаболити. Със системен клирънс около 10 l/h ривароксабан може да се класифицира като вещество с нисък клирънс. След интравенозно приложение на доза от 1 mg елиминационният полуживот е около 4,5 часа. След перорално приложение елиминирането става лимитирано от степента на абсорбция. Елиминирането на ривароксабан от плазмата настъпва с терминален полуживот от 5 до 9 часа при млади индивиди и от 11 до 13 часа при пациенти в старческа възраст. </w:t>
      </w:r>
    </w:p>
    <w:p w14:paraId="4B318CFC" w14:textId="4DFF1243" w:rsidR="004762C7" w:rsidRDefault="004762C7" w:rsidP="004B3035"/>
    <w:p w14:paraId="3BDA9851" w14:textId="77777777" w:rsidR="008916F9" w:rsidRDefault="008916F9" w:rsidP="008916F9">
      <w:pPr>
        <w:pStyle w:val="Default"/>
        <w:rPr>
          <w:sz w:val="22"/>
          <w:szCs w:val="22"/>
        </w:rPr>
      </w:pPr>
      <w:r>
        <w:rPr>
          <w:i/>
          <w:iCs/>
          <w:sz w:val="22"/>
          <w:szCs w:val="22"/>
        </w:rPr>
        <w:t xml:space="preserve">Педиатрична популация </w:t>
      </w:r>
    </w:p>
    <w:p w14:paraId="4D6C7CB7" w14:textId="4C123929" w:rsidR="008916F9" w:rsidRDefault="008916F9" w:rsidP="008916F9">
      <w:r>
        <w:t>Липсват данни за метаболизма, специфични за деца. Липсват ФК данни след интравенозно приложение на ривароксабан при деца. Клирънсът (CL), изчислен чрез популационно ФК моделиране при деца (възрастов диапазон 0 до &lt; 18 години) след перорално приложение на ривароксабан, зависи от телесното тегло и може да бъде описан с алометрична функция, със средна стойност 8 l/час за лице с телесно тегло 82,8 kg. Средните геометрични стойности за полуживота на диспозиция (t</w:t>
      </w:r>
      <w:r>
        <w:rPr>
          <w:sz w:val="14"/>
          <w:szCs w:val="14"/>
        </w:rPr>
        <w:t>1/2</w:t>
      </w:r>
      <w:r>
        <w:t>), изчислени чрез популационно ФК моделиране, намаляват с намаляването на възрастта и варират от 4,2 часа при юноши до приблизително 3 часа при деца на възраст 2-12 години и се понижават до 1,9 и 1,6 часа, съответно при деца на възраст 0,5-&lt; 2 години и по-малки от 0,5 години.</w:t>
      </w:r>
    </w:p>
    <w:p w14:paraId="462288F5" w14:textId="77777777" w:rsidR="008916F9" w:rsidRPr="00566CE6" w:rsidRDefault="008916F9" w:rsidP="004B3035"/>
    <w:p w14:paraId="00A5AC97" w14:textId="77777777" w:rsidR="00E54096" w:rsidRDefault="00E54096">
      <w:pPr>
        <w:rPr>
          <w:rFonts w:eastAsia="Times New Roman"/>
          <w:u w:val="single"/>
        </w:rPr>
      </w:pPr>
      <w:r w:rsidRPr="00E54096">
        <w:rPr>
          <w:rFonts w:eastAsia="Times New Roman"/>
          <w:u w:val="single"/>
        </w:rPr>
        <w:t>Специални популации</w:t>
      </w:r>
    </w:p>
    <w:p w14:paraId="0FC25727" w14:textId="423EFA1B" w:rsidR="004762C7" w:rsidRPr="00566CE6" w:rsidRDefault="00E54096">
      <w:r>
        <w:rPr>
          <w:rFonts w:eastAsia="Times New Roman"/>
          <w:i/>
          <w:iCs/>
          <w:lang w:val="bg-BG"/>
        </w:rPr>
        <w:t>Пол</w:t>
      </w:r>
    </w:p>
    <w:p w14:paraId="7463B8F7" w14:textId="366F789A" w:rsidR="004762C7" w:rsidRPr="00B7076E" w:rsidRDefault="00E54096" w:rsidP="004B3035">
      <w:pPr>
        <w:rPr>
          <w:lang w:val="mk-MK"/>
        </w:rPr>
      </w:pPr>
      <w:r>
        <w:t>Не са установени клинично значими разлики във фармакокинетиката и фармакодинамиката между пациенти от мъжки и женски пол.</w:t>
      </w:r>
      <w:r w:rsidR="008916F9" w:rsidRPr="008916F9">
        <w:t xml:space="preserve"> Един експлораторен анализ не показва значими различия в експозицията на ривароксабан между деца от мъжки и женски пол</w:t>
      </w:r>
      <w:r w:rsidR="00480BC7">
        <w:rPr>
          <w:lang w:val="mk-MK"/>
        </w:rPr>
        <w:t>.</w:t>
      </w:r>
    </w:p>
    <w:p w14:paraId="3E9B37B3" w14:textId="77777777" w:rsidR="00E54096" w:rsidRDefault="00E54096">
      <w:pPr>
        <w:rPr>
          <w:rFonts w:eastAsia="Times New Roman"/>
          <w:i/>
          <w:iCs/>
        </w:rPr>
      </w:pPr>
    </w:p>
    <w:p w14:paraId="68A3E905" w14:textId="77777777" w:rsidR="00E54096" w:rsidRDefault="00E54096" w:rsidP="004B3035">
      <w:pPr>
        <w:ind w:right="28"/>
        <w:rPr>
          <w:i/>
          <w:iCs/>
        </w:rPr>
      </w:pPr>
      <w:r>
        <w:rPr>
          <w:i/>
          <w:iCs/>
        </w:rPr>
        <w:t xml:space="preserve">Пациенти в старческа възраст </w:t>
      </w:r>
    </w:p>
    <w:p w14:paraId="01C032FF" w14:textId="7F74CF4F" w:rsidR="004762C7" w:rsidRPr="00566CE6" w:rsidRDefault="00E54096" w:rsidP="004B3035">
      <w:r w:rsidRPr="00E54096">
        <w:rPr>
          <w:rFonts w:eastAsia="Times New Roman"/>
        </w:rPr>
        <w:t>Пациентите в старческа възраст показват по-високи плазмени концентрации в сравнение с по-младите пациенти със средни стойности на AUC около 1,5 пъти по-високи, основно поради намаления (привиден) общ и бъбречен клирънс. Не се налага корекция на дозата.</w:t>
      </w:r>
    </w:p>
    <w:p w14:paraId="4A1431B0" w14:textId="77777777" w:rsidR="00E54096" w:rsidRDefault="00E54096">
      <w:pPr>
        <w:rPr>
          <w:rFonts w:eastAsia="Times New Roman"/>
          <w:i/>
          <w:iCs/>
        </w:rPr>
      </w:pPr>
    </w:p>
    <w:p w14:paraId="4FD9BA71" w14:textId="77777777" w:rsidR="00E54096" w:rsidRPr="00E54096" w:rsidRDefault="00E54096" w:rsidP="00E54096">
      <w:pPr>
        <w:rPr>
          <w:rFonts w:eastAsia="Times New Roman"/>
          <w:i/>
          <w:iCs/>
        </w:rPr>
      </w:pPr>
      <w:bookmarkStart w:id="9" w:name="page23"/>
      <w:bookmarkEnd w:id="9"/>
      <w:r w:rsidRPr="00E54096">
        <w:rPr>
          <w:rFonts w:eastAsia="Times New Roman"/>
          <w:i/>
          <w:iCs/>
        </w:rPr>
        <w:t>Различни категории в зависимост от теглото</w:t>
      </w:r>
    </w:p>
    <w:p w14:paraId="6ED26321" w14:textId="414DE9FC" w:rsidR="00E54096" w:rsidRPr="008916F9" w:rsidRDefault="00E54096" w:rsidP="00E54096">
      <w:pPr>
        <w:rPr>
          <w:rFonts w:eastAsia="Times New Roman"/>
          <w:iCs/>
          <w:lang w:val="bg-BG"/>
        </w:rPr>
      </w:pPr>
      <w:r w:rsidRPr="00E54096">
        <w:rPr>
          <w:rFonts w:eastAsia="Times New Roman"/>
          <w:iCs/>
        </w:rPr>
        <w:t>Прекомерни отклонения в телесното тегло (&lt; 50 kg или &gt; 120 kg) имат само малко влияние върху плазмените концентрации на ривароксабан (по-малко от 25%). Не се налага корекция на дозата.</w:t>
      </w:r>
      <w:r w:rsidR="008916F9">
        <w:rPr>
          <w:rFonts w:eastAsia="Times New Roman"/>
          <w:iCs/>
          <w:lang w:val="bg-BG"/>
        </w:rPr>
        <w:t xml:space="preserve"> </w:t>
      </w:r>
      <w:r w:rsidR="008916F9">
        <w:t xml:space="preserve">При деца, ривароксабан се дозира на базата на телесното тегло. Един експлораторен анализ не </w:t>
      </w:r>
      <w:r w:rsidR="008916F9">
        <w:lastRenderedPageBreak/>
        <w:t>показва значимо влияние на поднорменото тегло или затлъстяването върху експозицията на ривароксабан при деца.</w:t>
      </w:r>
    </w:p>
    <w:p w14:paraId="6D3A9016" w14:textId="77777777" w:rsidR="00E54096" w:rsidRPr="00E54096" w:rsidRDefault="00E54096" w:rsidP="00E54096">
      <w:pPr>
        <w:rPr>
          <w:rFonts w:eastAsia="Times New Roman"/>
          <w:i/>
          <w:iCs/>
        </w:rPr>
      </w:pPr>
    </w:p>
    <w:p w14:paraId="1831E047" w14:textId="77777777" w:rsidR="00E54096" w:rsidRPr="00E54096" w:rsidRDefault="00E54096" w:rsidP="00E54096">
      <w:pPr>
        <w:rPr>
          <w:rFonts w:eastAsia="Times New Roman"/>
          <w:i/>
          <w:iCs/>
        </w:rPr>
      </w:pPr>
      <w:r w:rsidRPr="00E54096">
        <w:rPr>
          <w:rFonts w:eastAsia="Times New Roman"/>
          <w:i/>
          <w:iCs/>
        </w:rPr>
        <w:t>Междуетнически различия</w:t>
      </w:r>
    </w:p>
    <w:p w14:paraId="02C936E8" w14:textId="77777777" w:rsidR="008916F9" w:rsidRPr="008916F9" w:rsidRDefault="008916F9" w:rsidP="008916F9">
      <w:pPr>
        <w:rPr>
          <w:rFonts w:eastAsia="Times New Roman"/>
          <w:iCs/>
        </w:rPr>
      </w:pPr>
      <w:r w:rsidRPr="008916F9">
        <w:rPr>
          <w:rFonts w:eastAsia="Times New Roman"/>
          <w:iCs/>
        </w:rPr>
        <w:t>Междуетнически различия</w:t>
      </w:r>
    </w:p>
    <w:p w14:paraId="7C4C184E" w14:textId="77777777" w:rsidR="008916F9" w:rsidRPr="008916F9" w:rsidRDefault="008916F9" w:rsidP="008916F9">
      <w:pPr>
        <w:rPr>
          <w:rFonts w:eastAsia="Times New Roman"/>
          <w:iCs/>
        </w:rPr>
      </w:pPr>
      <w:r w:rsidRPr="008916F9">
        <w:rPr>
          <w:rFonts w:eastAsia="Times New Roman"/>
          <w:iCs/>
        </w:rPr>
        <w:t>При възрастни, не са установени клинично значими междуетнически различия при пациенти от европеидната, афро-американската, латиноамериканската, японската и китайската групи по отношение на фармакокинетиката и фармакодинамиката на ривароксабан.</w:t>
      </w:r>
    </w:p>
    <w:p w14:paraId="6DD89F43" w14:textId="5682DE48" w:rsidR="00E54096" w:rsidRDefault="008916F9" w:rsidP="008916F9">
      <w:pPr>
        <w:rPr>
          <w:rFonts w:eastAsia="Times New Roman"/>
          <w:iCs/>
        </w:rPr>
      </w:pPr>
      <w:r w:rsidRPr="008916F9">
        <w:rPr>
          <w:rFonts w:eastAsia="Times New Roman"/>
          <w:iCs/>
        </w:rPr>
        <w:t>Един експлораторен анализ не показва значими междуетнически различия в експозицията на ривароксабан при деца от японската, китайската и азиатската групи извън Япония и Китай в сравнение със съответната обща педиатрична популация.</w:t>
      </w:r>
    </w:p>
    <w:p w14:paraId="759644AC" w14:textId="77777777" w:rsidR="008916F9" w:rsidRDefault="008916F9" w:rsidP="008916F9">
      <w:pPr>
        <w:rPr>
          <w:rFonts w:eastAsia="Times New Roman"/>
          <w:i/>
          <w:iCs/>
        </w:rPr>
      </w:pPr>
    </w:p>
    <w:p w14:paraId="3A97AF7E" w14:textId="77777777" w:rsidR="00E54096" w:rsidRDefault="00E54096" w:rsidP="00E54096">
      <w:pPr>
        <w:pStyle w:val="Default"/>
        <w:rPr>
          <w:sz w:val="22"/>
          <w:szCs w:val="22"/>
        </w:rPr>
      </w:pPr>
      <w:r>
        <w:rPr>
          <w:i/>
          <w:iCs/>
          <w:sz w:val="22"/>
          <w:szCs w:val="22"/>
        </w:rPr>
        <w:t xml:space="preserve">Чернодробно увреждане </w:t>
      </w:r>
    </w:p>
    <w:p w14:paraId="3215832F" w14:textId="77777777" w:rsidR="00E54096" w:rsidRDefault="00E54096" w:rsidP="00E54096">
      <w:pPr>
        <w:pStyle w:val="Default"/>
        <w:rPr>
          <w:sz w:val="22"/>
          <w:szCs w:val="22"/>
        </w:rPr>
      </w:pPr>
      <w:r>
        <w:rPr>
          <w:sz w:val="22"/>
          <w:szCs w:val="22"/>
        </w:rPr>
        <w:t xml:space="preserve">Пациенти с цироза и лека степен на чернодробно увреждане (клас А по Child Pugh) проявяват само минимални промени във фармакокинетиката (средно 1,2 пъти повишение на AUC на ривароксабан), което е почти сравнимо със съответната им контролна група здрави индивиди. При пациенти с цироза и умерена степен на чернодробно увреждане (клас B по Child Pugh), средната AUC на ривароксабан е значително повишена (2,3 пъти) в сравнение със здрави доброволци. AUC на несвързаната фракция се повишава 2,6 пъти. При тези пациенти има и намалено бъбречно елиминиране на ривароксабан, подобно на това при пациенти с умерена степен на бъбречно увреждане. Няма данни от пациенти с тежка степен на чернодробно увреждане. </w:t>
      </w:r>
    </w:p>
    <w:p w14:paraId="7E567AC9" w14:textId="77777777" w:rsidR="00E54096" w:rsidRDefault="00E54096" w:rsidP="00E54096">
      <w:pPr>
        <w:pStyle w:val="Default"/>
        <w:rPr>
          <w:sz w:val="22"/>
          <w:szCs w:val="22"/>
        </w:rPr>
      </w:pPr>
      <w:r>
        <w:rPr>
          <w:sz w:val="22"/>
          <w:szCs w:val="22"/>
        </w:rPr>
        <w:t xml:space="preserve">Инхибирането на активността на фактор Xa при пациенти с умерена степен на чернодробно увреждане е повишено 2,6 пъти в сравнение със здрави доброволци; PT също е удължено − 2,1 пъти. Пациентите с умерена степен на чернодробно увреждане са по-чувствителни към ривароксабан, което води до по-стръмно PK/PD съотношение между концентрацията и PT. </w:t>
      </w:r>
    </w:p>
    <w:p w14:paraId="2D23321B" w14:textId="03FB2785" w:rsidR="004762C7" w:rsidRPr="007B758A" w:rsidRDefault="00E54096" w:rsidP="00E54096">
      <w:pPr>
        <w:ind w:right="-1"/>
        <w:rPr>
          <w:rFonts w:eastAsia="Times New Roman"/>
        </w:rPr>
      </w:pPr>
      <w:r>
        <w:t xml:space="preserve">Ривароксабан е противопоказан при пациенти с чернодробно заболяване, свързано с коагулопатия и клинично значим риск от кървене, включително пациенти с цироза с Child Pugh B и C (вж. точка 4.3). </w:t>
      </w:r>
    </w:p>
    <w:p w14:paraId="3A45FFEA" w14:textId="77E8A3AC" w:rsidR="004762C7" w:rsidRDefault="008916F9" w:rsidP="004B3035">
      <w:r w:rsidRPr="008916F9">
        <w:t>Липсват клинични данни при деца с чернодробно увреждане.</w:t>
      </w:r>
    </w:p>
    <w:p w14:paraId="32DBF1A0" w14:textId="77777777" w:rsidR="008916F9" w:rsidRPr="00566CE6" w:rsidRDefault="008916F9" w:rsidP="004B3035"/>
    <w:p w14:paraId="4C3E6DA5" w14:textId="77777777" w:rsidR="00E54096" w:rsidRDefault="00E54096" w:rsidP="00E54096">
      <w:pPr>
        <w:pStyle w:val="Default"/>
        <w:rPr>
          <w:sz w:val="22"/>
          <w:szCs w:val="22"/>
        </w:rPr>
      </w:pPr>
      <w:r>
        <w:rPr>
          <w:i/>
          <w:iCs/>
          <w:sz w:val="22"/>
          <w:szCs w:val="22"/>
        </w:rPr>
        <w:t xml:space="preserve">Бъбречно увреждане </w:t>
      </w:r>
    </w:p>
    <w:p w14:paraId="12012D9C" w14:textId="77777777" w:rsidR="00E54096" w:rsidRDefault="00E54096" w:rsidP="00E54096">
      <w:pPr>
        <w:pStyle w:val="Default"/>
        <w:rPr>
          <w:sz w:val="22"/>
          <w:szCs w:val="22"/>
        </w:rPr>
      </w:pPr>
      <w:r>
        <w:rPr>
          <w:sz w:val="22"/>
          <w:szCs w:val="22"/>
        </w:rPr>
        <w:t xml:space="preserve">Наблюдава се увеличение на експозицията на ривароксабан успоредно с намаляване на бъбречната функция, измерена чрез креатининовия клирънс. При индивиди с лека (креатининов клирънс 50 - 80 ml/min), умерена (креатининов клирънс 30 - 49 ml/min) и тежка (креатининов клирънс 15 - 29 ml/min) степен на бъбречно увреждане плазмените концентрации на ривароксабан (AUC) са съответно 1,4; 1,5 и 1,6 пъти по-високи. Съответното засилване на фармакодинамичните ефекти е по-изразено. При индивиди с лека, умерена и тежка степен на бъбречно увреждане цялостното инхибиране на активността на фактор Xa е съответно 1,5; 1,9 и 2,0 пъти по-силно в сравнение със здрави доброволци; PT също е удължено − съответно 1,3; 2,2 и 2,4 пъти. Няма данни от пациенти с креатининов клирънс &lt;15 ml/min. </w:t>
      </w:r>
    </w:p>
    <w:p w14:paraId="523F64E8" w14:textId="77777777" w:rsidR="00E54096" w:rsidRDefault="00E54096" w:rsidP="00E54096">
      <w:pPr>
        <w:pStyle w:val="Default"/>
        <w:rPr>
          <w:sz w:val="22"/>
          <w:szCs w:val="22"/>
        </w:rPr>
      </w:pPr>
      <w:r>
        <w:rPr>
          <w:sz w:val="22"/>
          <w:szCs w:val="22"/>
        </w:rPr>
        <w:t xml:space="preserve">Поради високата степен на свързване с плазмените протеини не се очаква ривароксабан да може да бъде отделен чрез диализа. </w:t>
      </w:r>
    </w:p>
    <w:p w14:paraId="3B99CF05" w14:textId="4CD96279" w:rsidR="004762C7" w:rsidRDefault="00E54096" w:rsidP="00E54096">
      <w:r>
        <w:t xml:space="preserve">Не се препоръчва употреба при пациенти с креатининов клирънс &lt;15 ml/min. </w:t>
      </w:r>
      <w:r w:rsidR="00480BC7">
        <w:t>Р</w:t>
      </w:r>
      <w:r w:rsidR="00480BC7">
        <w:rPr>
          <w:lang w:val="mk-MK"/>
        </w:rPr>
        <w:t xml:space="preserve">уфиксало </w:t>
      </w:r>
      <w:r>
        <w:t>трябва да се използва внимателно при пациенти с креатининов клирънс 15 - 29 ml/min (вж. точка 4.4).</w:t>
      </w:r>
    </w:p>
    <w:p w14:paraId="1B2918AB" w14:textId="51255489" w:rsidR="008916F9" w:rsidRDefault="008916F9" w:rsidP="00E54096">
      <w:r>
        <w:t>Липсват клинични данни при деца на 1 година или по-големи с умерена или тежка степен на бъбречно увреждане (скорост на гломерулна филтрация &lt; 50 ml/min/1,73 m</w:t>
      </w:r>
      <w:r w:rsidRPr="00684C36">
        <w:rPr>
          <w:sz w:val="14"/>
          <w:szCs w:val="14"/>
          <w:vertAlign w:val="superscript"/>
        </w:rPr>
        <w:t>2</w:t>
      </w:r>
      <w:r>
        <w:t>).</w:t>
      </w:r>
    </w:p>
    <w:p w14:paraId="2C955F55" w14:textId="77777777" w:rsidR="00E54096" w:rsidRPr="00566CE6" w:rsidRDefault="00E54096" w:rsidP="00E54096"/>
    <w:p w14:paraId="28E850F3" w14:textId="77777777" w:rsidR="00E54096" w:rsidRPr="00E54096" w:rsidRDefault="00E54096" w:rsidP="00E54096">
      <w:pPr>
        <w:pStyle w:val="Default"/>
        <w:rPr>
          <w:sz w:val="22"/>
          <w:szCs w:val="22"/>
          <w:u w:val="single"/>
        </w:rPr>
      </w:pPr>
      <w:r w:rsidRPr="00E54096">
        <w:rPr>
          <w:sz w:val="22"/>
          <w:szCs w:val="22"/>
          <w:u w:val="single"/>
        </w:rPr>
        <w:t xml:space="preserve">Фармакокинетични данни при пациенти </w:t>
      </w:r>
    </w:p>
    <w:p w14:paraId="7A399CC9" w14:textId="40546D76" w:rsidR="00BA17E0" w:rsidRDefault="008916F9" w:rsidP="008916F9">
      <w:r>
        <w:t xml:space="preserve">При пациенти, получаващи ривароксабан за лечение на остра дълбока венозна тромбоза (ДВТ) 20 mg един път дневно, средната геометрична концентрация (90% прогнозен интервал) 2 - 4 часа и </w:t>
      </w:r>
      <w:r>
        <w:lastRenderedPageBreak/>
        <w:t>около 24 часа след прием на доза (приблизително представляващи максималната и минималната концентрации през време на дозовия интервал) е съответно 215 (22 - 535) и 32 (6 - 239) mcg/l.</w:t>
      </w:r>
    </w:p>
    <w:p w14:paraId="01F82E13" w14:textId="3A2EDD9C" w:rsidR="008916F9" w:rsidRDefault="008916F9" w:rsidP="008916F9"/>
    <w:p w14:paraId="32F86E15" w14:textId="2FF34885" w:rsidR="008916F9" w:rsidRDefault="008916F9" w:rsidP="008916F9">
      <w:r>
        <w:t>При педиатрични пациенти с остър ВТЕ, получаващи ривароксабан при доза, коригирана спрямо телесното тегло, водеща до експозиция, подобна на тази при възрастни пациенти с ДВТ, получаващи дневна доза 20 mg един път дневно, средната геометрична стойност на концентрациите (интервал 90%), получени при времевите интервали на вземане на пробите, представляващи приблизително максималните и минималните концентрации по време на дозовия интервал, са обобщени в Таблица 13.</w:t>
      </w:r>
    </w:p>
    <w:p w14:paraId="2331D4E2" w14:textId="17077C29" w:rsidR="008916F9" w:rsidRDefault="008916F9" w:rsidP="008916F9"/>
    <w:p w14:paraId="1DB98CA5" w14:textId="77637FA9" w:rsidR="008916F9" w:rsidRPr="00510463" w:rsidRDefault="008916F9" w:rsidP="008916F9">
      <w:pPr>
        <w:ind w:right="-1"/>
      </w:pPr>
      <w:r>
        <w:rPr>
          <w:b/>
          <w:bCs/>
        </w:rPr>
        <w:t>Tаблица</w:t>
      </w:r>
      <w:r w:rsidRPr="00510463">
        <w:rPr>
          <w:b/>
          <w:bCs/>
        </w:rPr>
        <w:t xml:space="preserve"> 13: </w:t>
      </w:r>
      <w:r>
        <w:rPr>
          <w:b/>
          <w:bCs/>
        </w:rPr>
        <w:t>Обобщена статистика (средна геометрична стойност (90% интервал)) на плазмените концентрации на ривароксабан в стационарно състояние (mcg/l) според режима на дозиране и възрастта</w:t>
      </w:r>
    </w:p>
    <w:tbl>
      <w:tblPr>
        <w:tblW w:w="0" w:type="auto"/>
        <w:tblInd w:w="112" w:type="dxa"/>
        <w:tblLayout w:type="fixed"/>
        <w:tblCellMar>
          <w:left w:w="0" w:type="dxa"/>
          <w:right w:w="0" w:type="dxa"/>
        </w:tblCellMar>
        <w:tblLook w:val="01E0" w:firstRow="1" w:lastRow="1" w:firstColumn="1" w:lastColumn="1" w:noHBand="0" w:noVBand="0"/>
      </w:tblPr>
      <w:tblGrid>
        <w:gridCol w:w="1337"/>
        <w:gridCol w:w="565"/>
        <w:gridCol w:w="1488"/>
        <w:gridCol w:w="563"/>
        <w:gridCol w:w="1459"/>
        <w:gridCol w:w="443"/>
        <w:gridCol w:w="1494"/>
        <w:gridCol w:w="437"/>
        <w:gridCol w:w="1708"/>
      </w:tblGrid>
      <w:tr w:rsidR="008916F9" w:rsidRPr="00510463" w14:paraId="749F1D03" w14:textId="77777777" w:rsidTr="006516C7">
        <w:trPr>
          <w:trHeight w:hRule="exact" w:val="516"/>
        </w:trPr>
        <w:tc>
          <w:tcPr>
            <w:tcW w:w="1337" w:type="dxa"/>
            <w:tcBorders>
              <w:top w:val="single" w:sz="4" w:space="0" w:color="000000"/>
              <w:left w:val="single" w:sz="4" w:space="0" w:color="000000"/>
              <w:bottom w:val="single" w:sz="4" w:space="0" w:color="000000"/>
              <w:right w:val="single" w:sz="4" w:space="0" w:color="000000"/>
            </w:tcBorders>
          </w:tcPr>
          <w:p w14:paraId="48129971" w14:textId="77777777" w:rsidR="008916F9" w:rsidRDefault="008916F9" w:rsidP="008916F9">
            <w:pPr>
              <w:pStyle w:val="Default"/>
            </w:pPr>
            <w:r>
              <w:rPr>
                <w:b/>
                <w:bCs/>
                <w:sz w:val="22"/>
                <w:szCs w:val="22"/>
              </w:rPr>
              <w:t xml:space="preserve">Времеви интервали </w:t>
            </w:r>
          </w:p>
          <w:p w14:paraId="725567AF" w14:textId="1D4EE833" w:rsidR="008916F9" w:rsidRPr="00510463" w:rsidRDefault="008916F9" w:rsidP="006516C7">
            <w:pPr>
              <w:ind w:right="-1"/>
            </w:pPr>
          </w:p>
        </w:tc>
        <w:tc>
          <w:tcPr>
            <w:tcW w:w="565" w:type="dxa"/>
            <w:tcBorders>
              <w:top w:val="single" w:sz="4" w:space="0" w:color="000000"/>
              <w:left w:val="single" w:sz="4" w:space="0" w:color="000000"/>
              <w:bottom w:val="single" w:sz="4" w:space="0" w:color="000000"/>
              <w:right w:val="single" w:sz="4" w:space="0" w:color="000000"/>
            </w:tcBorders>
          </w:tcPr>
          <w:p w14:paraId="5177AB4B" w14:textId="77777777" w:rsidR="008916F9" w:rsidRPr="00510463" w:rsidRDefault="008916F9" w:rsidP="006516C7">
            <w:pPr>
              <w:ind w:right="-1"/>
            </w:pPr>
          </w:p>
        </w:tc>
        <w:tc>
          <w:tcPr>
            <w:tcW w:w="1488" w:type="dxa"/>
            <w:tcBorders>
              <w:top w:val="single" w:sz="4" w:space="0" w:color="000000"/>
              <w:left w:val="single" w:sz="4" w:space="0" w:color="000000"/>
              <w:bottom w:val="single" w:sz="4" w:space="0" w:color="000000"/>
              <w:right w:val="single" w:sz="4" w:space="0" w:color="000000"/>
            </w:tcBorders>
          </w:tcPr>
          <w:p w14:paraId="76F34CDC" w14:textId="77777777" w:rsidR="008916F9" w:rsidRPr="00510463" w:rsidRDefault="008916F9" w:rsidP="006516C7">
            <w:pPr>
              <w:ind w:right="-1"/>
            </w:pPr>
          </w:p>
        </w:tc>
        <w:tc>
          <w:tcPr>
            <w:tcW w:w="563" w:type="dxa"/>
            <w:tcBorders>
              <w:top w:val="single" w:sz="4" w:space="0" w:color="000000"/>
              <w:left w:val="single" w:sz="4" w:space="0" w:color="000000"/>
              <w:bottom w:val="single" w:sz="4" w:space="0" w:color="000000"/>
              <w:right w:val="single" w:sz="4" w:space="0" w:color="000000"/>
            </w:tcBorders>
          </w:tcPr>
          <w:p w14:paraId="6ED89459" w14:textId="77777777" w:rsidR="008916F9" w:rsidRPr="00510463" w:rsidRDefault="008916F9" w:rsidP="006516C7">
            <w:pPr>
              <w:ind w:right="-1"/>
            </w:pPr>
          </w:p>
        </w:tc>
        <w:tc>
          <w:tcPr>
            <w:tcW w:w="1459" w:type="dxa"/>
            <w:tcBorders>
              <w:top w:val="single" w:sz="4" w:space="0" w:color="000000"/>
              <w:left w:val="single" w:sz="4" w:space="0" w:color="000000"/>
              <w:bottom w:val="single" w:sz="4" w:space="0" w:color="000000"/>
              <w:right w:val="single" w:sz="4" w:space="0" w:color="000000"/>
            </w:tcBorders>
          </w:tcPr>
          <w:p w14:paraId="05C00110" w14:textId="77777777" w:rsidR="008916F9" w:rsidRPr="00510463" w:rsidRDefault="008916F9" w:rsidP="006516C7">
            <w:pPr>
              <w:ind w:right="-1"/>
            </w:pPr>
          </w:p>
        </w:tc>
        <w:tc>
          <w:tcPr>
            <w:tcW w:w="443" w:type="dxa"/>
            <w:tcBorders>
              <w:top w:val="single" w:sz="4" w:space="0" w:color="000000"/>
              <w:left w:val="single" w:sz="4" w:space="0" w:color="000000"/>
              <w:bottom w:val="single" w:sz="4" w:space="0" w:color="000000"/>
              <w:right w:val="single" w:sz="4" w:space="0" w:color="000000"/>
            </w:tcBorders>
          </w:tcPr>
          <w:p w14:paraId="31F5777D" w14:textId="77777777" w:rsidR="008916F9" w:rsidRPr="00510463" w:rsidRDefault="008916F9" w:rsidP="006516C7">
            <w:pPr>
              <w:ind w:right="-1"/>
            </w:pPr>
          </w:p>
        </w:tc>
        <w:tc>
          <w:tcPr>
            <w:tcW w:w="1494" w:type="dxa"/>
            <w:tcBorders>
              <w:top w:val="single" w:sz="4" w:space="0" w:color="000000"/>
              <w:left w:val="single" w:sz="4" w:space="0" w:color="000000"/>
              <w:bottom w:val="single" w:sz="4" w:space="0" w:color="000000"/>
              <w:right w:val="single" w:sz="4" w:space="0" w:color="000000"/>
            </w:tcBorders>
          </w:tcPr>
          <w:p w14:paraId="30F5C47D" w14:textId="77777777" w:rsidR="008916F9" w:rsidRPr="00510463" w:rsidRDefault="008916F9" w:rsidP="006516C7">
            <w:pPr>
              <w:ind w:right="-1"/>
            </w:pPr>
          </w:p>
        </w:tc>
        <w:tc>
          <w:tcPr>
            <w:tcW w:w="437" w:type="dxa"/>
            <w:tcBorders>
              <w:top w:val="single" w:sz="4" w:space="0" w:color="000000"/>
              <w:left w:val="single" w:sz="4" w:space="0" w:color="000000"/>
              <w:bottom w:val="single" w:sz="4" w:space="0" w:color="000000"/>
              <w:right w:val="single" w:sz="4" w:space="0" w:color="000000"/>
            </w:tcBorders>
          </w:tcPr>
          <w:p w14:paraId="5F7FAD39" w14:textId="77777777" w:rsidR="008916F9" w:rsidRPr="00510463" w:rsidRDefault="008916F9" w:rsidP="006516C7">
            <w:pPr>
              <w:ind w:right="-1"/>
            </w:pPr>
          </w:p>
        </w:tc>
        <w:tc>
          <w:tcPr>
            <w:tcW w:w="1708" w:type="dxa"/>
            <w:tcBorders>
              <w:top w:val="single" w:sz="4" w:space="0" w:color="000000"/>
              <w:left w:val="single" w:sz="4" w:space="0" w:color="000000"/>
              <w:bottom w:val="single" w:sz="4" w:space="0" w:color="000000"/>
              <w:right w:val="single" w:sz="4" w:space="0" w:color="000000"/>
            </w:tcBorders>
          </w:tcPr>
          <w:p w14:paraId="40255E4A" w14:textId="77777777" w:rsidR="008916F9" w:rsidRPr="00510463" w:rsidRDefault="008916F9" w:rsidP="006516C7">
            <w:pPr>
              <w:ind w:right="-1"/>
            </w:pPr>
          </w:p>
        </w:tc>
      </w:tr>
      <w:tr w:rsidR="008916F9" w:rsidRPr="00510463" w14:paraId="01632F1A" w14:textId="77777777" w:rsidTr="006516C7">
        <w:trPr>
          <w:trHeight w:hRule="exact" w:val="516"/>
        </w:trPr>
        <w:tc>
          <w:tcPr>
            <w:tcW w:w="1337" w:type="dxa"/>
            <w:tcBorders>
              <w:top w:val="single" w:sz="4" w:space="0" w:color="000000"/>
              <w:left w:val="single" w:sz="4" w:space="0" w:color="000000"/>
              <w:bottom w:val="single" w:sz="4" w:space="0" w:color="000000"/>
              <w:right w:val="single" w:sz="4" w:space="0" w:color="000000"/>
            </w:tcBorders>
          </w:tcPr>
          <w:p w14:paraId="1728FE05" w14:textId="77777777" w:rsidR="008916F9" w:rsidRPr="00510463" w:rsidRDefault="008916F9" w:rsidP="006516C7">
            <w:pPr>
              <w:ind w:right="-1"/>
            </w:pPr>
            <w:r w:rsidRPr="00510463">
              <w:rPr>
                <w:b/>
                <w:bCs/>
              </w:rPr>
              <w:t>o.d.</w:t>
            </w:r>
          </w:p>
        </w:tc>
        <w:tc>
          <w:tcPr>
            <w:tcW w:w="565" w:type="dxa"/>
            <w:tcBorders>
              <w:top w:val="single" w:sz="4" w:space="0" w:color="000000"/>
              <w:left w:val="single" w:sz="4" w:space="0" w:color="000000"/>
              <w:bottom w:val="single" w:sz="4" w:space="0" w:color="000000"/>
              <w:right w:val="single" w:sz="4" w:space="0" w:color="000000"/>
            </w:tcBorders>
          </w:tcPr>
          <w:p w14:paraId="1AA5B819" w14:textId="77777777" w:rsidR="008916F9" w:rsidRPr="00510463" w:rsidRDefault="008916F9" w:rsidP="006516C7">
            <w:pPr>
              <w:ind w:right="-1"/>
            </w:pPr>
            <w:r w:rsidRPr="00510463">
              <w:rPr>
                <w:b/>
                <w:bCs/>
              </w:rPr>
              <w:t>N</w:t>
            </w:r>
          </w:p>
        </w:tc>
        <w:tc>
          <w:tcPr>
            <w:tcW w:w="1488" w:type="dxa"/>
            <w:tcBorders>
              <w:top w:val="single" w:sz="4" w:space="0" w:color="000000"/>
              <w:left w:val="single" w:sz="4" w:space="0" w:color="000000"/>
              <w:bottom w:val="single" w:sz="4" w:space="0" w:color="000000"/>
              <w:right w:val="single" w:sz="4" w:space="0" w:color="000000"/>
            </w:tcBorders>
          </w:tcPr>
          <w:p w14:paraId="629445FC" w14:textId="77777777" w:rsidR="008916F9" w:rsidRPr="00510463" w:rsidRDefault="008916F9" w:rsidP="006516C7">
            <w:pPr>
              <w:ind w:right="-1"/>
            </w:pPr>
            <w:r w:rsidRPr="00510463">
              <w:rPr>
                <w:b/>
                <w:bCs/>
              </w:rPr>
              <w:t>12 -</w:t>
            </w:r>
          </w:p>
          <w:p w14:paraId="6D4DC982" w14:textId="3EF31F25" w:rsidR="008916F9" w:rsidRPr="00510463" w:rsidRDefault="008916F9" w:rsidP="006516C7">
            <w:pPr>
              <w:ind w:right="-1"/>
            </w:pPr>
            <w:r w:rsidRPr="00510463">
              <w:rPr>
                <w:b/>
                <w:bCs/>
              </w:rPr>
              <w:t xml:space="preserve">&lt; 18 </w:t>
            </w:r>
            <w:r w:rsidRPr="008916F9">
              <w:rPr>
                <w:b/>
                <w:bCs/>
              </w:rPr>
              <w:t>години</w:t>
            </w:r>
          </w:p>
        </w:tc>
        <w:tc>
          <w:tcPr>
            <w:tcW w:w="563" w:type="dxa"/>
            <w:tcBorders>
              <w:top w:val="single" w:sz="4" w:space="0" w:color="000000"/>
              <w:left w:val="single" w:sz="4" w:space="0" w:color="000000"/>
              <w:bottom w:val="single" w:sz="4" w:space="0" w:color="000000"/>
              <w:right w:val="single" w:sz="4" w:space="0" w:color="000000"/>
            </w:tcBorders>
          </w:tcPr>
          <w:p w14:paraId="5C386ED2" w14:textId="77777777" w:rsidR="008916F9" w:rsidRPr="00510463" w:rsidRDefault="008916F9" w:rsidP="006516C7">
            <w:pPr>
              <w:ind w:right="-1"/>
            </w:pPr>
            <w:r w:rsidRPr="00510463">
              <w:rPr>
                <w:b/>
                <w:bCs/>
              </w:rPr>
              <w:t>N</w:t>
            </w:r>
          </w:p>
        </w:tc>
        <w:tc>
          <w:tcPr>
            <w:tcW w:w="1459" w:type="dxa"/>
            <w:tcBorders>
              <w:top w:val="single" w:sz="4" w:space="0" w:color="000000"/>
              <w:left w:val="single" w:sz="4" w:space="0" w:color="000000"/>
              <w:bottom w:val="single" w:sz="4" w:space="0" w:color="000000"/>
              <w:right w:val="single" w:sz="4" w:space="0" w:color="000000"/>
            </w:tcBorders>
          </w:tcPr>
          <w:p w14:paraId="78E72F2C" w14:textId="77777777" w:rsidR="008916F9" w:rsidRDefault="008916F9" w:rsidP="006516C7">
            <w:pPr>
              <w:ind w:right="-1"/>
              <w:rPr>
                <w:b/>
                <w:bCs/>
              </w:rPr>
            </w:pPr>
            <w:r w:rsidRPr="00510463">
              <w:rPr>
                <w:b/>
                <w:bCs/>
              </w:rPr>
              <w:t>6 -</w:t>
            </w:r>
          </w:p>
          <w:p w14:paraId="7C004C05" w14:textId="0E65F7FC" w:rsidR="008916F9" w:rsidRPr="00510463" w:rsidRDefault="008916F9" w:rsidP="006516C7">
            <w:pPr>
              <w:ind w:right="-1"/>
            </w:pPr>
            <w:r w:rsidRPr="00510463">
              <w:rPr>
                <w:b/>
                <w:bCs/>
              </w:rPr>
              <w:t xml:space="preserve">&lt; 12 </w:t>
            </w:r>
            <w:r w:rsidRPr="008916F9">
              <w:rPr>
                <w:b/>
                <w:bCs/>
              </w:rPr>
              <w:t>години</w:t>
            </w:r>
          </w:p>
        </w:tc>
        <w:tc>
          <w:tcPr>
            <w:tcW w:w="443" w:type="dxa"/>
            <w:tcBorders>
              <w:top w:val="single" w:sz="4" w:space="0" w:color="000000"/>
              <w:left w:val="single" w:sz="4" w:space="0" w:color="000000"/>
              <w:bottom w:val="single" w:sz="4" w:space="0" w:color="000000"/>
              <w:right w:val="single" w:sz="4" w:space="0" w:color="000000"/>
            </w:tcBorders>
          </w:tcPr>
          <w:p w14:paraId="327164F0" w14:textId="77777777" w:rsidR="008916F9" w:rsidRPr="00510463" w:rsidRDefault="008916F9" w:rsidP="006516C7">
            <w:pPr>
              <w:ind w:right="-1"/>
            </w:pPr>
          </w:p>
        </w:tc>
        <w:tc>
          <w:tcPr>
            <w:tcW w:w="1494" w:type="dxa"/>
            <w:tcBorders>
              <w:top w:val="single" w:sz="4" w:space="0" w:color="000000"/>
              <w:left w:val="single" w:sz="4" w:space="0" w:color="000000"/>
              <w:bottom w:val="single" w:sz="4" w:space="0" w:color="000000"/>
              <w:right w:val="single" w:sz="4" w:space="0" w:color="000000"/>
            </w:tcBorders>
          </w:tcPr>
          <w:p w14:paraId="433A0E40" w14:textId="77777777" w:rsidR="008916F9" w:rsidRPr="00510463" w:rsidRDefault="008916F9" w:rsidP="006516C7">
            <w:pPr>
              <w:ind w:right="-1"/>
            </w:pPr>
          </w:p>
        </w:tc>
        <w:tc>
          <w:tcPr>
            <w:tcW w:w="437" w:type="dxa"/>
            <w:tcBorders>
              <w:top w:val="single" w:sz="4" w:space="0" w:color="000000"/>
              <w:left w:val="single" w:sz="4" w:space="0" w:color="000000"/>
              <w:bottom w:val="single" w:sz="4" w:space="0" w:color="000000"/>
              <w:right w:val="single" w:sz="4" w:space="0" w:color="000000"/>
            </w:tcBorders>
          </w:tcPr>
          <w:p w14:paraId="25417688" w14:textId="77777777" w:rsidR="008916F9" w:rsidRPr="00510463" w:rsidRDefault="008916F9" w:rsidP="006516C7">
            <w:pPr>
              <w:ind w:right="-1"/>
            </w:pPr>
          </w:p>
        </w:tc>
        <w:tc>
          <w:tcPr>
            <w:tcW w:w="1708" w:type="dxa"/>
            <w:tcBorders>
              <w:top w:val="single" w:sz="4" w:space="0" w:color="000000"/>
              <w:left w:val="single" w:sz="4" w:space="0" w:color="000000"/>
              <w:bottom w:val="single" w:sz="4" w:space="0" w:color="000000"/>
              <w:right w:val="single" w:sz="4" w:space="0" w:color="000000"/>
            </w:tcBorders>
          </w:tcPr>
          <w:p w14:paraId="5B6D0B9B" w14:textId="77777777" w:rsidR="008916F9" w:rsidRPr="00510463" w:rsidRDefault="008916F9" w:rsidP="006516C7">
            <w:pPr>
              <w:ind w:right="-1"/>
            </w:pPr>
          </w:p>
        </w:tc>
      </w:tr>
      <w:tr w:rsidR="008916F9" w:rsidRPr="00510463" w14:paraId="1E115B1F" w14:textId="77777777" w:rsidTr="008916F9">
        <w:trPr>
          <w:trHeight w:hRule="exact" w:val="882"/>
        </w:trPr>
        <w:tc>
          <w:tcPr>
            <w:tcW w:w="1337" w:type="dxa"/>
            <w:tcBorders>
              <w:top w:val="single" w:sz="4" w:space="0" w:color="000000"/>
              <w:left w:val="single" w:sz="4" w:space="0" w:color="000000"/>
              <w:bottom w:val="single" w:sz="4" w:space="0" w:color="000000"/>
              <w:right w:val="single" w:sz="4" w:space="0" w:color="000000"/>
            </w:tcBorders>
          </w:tcPr>
          <w:p w14:paraId="55129A3D" w14:textId="039F5939" w:rsidR="008916F9" w:rsidRPr="00510463" w:rsidRDefault="008916F9" w:rsidP="008916F9">
            <w:pPr>
              <w:ind w:right="-1"/>
            </w:pPr>
            <w:r>
              <w:t xml:space="preserve">2.5-4 </w:t>
            </w:r>
            <w:r w:rsidRPr="008916F9">
              <w:t>часа след прилагане</w:t>
            </w:r>
          </w:p>
        </w:tc>
        <w:tc>
          <w:tcPr>
            <w:tcW w:w="565" w:type="dxa"/>
            <w:tcBorders>
              <w:top w:val="single" w:sz="4" w:space="0" w:color="000000"/>
              <w:left w:val="single" w:sz="4" w:space="0" w:color="000000"/>
              <w:bottom w:val="single" w:sz="4" w:space="0" w:color="000000"/>
              <w:right w:val="single" w:sz="4" w:space="0" w:color="000000"/>
            </w:tcBorders>
          </w:tcPr>
          <w:p w14:paraId="45B3ECEE" w14:textId="77777777" w:rsidR="008916F9" w:rsidRPr="00510463" w:rsidRDefault="008916F9" w:rsidP="006516C7">
            <w:pPr>
              <w:ind w:right="-1"/>
            </w:pPr>
            <w:r w:rsidRPr="00510463">
              <w:t>171</w:t>
            </w:r>
          </w:p>
        </w:tc>
        <w:tc>
          <w:tcPr>
            <w:tcW w:w="1488" w:type="dxa"/>
            <w:tcBorders>
              <w:top w:val="single" w:sz="4" w:space="0" w:color="000000"/>
              <w:left w:val="single" w:sz="4" w:space="0" w:color="000000"/>
              <w:bottom w:val="single" w:sz="4" w:space="0" w:color="000000"/>
              <w:right w:val="single" w:sz="4" w:space="0" w:color="000000"/>
            </w:tcBorders>
          </w:tcPr>
          <w:p w14:paraId="22953271" w14:textId="77777777" w:rsidR="008916F9" w:rsidRPr="00510463" w:rsidRDefault="008916F9" w:rsidP="006516C7">
            <w:pPr>
              <w:ind w:right="-1"/>
            </w:pPr>
            <w:r w:rsidRPr="00510463">
              <w:t>241.5</w:t>
            </w:r>
          </w:p>
          <w:p w14:paraId="50BCD392" w14:textId="77777777" w:rsidR="008916F9" w:rsidRPr="00510463" w:rsidRDefault="008916F9" w:rsidP="006516C7">
            <w:pPr>
              <w:ind w:right="-1"/>
            </w:pPr>
            <w:r w:rsidRPr="00510463">
              <w:t>(105-484)</w:t>
            </w:r>
          </w:p>
        </w:tc>
        <w:tc>
          <w:tcPr>
            <w:tcW w:w="563" w:type="dxa"/>
            <w:tcBorders>
              <w:top w:val="single" w:sz="4" w:space="0" w:color="000000"/>
              <w:left w:val="single" w:sz="4" w:space="0" w:color="000000"/>
              <w:bottom w:val="single" w:sz="4" w:space="0" w:color="000000"/>
              <w:right w:val="single" w:sz="4" w:space="0" w:color="000000"/>
            </w:tcBorders>
          </w:tcPr>
          <w:p w14:paraId="770D5C8E" w14:textId="77777777" w:rsidR="008916F9" w:rsidRPr="00510463" w:rsidRDefault="008916F9" w:rsidP="006516C7">
            <w:pPr>
              <w:ind w:right="-1"/>
            </w:pPr>
            <w:r w:rsidRPr="00510463">
              <w:t>24</w:t>
            </w:r>
          </w:p>
        </w:tc>
        <w:tc>
          <w:tcPr>
            <w:tcW w:w="1459" w:type="dxa"/>
            <w:tcBorders>
              <w:top w:val="single" w:sz="4" w:space="0" w:color="000000"/>
              <w:left w:val="single" w:sz="4" w:space="0" w:color="000000"/>
              <w:bottom w:val="single" w:sz="4" w:space="0" w:color="000000"/>
              <w:right w:val="single" w:sz="4" w:space="0" w:color="000000"/>
            </w:tcBorders>
          </w:tcPr>
          <w:p w14:paraId="56A4AF97" w14:textId="77777777" w:rsidR="008916F9" w:rsidRPr="00510463" w:rsidRDefault="008916F9" w:rsidP="006516C7">
            <w:pPr>
              <w:ind w:right="-1"/>
            </w:pPr>
            <w:r w:rsidRPr="00510463">
              <w:t>229.7</w:t>
            </w:r>
          </w:p>
          <w:p w14:paraId="06F12560" w14:textId="77777777" w:rsidR="008916F9" w:rsidRPr="00510463" w:rsidRDefault="008916F9" w:rsidP="006516C7">
            <w:pPr>
              <w:ind w:right="-1"/>
            </w:pPr>
            <w:r w:rsidRPr="00510463">
              <w:t>(91.5-777)</w:t>
            </w:r>
          </w:p>
        </w:tc>
        <w:tc>
          <w:tcPr>
            <w:tcW w:w="443" w:type="dxa"/>
            <w:tcBorders>
              <w:top w:val="single" w:sz="4" w:space="0" w:color="000000"/>
              <w:left w:val="single" w:sz="4" w:space="0" w:color="000000"/>
              <w:bottom w:val="single" w:sz="4" w:space="0" w:color="000000"/>
              <w:right w:val="single" w:sz="4" w:space="0" w:color="000000"/>
            </w:tcBorders>
          </w:tcPr>
          <w:p w14:paraId="6C338E77" w14:textId="77777777" w:rsidR="008916F9" w:rsidRPr="00510463" w:rsidRDefault="008916F9" w:rsidP="006516C7">
            <w:pPr>
              <w:ind w:right="-1"/>
            </w:pPr>
          </w:p>
        </w:tc>
        <w:tc>
          <w:tcPr>
            <w:tcW w:w="1494" w:type="dxa"/>
            <w:tcBorders>
              <w:top w:val="single" w:sz="4" w:space="0" w:color="000000"/>
              <w:left w:val="single" w:sz="4" w:space="0" w:color="000000"/>
              <w:bottom w:val="single" w:sz="4" w:space="0" w:color="000000"/>
              <w:right w:val="single" w:sz="4" w:space="0" w:color="000000"/>
            </w:tcBorders>
          </w:tcPr>
          <w:p w14:paraId="10ED6D16" w14:textId="77777777" w:rsidR="008916F9" w:rsidRPr="00510463" w:rsidRDefault="008916F9" w:rsidP="006516C7">
            <w:pPr>
              <w:ind w:right="-1"/>
            </w:pPr>
          </w:p>
        </w:tc>
        <w:tc>
          <w:tcPr>
            <w:tcW w:w="437" w:type="dxa"/>
            <w:tcBorders>
              <w:top w:val="single" w:sz="4" w:space="0" w:color="000000"/>
              <w:left w:val="single" w:sz="4" w:space="0" w:color="000000"/>
              <w:bottom w:val="single" w:sz="4" w:space="0" w:color="000000"/>
              <w:right w:val="single" w:sz="4" w:space="0" w:color="000000"/>
            </w:tcBorders>
          </w:tcPr>
          <w:p w14:paraId="7F7E9039" w14:textId="77777777" w:rsidR="008916F9" w:rsidRPr="00510463" w:rsidRDefault="008916F9" w:rsidP="006516C7">
            <w:pPr>
              <w:ind w:right="-1"/>
            </w:pPr>
          </w:p>
        </w:tc>
        <w:tc>
          <w:tcPr>
            <w:tcW w:w="1708" w:type="dxa"/>
            <w:tcBorders>
              <w:top w:val="single" w:sz="4" w:space="0" w:color="000000"/>
              <w:left w:val="single" w:sz="4" w:space="0" w:color="000000"/>
              <w:bottom w:val="single" w:sz="4" w:space="0" w:color="000000"/>
              <w:right w:val="single" w:sz="4" w:space="0" w:color="000000"/>
            </w:tcBorders>
          </w:tcPr>
          <w:p w14:paraId="356FD37E" w14:textId="77777777" w:rsidR="008916F9" w:rsidRPr="00510463" w:rsidRDefault="008916F9" w:rsidP="006516C7">
            <w:pPr>
              <w:ind w:right="-1"/>
            </w:pPr>
          </w:p>
        </w:tc>
      </w:tr>
      <w:tr w:rsidR="008916F9" w:rsidRPr="00510463" w14:paraId="31334BED" w14:textId="77777777" w:rsidTr="008916F9">
        <w:trPr>
          <w:trHeight w:hRule="exact" w:val="852"/>
        </w:trPr>
        <w:tc>
          <w:tcPr>
            <w:tcW w:w="1337" w:type="dxa"/>
            <w:tcBorders>
              <w:top w:val="single" w:sz="4" w:space="0" w:color="000000"/>
              <w:left w:val="single" w:sz="4" w:space="0" w:color="000000"/>
              <w:bottom w:val="single" w:sz="4" w:space="0" w:color="000000"/>
              <w:right w:val="single" w:sz="4" w:space="0" w:color="000000"/>
            </w:tcBorders>
          </w:tcPr>
          <w:p w14:paraId="662538F8" w14:textId="77777777" w:rsidR="008916F9" w:rsidRPr="00510463" w:rsidRDefault="008916F9" w:rsidP="006516C7">
            <w:pPr>
              <w:ind w:right="-1"/>
            </w:pPr>
            <w:r w:rsidRPr="00510463">
              <w:t>20-24</w:t>
            </w:r>
          </w:p>
          <w:p w14:paraId="577DFD55" w14:textId="77777777" w:rsidR="008916F9" w:rsidRDefault="008916F9" w:rsidP="008916F9">
            <w:pPr>
              <w:pStyle w:val="Default"/>
            </w:pPr>
            <w:r>
              <w:rPr>
                <w:sz w:val="22"/>
                <w:szCs w:val="22"/>
              </w:rPr>
              <w:t xml:space="preserve">часа след прилагане </w:t>
            </w:r>
          </w:p>
          <w:p w14:paraId="1AE17FA4" w14:textId="3D0780F3" w:rsidR="008916F9" w:rsidRPr="00510463" w:rsidRDefault="008916F9" w:rsidP="006516C7">
            <w:pPr>
              <w:ind w:right="-1"/>
            </w:pPr>
          </w:p>
        </w:tc>
        <w:tc>
          <w:tcPr>
            <w:tcW w:w="565" w:type="dxa"/>
            <w:tcBorders>
              <w:top w:val="single" w:sz="4" w:space="0" w:color="000000"/>
              <w:left w:val="single" w:sz="4" w:space="0" w:color="000000"/>
              <w:bottom w:val="single" w:sz="4" w:space="0" w:color="000000"/>
              <w:right w:val="single" w:sz="4" w:space="0" w:color="000000"/>
            </w:tcBorders>
          </w:tcPr>
          <w:p w14:paraId="57EA8613" w14:textId="77777777" w:rsidR="008916F9" w:rsidRPr="00510463" w:rsidRDefault="008916F9" w:rsidP="006516C7">
            <w:pPr>
              <w:ind w:right="-1"/>
            </w:pPr>
            <w:r w:rsidRPr="00510463">
              <w:t>151</w:t>
            </w:r>
          </w:p>
        </w:tc>
        <w:tc>
          <w:tcPr>
            <w:tcW w:w="1488" w:type="dxa"/>
            <w:tcBorders>
              <w:top w:val="single" w:sz="4" w:space="0" w:color="000000"/>
              <w:left w:val="single" w:sz="4" w:space="0" w:color="000000"/>
              <w:bottom w:val="single" w:sz="4" w:space="0" w:color="000000"/>
              <w:right w:val="single" w:sz="4" w:space="0" w:color="000000"/>
            </w:tcBorders>
          </w:tcPr>
          <w:p w14:paraId="5B267C63" w14:textId="77777777" w:rsidR="008916F9" w:rsidRPr="00510463" w:rsidRDefault="008916F9" w:rsidP="006516C7">
            <w:pPr>
              <w:ind w:right="-1"/>
            </w:pPr>
            <w:r w:rsidRPr="00510463">
              <w:t>20.6</w:t>
            </w:r>
          </w:p>
          <w:p w14:paraId="6E7EDAF9" w14:textId="77777777" w:rsidR="008916F9" w:rsidRPr="00510463" w:rsidRDefault="008916F9" w:rsidP="006516C7">
            <w:pPr>
              <w:ind w:right="-1"/>
            </w:pPr>
            <w:r w:rsidRPr="00510463">
              <w:t>(5.69-66.5)</w:t>
            </w:r>
          </w:p>
        </w:tc>
        <w:tc>
          <w:tcPr>
            <w:tcW w:w="563" w:type="dxa"/>
            <w:tcBorders>
              <w:top w:val="single" w:sz="4" w:space="0" w:color="000000"/>
              <w:left w:val="single" w:sz="4" w:space="0" w:color="000000"/>
              <w:bottom w:val="single" w:sz="4" w:space="0" w:color="000000"/>
              <w:right w:val="single" w:sz="4" w:space="0" w:color="000000"/>
            </w:tcBorders>
          </w:tcPr>
          <w:p w14:paraId="13A369B6" w14:textId="77777777" w:rsidR="008916F9" w:rsidRPr="00510463" w:rsidRDefault="008916F9" w:rsidP="006516C7">
            <w:pPr>
              <w:ind w:right="-1"/>
            </w:pPr>
            <w:r w:rsidRPr="00510463">
              <w:t>24</w:t>
            </w:r>
          </w:p>
        </w:tc>
        <w:tc>
          <w:tcPr>
            <w:tcW w:w="1459" w:type="dxa"/>
            <w:tcBorders>
              <w:top w:val="single" w:sz="4" w:space="0" w:color="000000"/>
              <w:left w:val="single" w:sz="4" w:space="0" w:color="000000"/>
              <w:bottom w:val="single" w:sz="4" w:space="0" w:color="000000"/>
              <w:right w:val="single" w:sz="4" w:space="0" w:color="000000"/>
            </w:tcBorders>
          </w:tcPr>
          <w:p w14:paraId="7F1B2A47" w14:textId="77777777" w:rsidR="008916F9" w:rsidRPr="00510463" w:rsidRDefault="008916F9" w:rsidP="006516C7">
            <w:pPr>
              <w:ind w:right="-1"/>
            </w:pPr>
            <w:r w:rsidRPr="00510463">
              <w:t>15.9</w:t>
            </w:r>
          </w:p>
          <w:p w14:paraId="5031EAB7" w14:textId="77777777" w:rsidR="008916F9" w:rsidRPr="00510463" w:rsidRDefault="008916F9" w:rsidP="006516C7">
            <w:pPr>
              <w:ind w:right="-1"/>
            </w:pPr>
            <w:r w:rsidRPr="00510463">
              <w:t>(3.42-45.5)</w:t>
            </w:r>
          </w:p>
        </w:tc>
        <w:tc>
          <w:tcPr>
            <w:tcW w:w="443" w:type="dxa"/>
            <w:tcBorders>
              <w:top w:val="single" w:sz="4" w:space="0" w:color="000000"/>
              <w:left w:val="single" w:sz="4" w:space="0" w:color="000000"/>
              <w:bottom w:val="single" w:sz="4" w:space="0" w:color="000000"/>
              <w:right w:val="single" w:sz="4" w:space="0" w:color="000000"/>
            </w:tcBorders>
          </w:tcPr>
          <w:p w14:paraId="26065150" w14:textId="77777777" w:rsidR="008916F9" w:rsidRPr="00510463" w:rsidRDefault="008916F9" w:rsidP="006516C7">
            <w:pPr>
              <w:ind w:right="-1"/>
            </w:pPr>
          </w:p>
        </w:tc>
        <w:tc>
          <w:tcPr>
            <w:tcW w:w="1494" w:type="dxa"/>
            <w:tcBorders>
              <w:top w:val="single" w:sz="4" w:space="0" w:color="000000"/>
              <w:left w:val="single" w:sz="4" w:space="0" w:color="000000"/>
              <w:bottom w:val="single" w:sz="4" w:space="0" w:color="000000"/>
              <w:right w:val="single" w:sz="4" w:space="0" w:color="000000"/>
            </w:tcBorders>
          </w:tcPr>
          <w:p w14:paraId="5B6A33F1" w14:textId="77777777" w:rsidR="008916F9" w:rsidRPr="00510463" w:rsidRDefault="008916F9" w:rsidP="006516C7">
            <w:pPr>
              <w:ind w:right="-1"/>
            </w:pPr>
          </w:p>
        </w:tc>
        <w:tc>
          <w:tcPr>
            <w:tcW w:w="437" w:type="dxa"/>
            <w:tcBorders>
              <w:top w:val="single" w:sz="4" w:space="0" w:color="000000"/>
              <w:left w:val="single" w:sz="4" w:space="0" w:color="000000"/>
              <w:bottom w:val="single" w:sz="4" w:space="0" w:color="000000"/>
              <w:right w:val="single" w:sz="4" w:space="0" w:color="000000"/>
            </w:tcBorders>
          </w:tcPr>
          <w:p w14:paraId="14578224" w14:textId="77777777" w:rsidR="008916F9" w:rsidRPr="00510463" w:rsidRDefault="008916F9" w:rsidP="006516C7">
            <w:pPr>
              <w:ind w:right="-1"/>
            </w:pPr>
          </w:p>
        </w:tc>
        <w:tc>
          <w:tcPr>
            <w:tcW w:w="1708" w:type="dxa"/>
            <w:tcBorders>
              <w:top w:val="single" w:sz="4" w:space="0" w:color="000000"/>
              <w:left w:val="single" w:sz="4" w:space="0" w:color="000000"/>
              <w:bottom w:val="single" w:sz="4" w:space="0" w:color="000000"/>
              <w:right w:val="single" w:sz="4" w:space="0" w:color="000000"/>
            </w:tcBorders>
          </w:tcPr>
          <w:p w14:paraId="7C284D88" w14:textId="77777777" w:rsidR="008916F9" w:rsidRPr="00510463" w:rsidRDefault="008916F9" w:rsidP="006516C7">
            <w:pPr>
              <w:ind w:right="-1"/>
            </w:pPr>
          </w:p>
        </w:tc>
      </w:tr>
      <w:tr w:rsidR="008916F9" w:rsidRPr="00510463" w14:paraId="4179D080" w14:textId="77777777" w:rsidTr="006516C7">
        <w:trPr>
          <w:trHeight w:hRule="exact" w:val="264"/>
        </w:trPr>
        <w:tc>
          <w:tcPr>
            <w:tcW w:w="1337" w:type="dxa"/>
            <w:tcBorders>
              <w:top w:val="single" w:sz="4" w:space="0" w:color="000000"/>
              <w:left w:val="single" w:sz="4" w:space="0" w:color="000000"/>
              <w:bottom w:val="single" w:sz="4" w:space="0" w:color="000000"/>
              <w:right w:val="single" w:sz="4" w:space="0" w:color="000000"/>
            </w:tcBorders>
          </w:tcPr>
          <w:p w14:paraId="17F47DC5" w14:textId="77777777" w:rsidR="008916F9" w:rsidRPr="00510463" w:rsidRDefault="008916F9" w:rsidP="006516C7">
            <w:pPr>
              <w:ind w:right="-1"/>
            </w:pPr>
            <w:r w:rsidRPr="00510463">
              <w:rPr>
                <w:b/>
                <w:bCs/>
              </w:rPr>
              <w:t>b.i.d.</w:t>
            </w:r>
          </w:p>
        </w:tc>
        <w:tc>
          <w:tcPr>
            <w:tcW w:w="565" w:type="dxa"/>
            <w:tcBorders>
              <w:top w:val="single" w:sz="4" w:space="0" w:color="000000"/>
              <w:left w:val="single" w:sz="4" w:space="0" w:color="000000"/>
              <w:bottom w:val="single" w:sz="4" w:space="0" w:color="000000"/>
              <w:right w:val="single" w:sz="4" w:space="0" w:color="000000"/>
            </w:tcBorders>
          </w:tcPr>
          <w:p w14:paraId="1989AAA9" w14:textId="77777777" w:rsidR="008916F9" w:rsidRPr="00510463" w:rsidRDefault="008916F9" w:rsidP="006516C7">
            <w:pPr>
              <w:ind w:right="-1"/>
            </w:pPr>
            <w:r w:rsidRPr="00510463">
              <w:rPr>
                <w:b/>
                <w:bCs/>
              </w:rPr>
              <w:t>N</w:t>
            </w:r>
          </w:p>
        </w:tc>
        <w:tc>
          <w:tcPr>
            <w:tcW w:w="1488" w:type="dxa"/>
            <w:tcBorders>
              <w:top w:val="single" w:sz="4" w:space="0" w:color="000000"/>
              <w:left w:val="single" w:sz="4" w:space="0" w:color="000000"/>
              <w:bottom w:val="single" w:sz="4" w:space="0" w:color="000000"/>
              <w:right w:val="single" w:sz="4" w:space="0" w:color="000000"/>
            </w:tcBorders>
          </w:tcPr>
          <w:p w14:paraId="5164E2CB" w14:textId="0EFEAF95" w:rsidR="008916F9" w:rsidRPr="00510463" w:rsidRDefault="008916F9" w:rsidP="006516C7">
            <w:pPr>
              <w:ind w:right="-1"/>
            </w:pPr>
            <w:r>
              <w:rPr>
                <w:b/>
                <w:bCs/>
              </w:rPr>
              <w:t>6 -&lt; 12 години</w:t>
            </w:r>
          </w:p>
        </w:tc>
        <w:tc>
          <w:tcPr>
            <w:tcW w:w="563" w:type="dxa"/>
            <w:tcBorders>
              <w:top w:val="single" w:sz="4" w:space="0" w:color="000000"/>
              <w:left w:val="single" w:sz="4" w:space="0" w:color="000000"/>
              <w:bottom w:val="single" w:sz="4" w:space="0" w:color="000000"/>
              <w:right w:val="single" w:sz="4" w:space="0" w:color="000000"/>
            </w:tcBorders>
          </w:tcPr>
          <w:p w14:paraId="265D77F0" w14:textId="77777777" w:rsidR="008916F9" w:rsidRPr="00510463" w:rsidRDefault="008916F9" w:rsidP="006516C7">
            <w:pPr>
              <w:ind w:right="-1"/>
            </w:pPr>
            <w:r w:rsidRPr="00510463">
              <w:rPr>
                <w:b/>
                <w:bCs/>
              </w:rPr>
              <w:t>N</w:t>
            </w:r>
          </w:p>
        </w:tc>
        <w:tc>
          <w:tcPr>
            <w:tcW w:w="1459" w:type="dxa"/>
            <w:tcBorders>
              <w:top w:val="single" w:sz="4" w:space="0" w:color="000000"/>
              <w:left w:val="single" w:sz="4" w:space="0" w:color="000000"/>
              <w:bottom w:val="single" w:sz="4" w:space="0" w:color="000000"/>
              <w:right w:val="single" w:sz="4" w:space="0" w:color="000000"/>
            </w:tcBorders>
          </w:tcPr>
          <w:p w14:paraId="6ACF0521" w14:textId="468EAA17" w:rsidR="008916F9" w:rsidRPr="00510463" w:rsidRDefault="008916F9" w:rsidP="006516C7">
            <w:pPr>
              <w:ind w:right="-1"/>
            </w:pPr>
            <w:r>
              <w:rPr>
                <w:b/>
                <w:bCs/>
              </w:rPr>
              <w:t>2 -&lt; 6 години</w:t>
            </w:r>
          </w:p>
        </w:tc>
        <w:tc>
          <w:tcPr>
            <w:tcW w:w="443" w:type="dxa"/>
            <w:tcBorders>
              <w:top w:val="single" w:sz="4" w:space="0" w:color="000000"/>
              <w:left w:val="single" w:sz="4" w:space="0" w:color="000000"/>
              <w:bottom w:val="single" w:sz="4" w:space="0" w:color="000000"/>
              <w:right w:val="single" w:sz="4" w:space="0" w:color="000000"/>
            </w:tcBorders>
          </w:tcPr>
          <w:p w14:paraId="2304C61D" w14:textId="77777777" w:rsidR="008916F9" w:rsidRPr="00510463" w:rsidRDefault="008916F9" w:rsidP="006516C7">
            <w:pPr>
              <w:ind w:right="-1"/>
            </w:pPr>
            <w:r w:rsidRPr="00510463">
              <w:rPr>
                <w:b/>
                <w:bCs/>
              </w:rPr>
              <w:t>N</w:t>
            </w:r>
          </w:p>
        </w:tc>
        <w:tc>
          <w:tcPr>
            <w:tcW w:w="1494" w:type="dxa"/>
            <w:tcBorders>
              <w:top w:val="single" w:sz="4" w:space="0" w:color="000000"/>
              <w:left w:val="single" w:sz="4" w:space="0" w:color="000000"/>
              <w:bottom w:val="single" w:sz="4" w:space="0" w:color="000000"/>
              <w:right w:val="single" w:sz="4" w:space="0" w:color="000000"/>
            </w:tcBorders>
          </w:tcPr>
          <w:p w14:paraId="09311B95" w14:textId="1D389C95" w:rsidR="008916F9" w:rsidRPr="00510463" w:rsidRDefault="008916F9" w:rsidP="006516C7">
            <w:pPr>
              <w:ind w:right="-1"/>
            </w:pPr>
            <w:r>
              <w:rPr>
                <w:b/>
                <w:bCs/>
              </w:rPr>
              <w:t>0.5 -&lt; 2 години</w:t>
            </w:r>
          </w:p>
        </w:tc>
        <w:tc>
          <w:tcPr>
            <w:tcW w:w="437" w:type="dxa"/>
            <w:tcBorders>
              <w:top w:val="single" w:sz="4" w:space="0" w:color="000000"/>
              <w:left w:val="single" w:sz="4" w:space="0" w:color="000000"/>
              <w:bottom w:val="single" w:sz="4" w:space="0" w:color="000000"/>
              <w:right w:val="single" w:sz="4" w:space="0" w:color="000000"/>
            </w:tcBorders>
          </w:tcPr>
          <w:p w14:paraId="3BFBDCD3" w14:textId="77777777" w:rsidR="008916F9" w:rsidRPr="00510463" w:rsidRDefault="008916F9" w:rsidP="006516C7">
            <w:pPr>
              <w:ind w:right="-1"/>
            </w:pPr>
          </w:p>
        </w:tc>
        <w:tc>
          <w:tcPr>
            <w:tcW w:w="1708" w:type="dxa"/>
            <w:tcBorders>
              <w:top w:val="single" w:sz="4" w:space="0" w:color="000000"/>
              <w:left w:val="single" w:sz="4" w:space="0" w:color="000000"/>
              <w:bottom w:val="single" w:sz="4" w:space="0" w:color="000000"/>
              <w:right w:val="single" w:sz="4" w:space="0" w:color="000000"/>
            </w:tcBorders>
          </w:tcPr>
          <w:p w14:paraId="48535F3F" w14:textId="77777777" w:rsidR="008916F9" w:rsidRPr="00510463" w:rsidRDefault="008916F9" w:rsidP="006516C7">
            <w:pPr>
              <w:ind w:right="-1"/>
            </w:pPr>
          </w:p>
        </w:tc>
      </w:tr>
      <w:tr w:rsidR="008916F9" w:rsidRPr="00510463" w14:paraId="45C7B997" w14:textId="77777777" w:rsidTr="008916F9">
        <w:trPr>
          <w:trHeight w:hRule="exact" w:val="868"/>
        </w:trPr>
        <w:tc>
          <w:tcPr>
            <w:tcW w:w="1337" w:type="dxa"/>
            <w:tcBorders>
              <w:top w:val="single" w:sz="4" w:space="0" w:color="000000"/>
              <w:left w:val="single" w:sz="4" w:space="0" w:color="000000"/>
              <w:bottom w:val="single" w:sz="4" w:space="0" w:color="000000"/>
              <w:right w:val="single" w:sz="4" w:space="0" w:color="000000"/>
            </w:tcBorders>
          </w:tcPr>
          <w:p w14:paraId="71DE1646" w14:textId="77777777" w:rsidR="008916F9" w:rsidRPr="00510463" w:rsidRDefault="008916F9" w:rsidP="006516C7">
            <w:pPr>
              <w:ind w:right="-1"/>
            </w:pPr>
            <w:r>
              <w:t>2.5-4</w:t>
            </w:r>
          </w:p>
          <w:p w14:paraId="3B801508" w14:textId="77777777" w:rsidR="008916F9" w:rsidRDefault="008916F9" w:rsidP="008916F9">
            <w:pPr>
              <w:pStyle w:val="Default"/>
            </w:pPr>
            <w:r>
              <w:rPr>
                <w:sz w:val="22"/>
                <w:szCs w:val="22"/>
              </w:rPr>
              <w:t xml:space="preserve">часа след прилагане </w:t>
            </w:r>
          </w:p>
          <w:p w14:paraId="79408574" w14:textId="5FB65B6C" w:rsidR="008916F9" w:rsidRPr="00510463" w:rsidRDefault="008916F9" w:rsidP="006516C7">
            <w:pPr>
              <w:ind w:right="-1"/>
            </w:pPr>
          </w:p>
        </w:tc>
        <w:tc>
          <w:tcPr>
            <w:tcW w:w="565" w:type="dxa"/>
            <w:tcBorders>
              <w:top w:val="single" w:sz="4" w:space="0" w:color="000000"/>
              <w:left w:val="single" w:sz="4" w:space="0" w:color="000000"/>
              <w:bottom w:val="single" w:sz="4" w:space="0" w:color="000000"/>
              <w:right w:val="single" w:sz="4" w:space="0" w:color="000000"/>
            </w:tcBorders>
          </w:tcPr>
          <w:p w14:paraId="3B4CB3DE" w14:textId="77777777" w:rsidR="008916F9" w:rsidRPr="00510463" w:rsidRDefault="008916F9" w:rsidP="006516C7">
            <w:pPr>
              <w:ind w:right="-1"/>
            </w:pPr>
            <w:r w:rsidRPr="00510463">
              <w:t>36</w:t>
            </w:r>
          </w:p>
        </w:tc>
        <w:tc>
          <w:tcPr>
            <w:tcW w:w="1488" w:type="dxa"/>
            <w:tcBorders>
              <w:top w:val="single" w:sz="4" w:space="0" w:color="000000"/>
              <w:left w:val="single" w:sz="4" w:space="0" w:color="000000"/>
              <w:bottom w:val="single" w:sz="4" w:space="0" w:color="000000"/>
              <w:right w:val="single" w:sz="4" w:space="0" w:color="000000"/>
            </w:tcBorders>
          </w:tcPr>
          <w:p w14:paraId="089D27E4" w14:textId="77777777" w:rsidR="008916F9" w:rsidRPr="00510463" w:rsidRDefault="008916F9" w:rsidP="006516C7">
            <w:pPr>
              <w:ind w:right="-1"/>
            </w:pPr>
            <w:r w:rsidRPr="00510463">
              <w:t>145.4</w:t>
            </w:r>
          </w:p>
          <w:p w14:paraId="100FF9F2" w14:textId="77777777" w:rsidR="008916F9" w:rsidRPr="00510463" w:rsidRDefault="008916F9" w:rsidP="006516C7">
            <w:pPr>
              <w:ind w:right="-1"/>
            </w:pPr>
            <w:r w:rsidRPr="00510463">
              <w:t>(46.0-343)</w:t>
            </w:r>
          </w:p>
        </w:tc>
        <w:tc>
          <w:tcPr>
            <w:tcW w:w="563" w:type="dxa"/>
            <w:tcBorders>
              <w:top w:val="single" w:sz="4" w:space="0" w:color="000000"/>
              <w:left w:val="single" w:sz="4" w:space="0" w:color="000000"/>
              <w:bottom w:val="single" w:sz="4" w:space="0" w:color="000000"/>
              <w:right w:val="single" w:sz="4" w:space="0" w:color="000000"/>
            </w:tcBorders>
          </w:tcPr>
          <w:p w14:paraId="4FF48185" w14:textId="77777777" w:rsidR="008916F9" w:rsidRPr="00510463" w:rsidRDefault="008916F9" w:rsidP="006516C7">
            <w:pPr>
              <w:ind w:right="-1"/>
            </w:pPr>
            <w:r w:rsidRPr="00510463">
              <w:t>38</w:t>
            </w:r>
          </w:p>
        </w:tc>
        <w:tc>
          <w:tcPr>
            <w:tcW w:w="1459" w:type="dxa"/>
            <w:tcBorders>
              <w:top w:val="single" w:sz="4" w:space="0" w:color="000000"/>
              <w:left w:val="single" w:sz="4" w:space="0" w:color="000000"/>
              <w:bottom w:val="single" w:sz="4" w:space="0" w:color="000000"/>
              <w:right w:val="single" w:sz="4" w:space="0" w:color="000000"/>
            </w:tcBorders>
          </w:tcPr>
          <w:p w14:paraId="7219A587" w14:textId="77777777" w:rsidR="008916F9" w:rsidRPr="00510463" w:rsidRDefault="008916F9" w:rsidP="006516C7">
            <w:pPr>
              <w:ind w:right="-1"/>
            </w:pPr>
            <w:r w:rsidRPr="00510463">
              <w:t>171.8</w:t>
            </w:r>
          </w:p>
          <w:p w14:paraId="5CF0208E" w14:textId="77777777" w:rsidR="008916F9" w:rsidRPr="00510463" w:rsidRDefault="008916F9" w:rsidP="006516C7">
            <w:pPr>
              <w:ind w:right="-1"/>
            </w:pPr>
            <w:r w:rsidRPr="00510463">
              <w:t>(70.7-438)</w:t>
            </w:r>
          </w:p>
        </w:tc>
        <w:tc>
          <w:tcPr>
            <w:tcW w:w="443" w:type="dxa"/>
            <w:tcBorders>
              <w:top w:val="single" w:sz="4" w:space="0" w:color="000000"/>
              <w:left w:val="single" w:sz="4" w:space="0" w:color="000000"/>
              <w:bottom w:val="single" w:sz="4" w:space="0" w:color="000000"/>
              <w:right w:val="single" w:sz="4" w:space="0" w:color="000000"/>
            </w:tcBorders>
          </w:tcPr>
          <w:p w14:paraId="031DD2D0" w14:textId="77777777" w:rsidR="008916F9" w:rsidRPr="00510463" w:rsidRDefault="008916F9" w:rsidP="006516C7">
            <w:pPr>
              <w:ind w:right="-1"/>
            </w:pPr>
            <w:r w:rsidRPr="00510463">
              <w:t>2</w:t>
            </w:r>
          </w:p>
        </w:tc>
        <w:tc>
          <w:tcPr>
            <w:tcW w:w="1494" w:type="dxa"/>
            <w:tcBorders>
              <w:top w:val="single" w:sz="4" w:space="0" w:color="000000"/>
              <w:left w:val="single" w:sz="4" w:space="0" w:color="000000"/>
              <w:bottom w:val="single" w:sz="4" w:space="0" w:color="000000"/>
              <w:right w:val="single" w:sz="4" w:space="0" w:color="000000"/>
            </w:tcBorders>
          </w:tcPr>
          <w:p w14:paraId="2A2D2644" w14:textId="77777777" w:rsidR="008916F9" w:rsidRPr="00510463" w:rsidRDefault="008916F9" w:rsidP="006516C7">
            <w:pPr>
              <w:ind w:right="-1"/>
            </w:pPr>
            <w:r w:rsidRPr="00510463">
              <w:t>n.c.</w:t>
            </w:r>
          </w:p>
        </w:tc>
        <w:tc>
          <w:tcPr>
            <w:tcW w:w="437" w:type="dxa"/>
            <w:tcBorders>
              <w:top w:val="single" w:sz="4" w:space="0" w:color="000000"/>
              <w:left w:val="single" w:sz="4" w:space="0" w:color="000000"/>
              <w:bottom w:val="single" w:sz="4" w:space="0" w:color="000000"/>
              <w:right w:val="single" w:sz="4" w:space="0" w:color="000000"/>
            </w:tcBorders>
          </w:tcPr>
          <w:p w14:paraId="2121DB18" w14:textId="77777777" w:rsidR="008916F9" w:rsidRPr="00510463" w:rsidRDefault="008916F9" w:rsidP="006516C7">
            <w:pPr>
              <w:ind w:right="-1"/>
            </w:pPr>
          </w:p>
        </w:tc>
        <w:tc>
          <w:tcPr>
            <w:tcW w:w="1708" w:type="dxa"/>
            <w:tcBorders>
              <w:top w:val="single" w:sz="4" w:space="0" w:color="000000"/>
              <w:left w:val="single" w:sz="4" w:space="0" w:color="000000"/>
              <w:bottom w:val="single" w:sz="4" w:space="0" w:color="000000"/>
              <w:right w:val="single" w:sz="4" w:space="0" w:color="000000"/>
            </w:tcBorders>
          </w:tcPr>
          <w:p w14:paraId="2ADEF0C7" w14:textId="77777777" w:rsidR="008916F9" w:rsidRPr="00510463" w:rsidRDefault="008916F9" w:rsidP="006516C7">
            <w:pPr>
              <w:ind w:right="-1"/>
            </w:pPr>
          </w:p>
        </w:tc>
      </w:tr>
      <w:tr w:rsidR="008916F9" w:rsidRPr="00510463" w14:paraId="2836DFE6" w14:textId="77777777" w:rsidTr="008916F9">
        <w:trPr>
          <w:trHeight w:hRule="exact" w:val="852"/>
        </w:trPr>
        <w:tc>
          <w:tcPr>
            <w:tcW w:w="1337" w:type="dxa"/>
            <w:tcBorders>
              <w:top w:val="single" w:sz="4" w:space="0" w:color="000000"/>
              <w:left w:val="single" w:sz="4" w:space="0" w:color="000000"/>
              <w:bottom w:val="single" w:sz="4" w:space="0" w:color="000000"/>
              <w:right w:val="single" w:sz="4" w:space="0" w:color="000000"/>
            </w:tcBorders>
          </w:tcPr>
          <w:p w14:paraId="066B981F" w14:textId="77777777" w:rsidR="008916F9" w:rsidRPr="00510463" w:rsidRDefault="008916F9" w:rsidP="006516C7">
            <w:pPr>
              <w:ind w:right="-1"/>
            </w:pPr>
            <w:r>
              <w:t>10-16</w:t>
            </w:r>
          </w:p>
          <w:p w14:paraId="0FB1103B" w14:textId="77777777" w:rsidR="008916F9" w:rsidRDefault="008916F9" w:rsidP="008916F9">
            <w:pPr>
              <w:pStyle w:val="Default"/>
            </w:pPr>
            <w:r>
              <w:rPr>
                <w:sz w:val="22"/>
                <w:szCs w:val="22"/>
              </w:rPr>
              <w:t xml:space="preserve">часа след прилагане </w:t>
            </w:r>
          </w:p>
          <w:p w14:paraId="1A27B1A5" w14:textId="5A1583BC" w:rsidR="008916F9" w:rsidRPr="00510463" w:rsidRDefault="008916F9" w:rsidP="006516C7">
            <w:pPr>
              <w:ind w:right="-1"/>
            </w:pPr>
          </w:p>
        </w:tc>
        <w:tc>
          <w:tcPr>
            <w:tcW w:w="565" w:type="dxa"/>
            <w:tcBorders>
              <w:top w:val="single" w:sz="4" w:space="0" w:color="000000"/>
              <w:left w:val="single" w:sz="4" w:space="0" w:color="000000"/>
              <w:bottom w:val="single" w:sz="4" w:space="0" w:color="000000"/>
              <w:right w:val="single" w:sz="4" w:space="0" w:color="000000"/>
            </w:tcBorders>
          </w:tcPr>
          <w:p w14:paraId="7FD6CDF8" w14:textId="77777777" w:rsidR="008916F9" w:rsidRPr="00510463" w:rsidRDefault="008916F9" w:rsidP="006516C7">
            <w:pPr>
              <w:ind w:right="-1"/>
            </w:pPr>
            <w:r w:rsidRPr="00510463">
              <w:t>33</w:t>
            </w:r>
          </w:p>
        </w:tc>
        <w:tc>
          <w:tcPr>
            <w:tcW w:w="1488" w:type="dxa"/>
            <w:tcBorders>
              <w:top w:val="single" w:sz="4" w:space="0" w:color="000000"/>
              <w:left w:val="single" w:sz="4" w:space="0" w:color="000000"/>
              <w:bottom w:val="single" w:sz="4" w:space="0" w:color="000000"/>
              <w:right w:val="single" w:sz="4" w:space="0" w:color="000000"/>
            </w:tcBorders>
          </w:tcPr>
          <w:p w14:paraId="6EA8AAC9" w14:textId="77777777" w:rsidR="008916F9" w:rsidRPr="00510463" w:rsidRDefault="008916F9" w:rsidP="006516C7">
            <w:pPr>
              <w:ind w:right="-1"/>
            </w:pPr>
            <w:r w:rsidRPr="00510463">
              <w:t>26.0</w:t>
            </w:r>
          </w:p>
          <w:p w14:paraId="57ACDF6C" w14:textId="77777777" w:rsidR="008916F9" w:rsidRPr="00510463" w:rsidRDefault="008916F9" w:rsidP="006516C7">
            <w:pPr>
              <w:ind w:right="-1"/>
            </w:pPr>
            <w:r w:rsidRPr="00510463">
              <w:t>(7.99-94.9)</w:t>
            </w:r>
          </w:p>
        </w:tc>
        <w:tc>
          <w:tcPr>
            <w:tcW w:w="563" w:type="dxa"/>
            <w:tcBorders>
              <w:top w:val="single" w:sz="4" w:space="0" w:color="000000"/>
              <w:left w:val="single" w:sz="4" w:space="0" w:color="000000"/>
              <w:bottom w:val="single" w:sz="4" w:space="0" w:color="000000"/>
              <w:right w:val="single" w:sz="4" w:space="0" w:color="000000"/>
            </w:tcBorders>
          </w:tcPr>
          <w:p w14:paraId="1E041C8F" w14:textId="77777777" w:rsidR="008916F9" w:rsidRPr="00510463" w:rsidRDefault="008916F9" w:rsidP="006516C7">
            <w:pPr>
              <w:ind w:right="-1"/>
            </w:pPr>
            <w:r w:rsidRPr="00510463">
              <w:t>37</w:t>
            </w:r>
          </w:p>
        </w:tc>
        <w:tc>
          <w:tcPr>
            <w:tcW w:w="1459" w:type="dxa"/>
            <w:tcBorders>
              <w:top w:val="single" w:sz="4" w:space="0" w:color="000000"/>
              <w:left w:val="single" w:sz="4" w:space="0" w:color="000000"/>
              <w:bottom w:val="single" w:sz="4" w:space="0" w:color="000000"/>
              <w:right w:val="single" w:sz="4" w:space="0" w:color="000000"/>
            </w:tcBorders>
          </w:tcPr>
          <w:p w14:paraId="1EC86A20" w14:textId="77777777" w:rsidR="008916F9" w:rsidRPr="00510463" w:rsidRDefault="008916F9" w:rsidP="006516C7">
            <w:pPr>
              <w:ind w:right="-1"/>
            </w:pPr>
            <w:r w:rsidRPr="00510463">
              <w:t>22.2</w:t>
            </w:r>
          </w:p>
          <w:p w14:paraId="099C0EBE" w14:textId="77777777" w:rsidR="008916F9" w:rsidRPr="00510463" w:rsidRDefault="008916F9" w:rsidP="006516C7">
            <w:pPr>
              <w:ind w:right="-1"/>
            </w:pPr>
            <w:r w:rsidRPr="00510463">
              <w:t>(0.25-127)</w:t>
            </w:r>
          </w:p>
        </w:tc>
        <w:tc>
          <w:tcPr>
            <w:tcW w:w="443" w:type="dxa"/>
            <w:tcBorders>
              <w:top w:val="single" w:sz="4" w:space="0" w:color="000000"/>
              <w:left w:val="single" w:sz="4" w:space="0" w:color="000000"/>
              <w:bottom w:val="single" w:sz="4" w:space="0" w:color="000000"/>
              <w:right w:val="single" w:sz="4" w:space="0" w:color="000000"/>
            </w:tcBorders>
          </w:tcPr>
          <w:p w14:paraId="42EE3C94" w14:textId="77777777" w:rsidR="008916F9" w:rsidRPr="00510463" w:rsidRDefault="008916F9" w:rsidP="006516C7">
            <w:pPr>
              <w:ind w:right="-1"/>
            </w:pPr>
            <w:r w:rsidRPr="00510463">
              <w:t>3</w:t>
            </w:r>
          </w:p>
        </w:tc>
        <w:tc>
          <w:tcPr>
            <w:tcW w:w="1494" w:type="dxa"/>
            <w:tcBorders>
              <w:top w:val="single" w:sz="4" w:space="0" w:color="000000"/>
              <w:left w:val="single" w:sz="4" w:space="0" w:color="000000"/>
              <w:bottom w:val="single" w:sz="4" w:space="0" w:color="000000"/>
              <w:right w:val="single" w:sz="4" w:space="0" w:color="000000"/>
            </w:tcBorders>
          </w:tcPr>
          <w:p w14:paraId="4896E463" w14:textId="77777777" w:rsidR="008916F9" w:rsidRPr="00510463" w:rsidRDefault="008916F9" w:rsidP="006516C7">
            <w:pPr>
              <w:ind w:right="-1"/>
            </w:pPr>
            <w:r w:rsidRPr="00510463">
              <w:t>10.7</w:t>
            </w:r>
          </w:p>
          <w:p w14:paraId="5FC49603" w14:textId="77777777" w:rsidR="008916F9" w:rsidRPr="00510463" w:rsidRDefault="008916F9" w:rsidP="006516C7">
            <w:pPr>
              <w:ind w:right="-1"/>
            </w:pPr>
            <w:r w:rsidRPr="00510463">
              <w:t>(n.c.-n.c.)</w:t>
            </w:r>
          </w:p>
        </w:tc>
        <w:tc>
          <w:tcPr>
            <w:tcW w:w="437" w:type="dxa"/>
            <w:tcBorders>
              <w:top w:val="single" w:sz="4" w:space="0" w:color="000000"/>
              <w:left w:val="single" w:sz="4" w:space="0" w:color="000000"/>
              <w:bottom w:val="single" w:sz="4" w:space="0" w:color="000000"/>
              <w:right w:val="single" w:sz="4" w:space="0" w:color="000000"/>
            </w:tcBorders>
          </w:tcPr>
          <w:p w14:paraId="13BBC816" w14:textId="77777777" w:rsidR="008916F9" w:rsidRPr="00510463" w:rsidRDefault="008916F9" w:rsidP="006516C7">
            <w:pPr>
              <w:ind w:right="-1"/>
            </w:pPr>
          </w:p>
        </w:tc>
        <w:tc>
          <w:tcPr>
            <w:tcW w:w="1708" w:type="dxa"/>
            <w:tcBorders>
              <w:top w:val="single" w:sz="4" w:space="0" w:color="000000"/>
              <w:left w:val="single" w:sz="4" w:space="0" w:color="000000"/>
              <w:bottom w:val="single" w:sz="4" w:space="0" w:color="000000"/>
              <w:right w:val="single" w:sz="4" w:space="0" w:color="000000"/>
            </w:tcBorders>
          </w:tcPr>
          <w:p w14:paraId="25F7A30D" w14:textId="77777777" w:rsidR="008916F9" w:rsidRPr="00510463" w:rsidRDefault="008916F9" w:rsidP="006516C7">
            <w:pPr>
              <w:ind w:right="-1"/>
            </w:pPr>
          </w:p>
        </w:tc>
      </w:tr>
      <w:tr w:rsidR="008916F9" w:rsidRPr="00510463" w14:paraId="3866DECD" w14:textId="77777777" w:rsidTr="008916F9">
        <w:trPr>
          <w:trHeight w:hRule="exact" w:val="850"/>
        </w:trPr>
        <w:tc>
          <w:tcPr>
            <w:tcW w:w="1337" w:type="dxa"/>
            <w:tcBorders>
              <w:top w:val="single" w:sz="4" w:space="0" w:color="000000"/>
              <w:left w:val="single" w:sz="4" w:space="0" w:color="000000"/>
              <w:bottom w:val="single" w:sz="4" w:space="0" w:color="000000"/>
              <w:right w:val="single" w:sz="4" w:space="0" w:color="000000"/>
            </w:tcBorders>
          </w:tcPr>
          <w:p w14:paraId="5C383A8B" w14:textId="77777777" w:rsidR="008916F9" w:rsidRPr="00510463" w:rsidRDefault="008916F9" w:rsidP="006516C7">
            <w:pPr>
              <w:ind w:right="-1"/>
            </w:pPr>
            <w:r w:rsidRPr="00510463">
              <w:rPr>
                <w:b/>
                <w:bCs/>
              </w:rPr>
              <w:t>t.i.d.</w:t>
            </w:r>
          </w:p>
        </w:tc>
        <w:tc>
          <w:tcPr>
            <w:tcW w:w="565" w:type="dxa"/>
            <w:tcBorders>
              <w:top w:val="single" w:sz="4" w:space="0" w:color="000000"/>
              <w:left w:val="single" w:sz="4" w:space="0" w:color="000000"/>
              <w:bottom w:val="single" w:sz="4" w:space="0" w:color="000000"/>
              <w:right w:val="single" w:sz="4" w:space="0" w:color="000000"/>
            </w:tcBorders>
          </w:tcPr>
          <w:p w14:paraId="742AC4FA" w14:textId="77777777" w:rsidR="008916F9" w:rsidRPr="00510463" w:rsidRDefault="008916F9" w:rsidP="006516C7">
            <w:pPr>
              <w:ind w:right="-1"/>
            </w:pPr>
            <w:r w:rsidRPr="00510463">
              <w:rPr>
                <w:b/>
                <w:bCs/>
              </w:rPr>
              <w:t>N</w:t>
            </w:r>
          </w:p>
        </w:tc>
        <w:tc>
          <w:tcPr>
            <w:tcW w:w="1488" w:type="dxa"/>
            <w:tcBorders>
              <w:top w:val="single" w:sz="4" w:space="0" w:color="000000"/>
              <w:left w:val="single" w:sz="4" w:space="0" w:color="000000"/>
              <w:bottom w:val="single" w:sz="4" w:space="0" w:color="000000"/>
              <w:right w:val="single" w:sz="4" w:space="0" w:color="000000"/>
            </w:tcBorders>
          </w:tcPr>
          <w:p w14:paraId="27D3ACE6" w14:textId="77777777" w:rsidR="008916F9" w:rsidRPr="00510463" w:rsidRDefault="008916F9" w:rsidP="006516C7">
            <w:pPr>
              <w:ind w:right="-1"/>
            </w:pPr>
            <w:r w:rsidRPr="00510463">
              <w:rPr>
                <w:b/>
                <w:bCs/>
              </w:rPr>
              <w:t>2 -&lt; 6 years</w:t>
            </w:r>
          </w:p>
        </w:tc>
        <w:tc>
          <w:tcPr>
            <w:tcW w:w="563" w:type="dxa"/>
            <w:tcBorders>
              <w:top w:val="single" w:sz="4" w:space="0" w:color="000000"/>
              <w:left w:val="single" w:sz="4" w:space="0" w:color="000000"/>
              <w:bottom w:val="single" w:sz="4" w:space="0" w:color="000000"/>
              <w:right w:val="single" w:sz="4" w:space="0" w:color="000000"/>
            </w:tcBorders>
          </w:tcPr>
          <w:p w14:paraId="7E9CB39D" w14:textId="77777777" w:rsidR="008916F9" w:rsidRPr="00510463" w:rsidRDefault="008916F9" w:rsidP="006516C7">
            <w:pPr>
              <w:ind w:right="-1"/>
            </w:pPr>
            <w:r w:rsidRPr="00510463">
              <w:rPr>
                <w:b/>
                <w:bCs/>
              </w:rPr>
              <w:t>N</w:t>
            </w:r>
          </w:p>
        </w:tc>
        <w:tc>
          <w:tcPr>
            <w:tcW w:w="1459" w:type="dxa"/>
            <w:tcBorders>
              <w:top w:val="single" w:sz="4" w:space="0" w:color="000000"/>
              <w:left w:val="single" w:sz="4" w:space="0" w:color="000000"/>
              <w:bottom w:val="single" w:sz="4" w:space="0" w:color="000000"/>
              <w:right w:val="single" w:sz="4" w:space="0" w:color="000000"/>
            </w:tcBorders>
          </w:tcPr>
          <w:p w14:paraId="0B5217F1" w14:textId="71283585" w:rsidR="008916F9" w:rsidRPr="00510463" w:rsidRDefault="008916F9" w:rsidP="008916F9">
            <w:pPr>
              <w:ind w:right="-1"/>
            </w:pPr>
            <w:r>
              <w:rPr>
                <w:b/>
                <w:bCs/>
              </w:rPr>
              <w:t>От раждането</w:t>
            </w:r>
            <w:r w:rsidRPr="00510463">
              <w:rPr>
                <w:b/>
                <w:bCs/>
              </w:rPr>
              <w:t xml:space="preserve"> -</w:t>
            </w:r>
            <w:r>
              <w:rPr>
                <w:b/>
                <w:bCs/>
              </w:rPr>
              <w:t>&lt; 2 години</w:t>
            </w:r>
          </w:p>
        </w:tc>
        <w:tc>
          <w:tcPr>
            <w:tcW w:w="443" w:type="dxa"/>
            <w:tcBorders>
              <w:top w:val="single" w:sz="4" w:space="0" w:color="000000"/>
              <w:left w:val="single" w:sz="4" w:space="0" w:color="000000"/>
              <w:bottom w:val="single" w:sz="4" w:space="0" w:color="000000"/>
              <w:right w:val="single" w:sz="4" w:space="0" w:color="000000"/>
            </w:tcBorders>
          </w:tcPr>
          <w:p w14:paraId="676D208F" w14:textId="77777777" w:rsidR="008916F9" w:rsidRPr="00510463" w:rsidRDefault="008916F9" w:rsidP="006516C7">
            <w:pPr>
              <w:ind w:right="-1"/>
            </w:pPr>
            <w:r w:rsidRPr="00510463">
              <w:rPr>
                <w:b/>
                <w:bCs/>
              </w:rPr>
              <w:t>N</w:t>
            </w:r>
          </w:p>
        </w:tc>
        <w:tc>
          <w:tcPr>
            <w:tcW w:w="1494" w:type="dxa"/>
            <w:tcBorders>
              <w:top w:val="single" w:sz="4" w:space="0" w:color="000000"/>
              <w:left w:val="single" w:sz="4" w:space="0" w:color="000000"/>
              <w:bottom w:val="single" w:sz="4" w:space="0" w:color="000000"/>
              <w:right w:val="single" w:sz="4" w:space="0" w:color="000000"/>
            </w:tcBorders>
          </w:tcPr>
          <w:p w14:paraId="1E7CA719" w14:textId="7C63BA9E" w:rsidR="008916F9" w:rsidRDefault="008916F9" w:rsidP="006516C7">
            <w:pPr>
              <w:ind w:right="-1"/>
              <w:rPr>
                <w:b/>
                <w:bCs/>
              </w:rPr>
            </w:pPr>
            <w:r>
              <w:rPr>
                <w:b/>
                <w:bCs/>
              </w:rPr>
              <w:t>0.5 –</w:t>
            </w:r>
          </w:p>
          <w:p w14:paraId="60870E00" w14:textId="0384F376" w:rsidR="008916F9" w:rsidRPr="00510463" w:rsidRDefault="008916F9" w:rsidP="006516C7">
            <w:pPr>
              <w:ind w:right="-1"/>
            </w:pPr>
            <w:r>
              <w:rPr>
                <w:b/>
                <w:bCs/>
              </w:rPr>
              <w:t>&lt; 2 години</w:t>
            </w:r>
          </w:p>
        </w:tc>
        <w:tc>
          <w:tcPr>
            <w:tcW w:w="437" w:type="dxa"/>
            <w:tcBorders>
              <w:top w:val="single" w:sz="4" w:space="0" w:color="000000"/>
              <w:left w:val="single" w:sz="4" w:space="0" w:color="000000"/>
              <w:bottom w:val="single" w:sz="4" w:space="0" w:color="000000"/>
              <w:right w:val="single" w:sz="4" w:space="0" w:color="000000"/>
            </w:tcBorders>
          </w:tcPr>
          <w:p w14:paraId="38310019" w14:textId="77777777" w:rsidR="008916F9" w:rsidRPr="00510463" w:rsidRDefault="008916F9" w:rsidP="006516C7">
            <w:pPr>
              <w:ind w:right="-1"/>
            </w:pPr>
            <w:r w:rsidRPr="00510463">
              <w:rPr>
                <w:b/>
                <w:bCs/>
              </w:rPr>
              <w:t>N</w:t>
            </w:r>
          </w:p>
        </w:tc>
        <w:tc>
          <w:tcPr>
            <w:tcW w:w="1708" w:type="dxa"/>
            <w:tcBorders>
              <w:top w:val="single" w:sz="4" w:space="0" w:color="000000"/>
              <w:left w:val="single" w:sz="4" w:space="0" w:color="000000"/>
              <w:bottom w:val="single" w:sz="4" w:space="0" w:color="000000"/>
              <w:right w:val="single" w:sz="4" w:space="0" w:color="000000"/>
            </w:tcBorders>
          </w:tcPr>
          <w:p w14:paraId="4ADDA0B7" w14:textId="49495648" w:rsidR="008916F9" w:rsidRPr="00510463" w:rsidRDefault="008916F9" w:rsidP="006516C7">
            <w:pPr>
              <w:ind w:right="-1"/>
            </w:pPr>
            <w:r>
              <w:rPr>
                <w:b/>
                <w:bCs/>
              </w:rPr>
              <w:t xml:space="preserve">От </w:t>
            </w:r>
            <w:r>
              <w:rPr>
                <w:b/>
                <w:bCs/>
                <w:lang w:val="bg-BG"/>
              </w:rPr>
              <w:t>раждането</w:t>
            </w:r>
            <w:r w:rsidRPr="00510463">
              <w:rPr>
                <w:b/>
                <w:bCs/>
              </w:rPr>
              <w:t xml:space="preserve"> -</w:t>
            </w:r>
          </w:p>
          <w:p w14:paraId="336B59F5" w14:textId="622A0C04" w:rsidR="008916F9" w:rsidRPr="00510463" w:rsidRDefault="008916F9" w:rsidP="006516C7">
            <w:pPr>
              <w:ind w:right="-1"/>
            </w:pPr>
            <w:r>
              <w:rPr>
                <w:b/>
                <w:bCs/>
              </w:rPr>
              <w:t>&lt; 0.5 години</w:t>
            </w:r>
          </w:p>
        </w:tc>
      </w:tr>
      <w:tr w:rsidR="008916F9" w:rsidRPr="00510463" w14:paraId="422CD5E4" w14:textId="77777777" w:rsidTr="008916F9">
        <w:trPr>
          <w:trHeight w:hRule="exact" w:val="899"/>
        </w:trPr>
        <w:tc>
          <w:tcPr>
            <w:tcW w:w="1337" w:type="dxa"/>
            <w:tcBorders>
              <w:top w:val="single" w:sz="4" w:space="0" w:color="000000"/>
              <w:left w:val="single" w:sz="4" w:space="0" w:color="000000"/>
              <w:bottom w:val="single" w:sz="4" w:space="0" w:color="000000"/>
              <w:right w:val="single" w:sz="4" w:space="0" w:color="000000"/>
            </w:tcBorders>
          </w:tcPr>
          <w:p w14:paraId="36D7B6E0" w14:textId="77777777" w:rsidR="008916F9" w:rsidRPr="00510463" w:rsidRDefault="008916F9" w:rsidP="006516C7">
            <w:pPr>
              <w:ind w:right="-1"/>
            </w:pPr>
            <w:r w:rsidRPr="00510463">
              <w:t>0.5-3</w:t>
            </w:r>
          </w:p>
          <w:p w14:paraId="5FC5CF0D" w14:textId="77777777" w:rsidR="008916F9" w:rsidRDefault="008916F9" w:rsidP="008916F9">
            <w:pPr>
              <w:pStyle w:val="Default"/>
            </w:pPr>
            <w:r>
              <w:rPr>
                <w:sz w:val="22"/>
                <w:szCs w:val="22"/>
              </w:rPr>
              <w:t xml:space="preserve">часа след прилагане </w:t>
            </w:r>
          </w:p>
          <w:p w14:paraId="5D7E2D4C" w14:textId="0C8F9043" w:rsidR="008916F9" w:rsidRPr="00510463" w:rsidRDefault="008916F9" w:rsidP="006516C7">
            <w:pPr>
              <w:ind w:right="-1"/>
            </w:pPr>
          </w:p>
        </w:tc>
        <w:tc>
          <w:tcPr>
            <w:tcW w:w="565" w:type="dxa"/>
            <w:tcBorders>
              <w:top w:val="single" w:sz="4" w:space="0" w:color="000000"/>
              <w:left w:val="single" w:sz="4" w:space="0" w:color="000000"/>
              <w:bottom w:val="single" w:sz="4" w:space="0" w:color="000000"/>
              <w:right w:val="single" w:sz="4" w:space="0" w:color="000000"/>
            </w:tcBorders>
          </w:tcPr>
          <w:p w14:paraId="4C9C99BF" w14:textId="77777777" w:rsidR="008916F9" w:rsidRPr="00510463" w:rsidRDefault="008916F9" w:rsidP="006516C7">
            <w:pPr>
              <w:ind w:right="-1"/>
            </w:pPr>
            <w:r w:rsidRPr="00510463">
              <w:t>5</w:t>
            </w:r>
          </w:p>
        </w:tc>
        <w:tc>
          <w:tcPr>
            <w:tcW w:w="1488" w:type="dxa"/>
            <w:tcBorders>
              <w:top w:val="single" w:sz="4" w:space="0" w:color="000000"/>
              <w:left w:val="single" w:sz="4" w:space="0" w:color="000000"/>
              <w:bottom w:val="single" w:sz="4" w:space="0" w:color="000000"/>
              <w:right w:val="single" w:sz="4" w:space="0" w:color="000000"/>
            </w:tcBorders>
          </w:tcPr>
          <w:p w14:paraId="2EC305C3" w14:textId="77777777" w:rsidR="008916F9" w:rsidRPr="00510463" w:rsidRDefault="008916F9" w:rsidP="006516C7">
            <w:pPr>
              <w:ind w:right="-1"/>
            </w:pPr>
            <w:r w:rsidRPr="00510463">
              <w:t>164.7</w:t>
            </w:r>
          </w:p>
          <w:p w14:paraId="0AC0C75C" w14:textId="77777777" w:rsidR="008916F9" w:rsidRPr="00510463" w:rsidRDefault="008916F9" w:rsidP="006516C7">
            <w:pPr>
              <w:ind w:right="-1"/>
            </w:pPr>
            <w:r w:rsidRPr="00510463">
              <w:t>(108-283)</w:t>
            </w:r>
          </w:p>
        </w:tc>
        <w:tc>
          <w:tcPr>
            <w:tcW w:w="563" w:type="dxa"/>
            <w:tcBorders>
              <w:top w:val="single" w:sz="4" w:space="0" w:color="000000"/>
              <w:left w:val="single" w:sz="4" w:space="0" w:color="000000"/>
              <w:bottom w:val="single" w:sz="4" w:space="0" w:color="000000"/>
              <w:right w:val="single" w:sz="4" w:space="0" w:color="000000"/>
            </w:tcBorders>
          </w:tcPr>
          <w:p w14:paraId="20ACCCC5" w14:textId="77777777" w:rsidR="008916F9" w:rsidRPr="00510463" w:rsidRDefault="008916F9" w:rsidP="006516C7">
            <w:pPr>
              <w:ind w:right="-1"/>
            </w:pPr>
            <w:r w:rsidRPr="00510463">
              <w:t>25</w:t>
            </w:r>
          </w:p>
        </w:tc>
        <w:tc>
          <w:tcPr>
            <w:tcW w:w="1459" w:type="dxa"/>
            <w:tcBorders>
              <w:top w:val="single" w:sz="4" w:space="0" w:color="000000"/>
              <w:left w:val="single" w:sz="4" w:space="0" w:color="000000"/>
              <w:bottom w:val="single" w:sz="4" w:space="0" w:color="000000"/>
              <w:right w:val="single" w:sz="4" w:space="0" w:color="000000"/>
            </w:tcBorders>
          </w:tcPr>
          <w:p w14:paraId="20386BD3" w14:textId="77777777" w:rsidR="008916F9" w:rsidRPr="00510463" w:rsidRDefault="008916F9" w:rsidP="006516C7">
            <w:pPr>
              <w:ind w:right="-1"/>
            </w:pPr>
            <w:r w:rsidRPr="00510463">
              <w:t>111.2</w:t>
            </w:r>
          </w:p>
          <w:p w14:paraId="2F8D315B" w14:textId="77777777" w:rsidR="008916F9" w:rsidRPr="00510463" w:rsidRDefault="008916F9" w:rsidP="006516C7">
            <w:pPr>
              <w:ind w:right="-1"/>
            </w:pPr>
            <w:r w:rsidRPr="00510463">
              <w:t>(22.9-320)</w:t>
            </w:r>
          </w:p>
        </w:tc>
        <w:tc>
          <w:tcPr>
            <w:tcW w:w="443" w:type="dxa"/>
            <w:tcBorders>
              <w:top w:val="single" w:sz="4" w:space="0" w:color="000000"/>
              <w:left w:val="single" w:sz="4" w:space="0" w:color="000000"/>
              <w:bottom w:val="single" w:sz="4" w:space="0" w:color="000000"/>
              <w:right w:val="single" w:sz="4" w:space="0" w:color="000000"/>
            </w:tcBorders>
          </w:tcPr>
          <w:p w14:paraId="56AB3045" w14:textId="77777777" w:rsidR="008916F9" w:rsidRPr="00510463" w:rsidRDefault="008916F9" w:rsidP="006516C7">
            <w:pPr>
              <w:ind w:right="-1"/>
            </w:pPr>
            <w:r w:rsidRPr="00510463">
              <w:t>13</w:t>
            </w:r>
          </w:p>
        </w:tc>
        <w:tc>
          <w:tcPr>
            <w:tcW w:w="1494" w:type="dxa"/>
            <w:tcBorders>
              <w:top w:val="single" w:sz="4" w:space="0" w:color="000000"/>
              <w:left w:val="single" w:sz="4" w:space="0" w:color="000000"/>
              <w:bottom w:val="single" w:sz="4" w:space="0" w:color="000000"/>
              <w:right w:val="single" w:sz="4" w:space="0" w:color="000000"/>
            </w:tcBorders>
          </w:tcPr>
          <w:p w14:paraId="0067BA76" w14:textId="77777777" w:rsidR="008916F9" w:rsidRPr="00510463" w:rsidRDefault="008916F9" w:rsidP="006516C7">
            <w:pPr>
              <w:ind w:right="-1"/>
            </w:pPr>
            <w:r w:rsidRPr="00510463">
              <w:t>114.3</w:t>
            </w:r>
          </w:p>
          <w:p w14:paraId="2668E9DB" w14:textId="77777777" w:rsidR="008916F9" w:rsidRPr="00510463" w:rsidRDefault="008916F9" w:rsidP="006516C7">
            <w:pPr>
              <w:ind w:right="-1"/>
            </w:pPr>
            <w:r w:rsidRPr="00510463">
              <w:t>(22.9-346)</w:t>
            </w:r>
          </w:p>
        </w:tc>
        <w:tc>
          <w:tcPr>
            <w:tcW w:w="437" w:type="dxa"/>
            <w:tcBorders>
              <w:top w:val="single" w:sz="4" w:space="0" w:color="000000"/>
              <w:left w:val="single" w:sz="4" w:space="0" w:color="000000"/>
              <w:bottom w:val="single" w:sz="4" w:space="0" w:color="000000"/>
              <w:right w:val="single" w:sz="4" w:space="0" w:color="000000"/>
            </w:tcBorders>
          </w:tcPr>
          <w:p w14:paraId="21E037C0" w14:textId="77777777" w:rsidR="008916F9" w:rsidRPr="00510463" w:rsidRDefault="008916F9" w:rsidP="006516C7">
            <w:pPr>
              <w:ind w:right="-1"/>
            </w:pPr>
            <w:r w:rsidRPr="00510463">
              <w:t>12</w:t>
            </w:r>
          </w:p>
        </w:tc>
        <w:tc>
          <w:tcPr>
            <w:tcW w:w="1708" w:type="dxa"/>
            <w:tcBorders>
              <w:top w:val="single" w:sz="4" w:space="0" w:color="000000"/>
              <w:left w:val="single" w:sz="4" w:space="0" w:color="000000"/>
              <w:bottom w:val="single" w:sz="4" w:space="0" w:color="000000"/>
              <w:right w:val="single" w:sz="4" w:space="0" w:color="000000"/>
            </w:tcBorders>
          </w:tcPr>
          <w:p w14:paraId="31C783AA" w14:textId="77777777" w:rsidR="008916F9" w:rsidRPr="00510463" w:rsidRDefault="008916F9" w:rsidP="006516C7">
            <w:pPr>
              <w:ind w:right="-1"/>
            </w:pPr>
            <w:r w:rsidRPr="00510463">
              <w:t>108.0</w:t>
            </w:r>
          </w:p>
          <w:p w14:paraId="4E12CC1A" w14:textId="77777777" w:rsidR="008916F9" w:rsidRPr="00510463" w:rsidRDefault="008916F9" w:rsidP="006516C7">
            <w:pPr>
              <w:ind w:right="-1"/>
            </w:pPr>
            <w:r w:rsidRPr="00510463">
              <w:t>(19.2-320)</w:t>
            </w:r>
          </w:p>
        </w:tc>
      </w:tr>
      <w:tr w:rsidR="008916F9" w:rsidRPr="00510463" w14:paraId="14B7BD8A" w14:textId="77777777" w:rsidTr="008916F9">
        <w:trPr>
          <w:trHeight w:hRule="exact" w:val="856"/>
        </w:trPr>
        <w:tc>
          <w:tcPr>
            <w:tcW w:w="1337" w:type="dxa"/>
            <w:tcBorders>
              <w:top w:val="single" w:sz="4" w:space="0" w:color="000000"/>
              <w:left w:val="single" w:sz="4" w:space="0" w:color="000000"/>
              <w:bottom w:val="single" w:sz="4" w:space="0" w:color="000000"/>
              <w:right w:val="single" w:sz="4" w:space="0" w:color="000000"/>
            </w:tcBorders>
          </w:tcPr>
          <w:p w14:paraId="711F5E76" w14:textId="77777777" w:rsidR="008916F9" w:rsidRPr="00510463" w:rsidRDefault="008916F9" w:rsidP="006516C7">
            <w:pPr>
              <w:ind w:right="-1"/>
            </w:pPr>
            <w:r w:rsidRPr="00510463">
              <w:t>7-8</w:t>
            </w:r>
          </w:p>
          <w:p w14:paraId="776CBF5B" w14:textId="77777777" w:rsidR="008916F9" w:rsidRDefault="008916F9" w:rsidP="008916F9">
            <w:pPr>
              <w:pStyle w:val="Default"/>
            </w:pPr>
            <w:r>
              <w:rPr>
                <w:sz w:val="22"/>
                <w:szCs w:val="22"/>
              </w:rPr>
              <w:t xml:space="preserve">часа след прилагане </w:t>
            </w:r>
          </w:p>
          <w:p w14:paraId="4D165A81" w14:textId="5B77BD64" w:rsidR="008916F9" w:rsidRPr="00510463" w:rsidRDefault="008916F9" w:rsidP="006516C7">
            <w:pPr>
              <w:ind w:right="-1"/>
            </w:pPr>
          </w:p>
        </w:tc>
        <w:tc>
          <w:tcPr>
            <w:tcW w:w="565" w:type="dxa"/>
            <w:tcBorders>
              <w:top w:val="single" w:sz="4" w:space="0" w:color="000000"/>
              <w:left w:val="single" w:sz="4" w:space="0" w:color="000000"/>
              <w:bottom w:val="single" w:sz="4" w:space="0" w:color="000000"/>
              <w:right w:val="single" w:sz="4" w:space="0" w:color="000000"/>
            </w:tcBorders>
          </w:tcPr>
          <w:p w14:paraId="6D9AD60F" w14:textId="77777777" w:rsidR="008916F9" w:rsidRPr="00510463" w:rsidRDefault="008916F9" w:rsidP="006516C7">
            <w:pPr>
              <w:ind w:right="-1"/>
            </w:pPr>
            <w:r w:rsidRPr="00510463">
              <w:t>3</w:t>
            </w:r>
          </w:p>
        </w:tc>
        <w:tc>
          <w:tcPr>
            <w:tcW w:w="1488" w:type="dxa"/>
            <w:tcBorders>
              <w:top w:val="single" w:sz="4" w:space="0" w:color="000000"/>
              <w:left w:val="single" w:sz="4" w:space="0" w:color="000000"/>
              <w:bottom w:val="single" w:sz="4" w:space="0" w:color="000000"/>
              <w:right w:val="single" w:sz="4" w:space="0" w:color="000000"/>
            </w:tcBorders>
          </w:tcPr>
          <w:p w14:paraId="6812FD6D" w14:textId="77777777" w:rsidR="008916F9" w:rsidRPr="00510463" w:rsidRDefault="008916F9" w:rsidP="006516C7">
            <w:pPr>
              <w:ind w:right="-1"/>
            </w:pPr>
            <w:r w:rsidRPr="00510463">
              <w:t>33.2</w:t>
            </w:r>
          </w:p>
          <w:p w14:paraId="3B9121BA" w14:textId="77777777" w:rsidR="008916F9" w:rsidRPr="00510463" w:rsidRDefault="008916F9" w:rsidP="006516C7">
            <w:pPr>
              <w:ind w:right="-1"/>
            </w:pPr>
            <w:r w:rsidRPr="00510463">
              <w:t>(18.7-99.7)</w:t>
            </w:r>
          </w:p>
        </w:tc>
        <w:tc>
          <w:tcPr>
            <w:tcW w:w="563" w:type="dxa"/>
            <w:tcBorders>
              <w:top w:val="single" w:sz="4" w:space="0" w:color="000000"/>
              <w:left w:val="single" w:sz="4" w:space="0" w:color="000000"/>
              <w:bottom w:val="single" w:sz="4" w:space="0" w:color="000000"/>
              <w:right w:val="single" w:sz="4" w:space="0" w:color="000000"/>
            </w:tcBorders>
          </w:tcPr>
          <w:p w14:paraId="49C7C253" w14:textId="77777777" w:rsidR="008916F9" w:rsidRPr="00510463" w:rsidRDefault="008916F9" w:rsidP="006516C7">
            <w:pPr>
              <w:ind w:right="-1"/>
            </w:pPr>
            <w:r w:rsidRPr="00510463">
              <w:t>23</w:t>
            </w:r>
          </w:p>
        </w:tc>
        <w:tc>
          <w:tcPr>
            <w:tcW w:w="1459" w:type="dxa"/>
            <w:tcBorders>
              <w:top w:val="single" w:sz="4" w:space="0" w:color="000000"/>
              <w:left w:val="single" w:sz="4" w:space="0" w:color="000000"/>
              <w:bottom w:val="single" w:sz="4" w:space="0" w:color="000000"/>
              <w:right w:val="single" w:sz="4" w:space="0" w:color="000000"/>
            </w:tcBorders>
          </w:tcPr>
          <w:p w14:paraId="0F76B742" w14:textId="77777777" w:rsidR="008916F9" w:rsidRPr="00510463" w:rsidRDefault="008916F9" w:rsidP="006516C7">
            <w:pPr>
              <w:ind w:right="-1"/>
            </w:pPr>
            <w:r w:rsidRPr="00510463">
              <w:t>18.7</w:t>
            </w:r>
          </w:p>
          <w:p w14:paraId="58610EEE" w14:textId="77777777" w:rsidR="008916F9" w:rsidRPr="00510463" w:rsidRDefault="008916F9" w:rsidP="006516C7">
            <w:pPr>
              <w:ind w:right="-1"/>
            </w:pPr>
            <w:r w:rsidRPr="00510463">
              <w:t>(10.1-36.5)</w:t>
            </w:r>
          </w:p>
        </w:tc>
        <w:tc>
          <w:tcPr>
            <w:tcW w:w="443" w:type="dxa"/>
            <w:tcBorders>
              <w:top w:val="single" w:sz="4" w:space="0" w:color="000000"/>
              <w:left w:val="single" w:sz="4" w:space="0" w:color="000000"/>
              <w:bottom w:val="single" w:sz="4" w:space="0" w:color="000000"/>
              <w:right w:val="single" w:sz="4" w:space="0" w:color="000000"/>
            </w:tcBorders>
          </w:tcPr>
          <w:p w14:paraId="1E86A3E5" w14:textId="77777777" w:rsidR="008916F9" w:rsidRPr="00510463" w:rsidRDefault="008916F9" w:rsidP="006516C7">
            <w:pPr>
              <w:ind w:right="-1"/>
            </w:pPr>
            <w:r w:rsidRPr="00510463">
              <w:t>12</w:t>
            </w:r>
          </w:p>
        </w:tc>
        <w:tc>
          <w:tcPr>
            <w:tcW w:w="1494" w:type="dxa"/>
            <w:tcBorders>
              <w:top w:val="single" w:sz="4" w:space="0" w:color="000000"/>
              <w:left w:val="single" w:sz="4" w:space="0" w:color="000000"/>
              <w:bottom w:val="single" w:sz="4" w:space="0" w:color="000000"/>
              <w:right w:val="single" w:sz="4" w:space="0" w:color="000000"/>
            </w:tcBorders>
          </w:tcPr>
          <w:p w14:paraId="2E4A3D18" w14:textId="77777777" w:rsidR="008916F9" w:rsidRPr="00510463" w:rsidRDefault="008916F9" w:rsidP="006516C7">
            <w:pPr>
              <w:ind w:right="-1"/>
            </w:pPr>
            <w:r w:rsidRPr="00510463">
              <w:t>21.4</w:t>
            </w:r>
          </w:p>
          <w:p w14:paraId="71167E55" w14:textId="77777777" w:rsidR="008916F9" w:rsidRPr="00510463" w:rsidRDefault="008916F9" w:rsidP="006516C7">
            <w:pPr>
              <w:ind w:right="-1"/>
            </w:pPr>
            <w:r w:rsidRPr="00510463">
              <w:t>(10.5-65.6)</w:t>
            </w:r>
          </w:p>
        </w:tc>
        <w:tc>
          <w:tcPr>
            <w:tcW w:w="437" w:type="dxa"/>
            <w:tcBorders>
              <w:top w:val="single" w:sz="4" w:space="0" w:color="000000"/>
              <w:left w:val="single" w:sz="4" w:space="0" w:color="000000"/>
              <w:bottom w:val="single" w:sz="4" w:space="0" w:color="000000"/>
              <w:right w:val="single" w:sz="4" w:space="0" w:color="000000"/>
            </w:tcBorders>
          </w:tcPr>
          <w:p w14:paraId="06F98110" w14:textId="77777777" w:rsidR="008916F9" w:rsidRPr="00510463" w:rsidRDefault="008916F9" w:rsidP="006516C7">
            <w:pPr>
              <w:ind w:right="-1"/>
            </w:pPr>
            <w:r w:rsidRPr="00510463">
              <w:t>11</w:t>
            </w:r>
          </w:p>
        </w:tc>
        <w:tc>
          <w:tcPr>
            <w:tcW w:w="1708" w:type="dxa"/>
            <w:tcBorders>
              <w:top w:val="single" w:sz="4" w:space="0" w:color="000000"/>
              <w:left w:val="single" w:sz="4" w:space="0" w:color="000000"/>
              <w:bottom w:val="single" w:sz="4" w:space="0" w:color="000000"/>
              <w:right w:val="single" w:sz="4" w:space="0" w:color="000000"/>
            </w:tcBorders>
          </w:tcPr>
          <w:p w14:paraId="2CD8F1CB" w14:textId="77777777" w:rsidR="008916F9" w:rsidRPr="00510463" w:rsidRDefault="008916F9" w:rsidP="006516C7">
            <w:pPr>
              <w:ind w:right="-1"/>
            </w:pPr>
            <w:r w:rsidRPr="00510463">
              <w:t>16.1</w:t>
            </w:r>
          </w:p>
          <w:p w14:paraId="19C0CE51" w14:textId="77777777" w:rsidR="008916F9" w:rsidRPr="00510463" w:rsidRDefault="008916F9" w:rsidP="006516C7">
            <w:pPr>
              <w:ind w:right="-1"/>
            </w:pPr>
            <w:r w:rsidRPr="00510463">
              <w:t>(1.03-33.6)</w:t>
            </w:r>
          </w:p>
        </w:tc>
      </w:tr>
    </w:tbl>
    <w:p w14:paraId="67EF0EE1" w14:textId="5B14BB2C" w:rsidR="008916F9" w:rsidRPr="00510463" w:rsidRDefault="008916F9" w:rsidP="008916F9">
      <w:pPr>
        <w:ind w:left="142" w:right="-1"/>
      </w:pPr>
      <w:r w:rsidRPr="00510463">
        <w:t xml:space="preserve">o.d. = </w:t>
      </w:r>
      <w:r>
        <w:rPr>
          <w:lang w:val="bg-BG"/>
        </w:rPr>
        <w:t>един път дневно</w:t>
      </w:r>
      <w:r w:rsidRPr="00510463">
        <w:t xml:space="preserve">, b.i.d. = </w:t>
      </w:r>
      <w:r>
        <w:rPr>
          <w:lang w:val="bg-BG"/>
        </w:rPr>
        <w:t>два пъти дневно</w:t>
      </w:r>
      <w:r w:rsidRPr="00510463">
        <w:t xml:space="preserve">, t.i.d. </w:t>
      </w:r>
      <w:r>
        <w:rPr>
          <w:lang w:val="bg-BG"/>
        </w:rPr>
        <w:t>три пъти дневно</w:t>
      </w:r>
      <w:r w:rsidRPr="00510463">
        <w:t xml:space="preserve">, n.c. = </w:t>
      </w:r>
      <w:r>
        <w:rPr>
          <w:lang w:val="bg-BG"/>
        </w:rPr>
        <w:t>не е изчислено</w:t>
      </w:r>
    </w:p>
    <w:p w14:paraId="1532F59C" w14:textId="6E54B860" w:rsidR="008916F9" w:rsidRDefault="008916F9" w:rsidP="008916F9">
      <w:r>
        <w:t>Стойности под долната граница на количествено определяне (lower limit of quantification, LLOQ) са заместени с 1/2 LLOQ за изчислението на статистистиката (LLOQ = 0,5 mcg/l).</w:t>
      </w:r>
    </w:p>
    <w:p w14:paraId="2C37B982" w14:textId="77777777" w:rsidR="008916F9" w:rsidRPr="00566CE6" w:rsidRDefault="008916F9" w:rsidP="008916F9"/>
    <w:p w14:paraId="3275EFBC" w14:textId="77777777" w:rsidR="00E54096" w:rsidRPr="00E54096" w:rsidRDefault="00E54096" w:rsidP="00E54096">
      <w:pPr>
        <w:pStyle w:val="Default"/>
        <w:rPr>
          <w:sz w:val="22"/>
          <w:szCs w:val="22"/>
          <w:u w:val="single"/>
        </w:rPr>
      </w:pPr>
      <w:r w:rsidRPr="00E54096">
        <w:rPr>
          <w:sz w:val="22"/>
          <w:szCs w:val="22"/>
          <w:u w:val="single"/>
        </w:rPr>
        <w:t xml:space="preserve">Връзка фармакокинетика-фармакодинамика </w:t>
      </w:r>
    </w:p>
    <w:p w14:paraId="3DEAFDA8" w14:textId="0A1A6296" w:rsidR="004762C7" w:rsidRDefault="00E54096" w:rsidP="00E54096">
      <w:r>
        <w:t xml:space="preserve">Връзката фармакокинетика-фармакодинамика (PK/PD) между плазмената концентрация на ривароксабан и няколко фармакодинамични крайни точки (инхибиране на фактор Xa, PT, aPTT, Heptest) е проучена след прилагане на широк диапазон от дози (5 - 30 mg два пъти на ден). Връзката между концентрацията на ривароксабан и активността на фактор Xa най-добре се </w:t>
      </w:r>
      <w:r>
        <w:lastRenderedPageBreak/>
        <w:t>описва с E</w:t>
      </w:r>
      <w:r>
        <w:rPr>
          <w:rFonts w:ascii="ZWAdobeF" w:hAnsi="ZWAdobeF" w:cs="ZWAdobeF"/>
          <w:sz w:val="2"/>
          <w:szCs w:val="2"/>
        </w:rPr>
        <w:t>R</w:t>
      </w:r>
      <w:r>
        <w:rPr>
          <w:sz w:val="14"/>
          <w:szCs w:val="14"/>
        </w:rPr>
        <w:t>max</w:t>
      </w:r>
      <w:r>
        <w:rPr>
          <w:rFonts w:ascii="ZWAdobeF" w:hAnsi="ZWAdobeF" w:cs="ZWAdobeF"/>
          <w:sz w:val="2"/>
          <w:szCs w:val="2"/>
        </w:rPr>
        <w:t xml:space="preserve">R </w:t>
      </w:r>
      <w:r w:rsidR="00BB24F8">
        <w:rPr>
          <w:rFonts w:asciiTheme="minorHAnsi" w:hAnsiTheme="minorHAnsi" w:cs="ZWAdobeF"/>
          <w:sz w:val="2"/>
          <w:szCs w:val="2"/>
          <w:lang w:val="bg-BG"/>
        </w:rPr>
        <w:t xml:space="preserve"> </w:t>
      </w:r>
      <w:r>
        <w:t>модел. По отношение на PT моделът на линейно пресичане описва данните обикновено по-добре. Наклонът на кривата варира значително в зависимост от различните използвани PT реагенти. При използване на Неопластин PT, PT на изходно ниво е около 13 s, а наклонът около 3 до 4 s/(100 mcg/l). Резултатите от анализа на PK/PD от фаза II и III са сходни с данните, установени при здрави индивиди.</w:t>
      </w:r>
      <w:r w:rsidR="008247CE" w:rsidRPr="008247CE">
        <w:t xml:space="preserve"> </w:t>
      </w:r>
    </w:p>
    <w:p w14:paraId="6E1E0408" w14:textId="77777777" w:rsidR="00E54096" w:rsidRPr="00566CE6" w:rsidRDefault="00E54096" w:rsidP="00E54096"/>
    <w:p w14:paraId="54D3DA87" w14:textId="77777777" w:rsidR="00E54096" w:rsidRPr="00E54096" w:rsidRDefault="00E54096" w:rsidP="00E54096">
      <w:pPr>
        <w:pStyle w:val="Default"/>
        <w:rPr>
          <w:sz w:val="22"/>
          <w:szCs w:val="22"/>
          <w:u w:val="single"/>
        </w:rPr>
      </w:pPr>
      <w:r w:rsidRPr="00E54096">
        <w:rPr>
          <w:sz w:val="22"/>
          <w:szCs w:val="22"/>
          <w:u w:val="single"/>
        </w:rPr>
        <w:t xml:space="preserve">Педиатрична популация </w:t>
      </w:r>
    </w:p>
    <w:p w14:paraId="1CAB200C" w14:textId="4FED507C" w:rsidR="00E54096" w:rsidRDefault="00BB24F8" w:rsidP="00E54096">
      <w:r w:rsidRPr="00BB24F8">
        <w:t>Безопасността и ефикасността не са установени при показанието профилактика на инсулт и системна емболия при пациенти с неклапно предсърдно мъждене при деца и юноши на възраст до 18 години.</w:t>
      </w:r>
    </w:p>
    <w:p w14:paraId="5E359391" w14:textId="77777777" w:rsidR="00BB24F8" w:rsidRPr="00566CE6" w:rsidRDefault="00BB24F8" w:rsidP="00E54096"/>
    <w:p w14:paraId="5AD65307" w14:textId="507557FE" w:rsidR="004762C7" w:rsidRPr="00566CE6" w:rsidRDefault="00030E48">
      <w:pPr>
        <w:tabs>
          <w:tab w:val="left" w:pos="540"/>
        </w:tabs>
      </w:pPr>
      <w:r w:rsidRPr="00566CE6">
        <w:rPr>
          <w:rFonts w:eastAsia="Times New Roman"/>
          <w:b/>
          <w:bCs/>
        </w:rPr>
        <w:t>5.3</w:t>
      </w:r>
      <w:r w:rsidRPr="00566CE6">
        <w:rPr>
          <w:rFonts w:eastAsia="Times New Roman"/>
          <w:b/>
          <w:bCs/>
        </w:rPr>
        <w:tab/>
      </w:r>
      <w:r w:rsidR="00E54096">
        <w:rPr>
          <w:b/>
          <w:bCs/>
        </w:rPr>
        <w:t>Предклинични данни за безопасност</w:t>
      </w:r>
    </w:p>
    <w:p w14:paraId="6B3C2548" w14:textId="77777777" w:rsidR="004762C7" w:rsidRPr="00566CE6" w:rsidRDefault="004762C7" w:rsidP="004B3035"/>
    <w:p w14:paraId="343CD78A" w14:textId="77777777" w:rsidR="00E54096" w:rsidRDefault="00E54096" w:rsidP="004B3035">
      <w:pPr>
        <w:ind w:right="288"/>
      </w:pPr>
      <w:r>
        <w:t xml:space="preserve">Неклиничните данни не показват особен риск за хора на базата на конвенционалните фармакологични изпитвания за безопасност, проучвания за токсичност при еднократно приложение, фототоксичност, генотоксичност, канцерогенен потенциал и ювенилна токсичност. </w:t>
      </w:r>
    </w:p>
    <w:p w14:paraId="0D0CD194" w14:textId="77777777" w:rsidR="00E54096" w:rsidRDefault="00E54096" w:rsidP="00E54096">
      <w:pPr>
        <w:pStyle w:val="Default"/>
        <w:rPr>
          <w:sz w:val="22"/>
          <w:szCs w:val="22"/>
        </w:rPr>
      </w:pPr>
      <w:r>
        <w:rPr>
          <w:sz w:val="22"/>
          <w:szCs w:val="22"/>
        </w:rPr>
        <w:t xml:space="preserve">Ефектите, наблюдавани при изпитванията за токсичност при многократно приложение, са свързани основно със засилената фармакодинамична активност на ривароксабан. При плъхове са наблюдавани повишени плазмени нива на IgG и IgA при нива на експозиция, съответстващи на клиничните. </w:t>
      </w:r>
    </w:p>
    <w:p w14:paraId="688E1930" w14:textId="14CEA004" w:rsidR="004762C7" w:rsidRPr="00E54096" w:rsidRDefault="00E54096" w:rsidP="00E54096">
      <w:pPr>
        <w:ind w:right="288"/>
        <w:rPr>
          <w:rFonts w:eastAsia="Times New Roman"/>
        </w:rPr>
      </w:pPr>
      <w:r>
        <w:t>При плъхове не са наблюдавани ефекти върху фертилитета при мъжките или женските животни. Изпитванията при животни показват репродуктивна токсичност, свързана с фармакологичния механизъм на действие на ривароксабан (напр. хеморагични усложнения). При плазмени нива, съответстващи на клиничните, са наблюдавани ембрио-фетална токсичност (постимплантационна загуба, забавено/стимулирано осифициране, множествени бледи хепатални петна) и повишена честота на най-често срещаните малформации, както и плацентарни промени. При пре- и постнатално проучване при плъхове е наблюдавана намалена виталност на поколението при дози, токсични за майките.</w:t>
      </w:r>
    </w:p>
    <w:p w14:paraId="2E693BA0" w14:textId="2714697E" w:rsidR="004762C7" w:rsidRDefault="004762C7" w:rsidP="004B3035"/>
    <w:p w14:paraId="16214644" w14:textId="03C7F600" w:rsidR="004762C7" w:rsidRDefault="00BB24F8" w:rsidP="004B3035">
      <w:r>
        <w:t xml:space="preserve">Ривароксабан е изследван при ювенилни плъхове при продължителност на лечението до 3 месеца, с начало от постнатален ден 4, което показва повишение на </w:t>
      </w:r>
      <w:r>
        <w:rPr>
          <w:color w:val="1F2023"/>
        </w:rPr>
        <w:t>периинсуларна хеморагия, която не е зависима от дозата</w:t>
      </w:r>
      <w:r>
        <w:t>. Не е наблюдавано доказателство за специфична таргетна органна токсичност.</w:t>
      </w:r>
    </w:p>
    <w:p w14:paraId="293522DC" w14:textId="27CEB938" w:rsidR="00BB24F8" w:rsidRDefault="00BB24F8" w:rsidP="004B3035"/>
    <w:p w14:paraId="40A46E8A" w14:textId="77777777" w:rsidR="00BB24F8" w:rsidRPr="00566CE6" w:rsidRDefault="00BB24F8" w:rsidP="004B3035"/>
    <w:p w14:paraId="159149B7" w14:textId="3E0A7F98" w:rsidR="004762C7" w:rsidRPr="00566CE6" w:rsidRDefault="00E54096" w:rsidP="004114F8">
      <w:pPr>
        <w:numPr>
          <w:ilvl w:val="0"/>
          <w:numId w:val="10"/>
        </w:numPr>
        <w:tabs>
          <w:tab w:val="left" w:pos="562"/>
        </w:tabs>
        <w:ind w:left="562" w:hanging="562"/>
        <w:rPr>
          <w:rFonts w:eastAsia="Times New Roman"/>
          <w:b/>
          <w:bCs/>
        </w:rPr>
      </w:pPr>
      <w:r>
        <w:rPr>
          <w:rFonts w:eastAsia="Times New Roman"/>
          <w:b/>
          <w:bCs/>
          <w:lang w:val="bg-BG"/>
        </w:rPr>
        <w:t>ФАРМАЦЕВТИЧНИ ДАННИ</w:t>
      </w:r>
    </w:p>
    <w:p w14:paraId="01C5AF00" w14:textId="77777777" w:rsidR="004762C7" w:rsidRPr="00566CE6" w:rsidRDefault="004762C7" w:rsidP="004B3035">
      <w:pPr>
        <w:rPr>
          <w:rFonts w:eastAsia="Times New Roman"/>
          <w:b/>
          <w:bCs/>
        </w:rPr>
      </w:pPr>
    </w:p>
    <w:p w14:paraId="17D74B59" w14:textId="4D64CCAD" w:rsidR="004762C7" w:rsidRPr="004A5F12" w:rsidRDefault="00CC13B1">
      <w:pPr>
        <w:tabs>
          <w:tab w:val="left" w:pos="162"/>
        </w:tabs>
        <w:rPr>
          <w:rFonts w:eastAsia="Times New Roman"/>
          <w:b/>
          <w:bCs/>
        </w:rPr>
      </w:pPr>
      <w:r w:rsidRPr="004A5F12">
        <w:rPr>
          <w:rFonts w:eastAsia="Times New Roman"/>
          <w:b/>
          <w:bCs/>
        </w:rPr>
        <w:t xml:space="preserve">6.1  </w:t>
      </w:r>
      <w:r w:rsidR="00281DE0">
        <w:rPr>
          <w:rFonts w:eastAsia="Times New Roman"/>
          <w:b/>
          <w:bCs/>
        </w:rPr>
        <w:t>Списък на помощните вещества</w:t>
      </w:r>
    </w:p>
    <w:p w14:paraId="39725F97" w14:textId="77777777" w:rsidR="004762C7" w:rsidRPr="00566CE6" w:rsidRDefault="004762C7" w:rsidP="004B3035">
      <w:pPr>
        <w:rPr>
          <w:highlight w:val="yellow"/>
        </w:rPr>
      </w:pPr>
    </w:p>
    <w:p w14:paraId="73C9EE8E" w14:textId="6AAB450C" w:rsidR="004762C7" w:rsidRPr="004A5F12" w:rsidRDefault="00281DE0">
      <w:pPr>
        <w:ind w:left="2"/>
      </w:pPr>
      <w:r>
        <w:rPr>
          <w:rFonts w:eastAsia="Times New Roman"/>
          <w:u w:val="single"/>
        </w:rPr>
        <w:t>Ядро на таблетката</w:t>
      </w:r>
    </w:p>
    <w:p w14:paraId="56EBF360" w14:textId="4B12C20A" w:rsidR="00281DE0" w:rsidRDefault="008247CE">
      <w:pPr>
        <w:ind w:left="2"/>
        <w:rPr>
          <w:rFonts w:eastAsia="Times New Roman"/>
        </w:rPr>
      </w:pPr>
      <w:r>
        <w:rPr>
          <w:rFonts w:eastAsia="Times New Roman"/>
          <w:lang w:val="bg-BG"/>
        </w:rPr>
        <w:t>Н</w:t>
      </w:r>
      <w:r w:rsidR="00281DE0" w:rsidRPr="00281DE0">
        <w:rPr>
          <w:rFonts w:eastAsia="Times New Roman"/>
        </w:rPr>
        <w:t xml:space="preserve">атриев лаурилсулфат </w:t>
      </w:r>
    </w:p>
    <w:p w14:paraId="1DF799B8" w14:textId="0BE56C25" w:rsidR="00CC13B1" w:rsidRPr="00281DE0" w:rsidRDefault="00281DE0">
      <w:pPr>
        <w:ind w:left="2"/>
        <w:rPr>
          <w:rFonts w:eastAsia="Times New Roman"/>
          <w:lang w:val="bg-BG"/>
        </w:rPr>
      </w:pPr>
      <w:r>
        <w:rPr>
          <w:rFonts w:eastAsia="Times New Roman"/>
          <w:lang w:val="bg-BG"/>
        </w:rPr>
        <w:t>Лактоза</w:t>
      </w:r>
    </w:p>
    <w:p w14:paraId="3ED0F71E" w14:textId="051312D8" w:rsidR="00CC13B1" w:rsidRPr="004A5F12" w:rsidRDefault="00281DE0">
      <w:pPr>
        <w:ind w:left="2"/>
        <w:rPr>
          <w:rFonts w:eastAsia="Times New Roman"/>
        </w:rPr>
      </w:pPr>
      <w:r>
        <w:rPr>
          <w:rFonts w:eastAsia="Times New Roman"/>
        </w:rPr>
        <w:t>Полоксамер</w:t>
      </w:r>
      <w:r w:rsidR="00CC13B1" w:rsidRPr="004A5F12">
        <w:rPr>
          <w:rFonts w:eastAsia="Times New Roman"/>
        </w:rPr>
        <w:t xml:space="preserve"> 188</w:t>
      </w:r>
    </w:p>
    <w:p w14:paraId="71A51A7A" w14:textId="46EAB5CA" w:rsidR="00CC13B1" w:rsidRPr="004A5F12" w:rsidRDefault="00281DE0">
      <w:pPr>
        <w:ind w:left="2"/>
        <w:rPr>
          <w:rFonts w:eastAsia="Times New Roman"/>
        </w:rPr>
      </w:pPr>
      <w:r>
        <w:rPr>
          <w:rFonts w:eastAsia="Times New Roman"/>
        </w:rPr>
        <w:t>Целулоза, мкрокристална</w:t>
      </w:r>
      <w:r w:rsidR="00CC13B1" w:rsidRPr="004A5F12">
        <w:rPr>
          <w:rFonts w:eastAsia="Times New Roman"/>
        </w:rPr>
        <w:t xml:space="preserve"> (E460)</w:t>
      </w:r>
    </w:p>
    <w:p w14:paraId="65F5BFB1" w14:textId="643C3B8B" w:rsidR="00CC13B1" w:rsidRPr="00281DE0" w:rsidRDefault="00281DE0">
      <w:pPr>
        <w:ind w:left="2"/>
        <w:rPr>
          <w:rFonts w:eastAsia="Times New Roman"/>
          <w:lang w:val="bg-BG"/>
        </w:rPr>
      </w:pPr>
      <w:r>
        <w:rPr>
          <w:rFonts w:eastAsia="Times New Roman"/>
          <w:lang w:val="bg-BG"/>
        </w:rPr>
        <w:t>Кроскарамелоза натрий</w:t>
      </w:r>
    </w:p>
    <w:p w14:paraId="1FC7CF6E" w14:textId="3895E8D3" w:rsidR="00CC13B1" w:rsidRPr="004A5F12" w:rsidRDefault="00281DE0">
      <w:pPr>
        <w:ind w:left="2"/>
        <w:rPr>
          <w:rFonts w:eastAsia="Times New Roman"/>
        </w:rPr>
      </w:pPr>
      <w:r>
        <w:rPr>
          <w:rFonts w:eastAsia="Times New Roman"/>
        </w:rPr>
        <w:t>Магнезиев стеарат</w:t>
      </w:r>
      <w:r w:rsidR="00CC13B1" w:rsidRPr="004A5F12">
        <w:rPr>
          <w:rFonts w:eastAsia="Times New Roman"/>
        </w:rPr>
        <w:t xml:space="preserve"> (E470b)</w:t>
      </w:r>
    </w:p>
    <w:p w14:paraId="4F6D788A" w14:textId="71A5950D" w:rsidR="004762C7" w:rsidRPr="004A5F12" w:rsidRDefault="00281DE0">
      <w:pPr>
        <w:ind w:left="2"/>
      </w:pPr>
      <w:r>
        <w:rPr>
          <w:rFonts w:eastAsia="Times New Roman"/>
        </w:rPr>
        <w:t>Силициев диоксид, колоиден безводен</w:t>
      </w:r>
      <w:r w:rsidR="00CC13B1" w:rsidRPr="004A5F12">
        <w:rPr>
          <w:rFonts w:eastAsia="Times New Roman"/>
        </w:rPr>
        <w:t xml:space="preserve"> (E551)</w:t>
      </w:r>
    </w:p>
    <w:p w14:paraId="35B62E36" w14:textId="77777777" w:rsidR="004762C7" w:rsidRPr="004A5F12" w:rsidRDefault="004762C7" w:rsidP="004B3035"/>
    <w:p w14:paraId="29178C8F" w14:textId="79A9F2AE" w:rsidR="004762C7" w:rsidRPr="00281DE0" w:rsidRDefault="00281DE0">
      <w:pPr>
        <w:ind w:left="2"/>
        <w:rPr>
          <w:lang w:val="bg-BG"/>
        </w:rPr>
      </w:pPr>
      <w:r>
        <w:rPr>
          <w:rFonts w:eastAsia="Times New Roman"/>
          <w:u w:val="single"/>
          <w:lang w:val="bg-BG"/>
        </w:rPr>
        <w:t>Филмово покритие на таблетката</w:t>
      </w:r>
    </w:p>
    <w:p w14:paraId="0778139C" w14:textId="4B9D4797" w:rsidR="00CC13B1" w:rsidRPr="004A5F12" w:rsidRDefault="00281DE0">
      <w:pPr>
        <w:ind w:left="2"/>
        <w:rPr>
          <w:rFonts w:eastAsia="Times New Roman"/>
        </w:rPr>
      </w:pPr>
      <w:r>
        <w:rPr>
          <w:rFonts w:eastAsia="Times New Roman"/>
          <w:lang w:val="bg-BG"/>
        </w:rPr>
        <w:t>Хипромелоза</w:t>
      </w:r>
      <w:r w:rsidR="00CC13B1" w:rsidRPr="004A5F12">
        <w:rPr>
          <w:rFonts w:eastAsia="Times New Roman"/>
        </w:rPr>
        <w:t xml:space="preserve"> (E464)</w:t>
      </w:r>
    </w:p>
    <w:p w14:paraId="2494E9FE" w14:textId="3439EB36" w:rsidR="00CC13B1" w:rsidRPr="004A5F12" w:rsidRDefault="00B617FA">
      <w:pPr>
        <w:ind w:left="2"/>
        <w:rPr>
          <w:rFonts w:eastAsia="Times New Roman"/>
        </w:rPr>
      </w:pPr>
      <w:r>
        <w:rPr>
          <w:rFonts w:eastAsia="Times New Roman"/>
          <w:lang w:val="bg-BG"/>
        </w:rPr>
        <w:lastRenderedPageBreak/>
        <w:t>Титано</w:t>
      </w:r>
      <w:r w:rsidR="00281DE0">
        <w:rPr>
          <w:rFonts w:eastAsia="Times New Roman"/>
          <w:lang w:val="bg-BG"/>
        </w:rPr>
        <w:t>в диоксид</w:t>
      </w:r>
      <w:r w:rsidR="00CC13B1" w:rsidRPr="004A5F12">
        <w:rPr>
          <w:rFonts w:eastAsia="Times New Roman"/>
        </w:rPr>
        <w:t xml:space="preserve"> (E171)</w:t>
      </w:r>
    </w:p>
    <w:p w14:paraId="7FE17017" w14:textId="4AA3AA2D" w:rsidR="00CC13B1" w:rsidRPr="004A5F12" w:rsidRDefault="00281DE0">
      <w:pPr>
        <w:ind w:left="2"/>
        <w:rPr>
          <w:rFonts w:eastAsia="Times New Roman"/>
        </w:rPr>
      </w:pPr>
      <w:r>
        <w:rPr>
          <w:rFonts w:eastAsia="Times New Roman"/>
          <w:lang w:val="bg-BG"/>
        </w:rPr>
        <w:t>Макрогол</w:t>
      </w:r>
      <w:r w:rsidR="00CC13B1" w:rsidRPr="004A5F12">
        <w:rPr>
          <w:rFonts w:eastAsia="Times New Roman"/>
        </w:rPr>
        <w:t xml:space="preserve"> </w:t>
      </w:r>
      <w:r w:rsidR="00BD6A52">
        <w:rPr>
          <w:rFonts w:eastAsia="Times New Roman"/>
          <w:lang w:val="bg-BG"/>
        </w:rPr>
        <w:t>3350</w:t>
      </w:r>
      <w:r w:rsidR="00CC13B1" w:rsidRPr="004A5F12">
        <w:rPr>
          <w:rFonts w:eastAsia="Times New Roman"/>
        </w:rPr>
        <w:t xml:space="preserve"> (E1521)</w:t>
      </w:r>
    </w:p>
    <w:p w14:paraId="069612C0" w14:textId="74EE21B4" w:rsidR="004762C7" w:rsidRPr="00566CE6" w:rsidRDefault="008247CE">
      <w:pPr>
        <w:ind w:left="2"/>
      </w:pPr>
      <w:r>
        <w:rPr>
          <w:rFonts w:eastAsia="Times New Roman"/>
          <w:lang w:val="bg-BG"/>
        </w:rPr>
        <w:t>Железен оксид, червен</w:t>
      </w:r>
      <w:r w:rsidR="00CC13B1" w:rsidRPr="004A5F12">
        <w:rPr>
          <w:rFonts w:eastAsia="Times New Roman"/>
        </w:rPr>
        <w:t xml:space="preserve"> (E172)</w:t>
      </w:r>
    </w:p>
    <w:p w14:paraId="465A14E9" w14:textId="77777777" w:rsidR="004762C7" w:rsidRPr="00566CE6" w:rsidRDefault="004762C7" w:rsidP="004B3035"/>
    <w:p w14:paraId="08E0FB3A" w14:textId="0BEA9B76" w:rsidR="004762C7" w:rsidRPr="00566CE6" w:rsidRDefault="00030E48">
      <w:pPr>
        <w:tabs>
          <w:tab w:val="left" w:pos="541"/>
        </w:tabs>
        <w:ind w:left="2"/>
      </w:pPr>
      <w:r w:rsidRPr="00566CE6">
        <w:rPr>
          <w:rFonts w:eastAsia="Times New Roman"/>
          <w:b/>
          <w:bCs/>
        </w:rPr>
        <w:t>6.2</w:t>
      </w:r>
      <w:r w:rsidRPr="00566CE6">
        <w:rPr>
          <w:rFonts w:eastAsia="Times New Roman"/>
          <w:b/>
          <w:bCs/>
        </w:rPr>
        <w:tab/>
      </w:r>
      <w:r w:rsidR="00281DE0">
        <w:rPr>
          <w:b/>
          <w:bCs/>
        </w:rPr>
        <w:t>Несъвместимости</w:t>
      </w:r>
    </w:p>
    <w:p w14:paraId="3A12859C" w14:textId="77777777" w:rsidR="004762C7" w:rsidRPr="00566CE6" w:rsidRDefault="004762C7" w:rsidP="004B3035"/>
    <w:p w14:paraId="739C8B95" w14:textId="31D6AB70" w:rsidR="004762C7" w:rsidRPr="00566CE6" w:rsidRDefault="00281DE0">
      <w:pPr>
        <w:ind w:left="2"/>
      </w:pPr>
      <w:r>
        <w:rPr>
          <w:rFonts w:eastAsia="Times New Roman"/>
          <w:lang w:val="bg-BG"/>
        </w:rPr>
        <w:t>Неприложимо</w:t>
      </w:r>
      <w:r w:rsidR="00030E48" w:rsidRPr="00566CE6">
        <w:rPr>
          <w:rFonts w:eastAsia="Times New Roman"/>
        </w:rPr>
        <w:t>.</w:t>
      </w:r>
    </w:p>
    <w:p w14:paraId="57A3D222" w14:textId="77777777" w:rsidR="004762C7" w:rsidRPr="00566CE6" w:rsidRDefault="004762C7" w:rsidP="004B3035"/>
    <w:p w14:paraId="42C137B2" w14:textId="13CB643D" w:rsidR="004762C7" w:rsidRPr="00566CE6" w:rsidRDefault="00030E48">
      <w:pPr>
        <w:tabs>
          <w:tab w:val="left" w:pos="541"/>
        </w:tabs>
        <w:ind w:left="2"/>
      </w:pPr>
      <w:r w:rsidRPr="00566CE6">
        <w:rPr>
          <w:rFonts w:eastAsia="Times New Roman"/>
          <w:b/>
          <w:bCs/>
        </w:rPr>
        <w:t>6.3</w:t>
      </w:r>
      <w:r w:rsidRPr="00566CE6">
        <w:tab/>
      </w:r>
      <w:r w:rsidR="00281DE0">
        <w:rPr>
          <w:rFonts w:eastAsia="Times New Roman"/>
          <w:b/>
          <w:bCs/>
        </w:rPr>
        <w:t>Срок на годност</w:t>
      </w:r>
    </w:p>
    <w:p w14:paraId="09827D3C" w14:textId="77777777" w:rsidR="004762C7" w:rsidRPr="00566CE6" w:rsidRDefault="004762C7" w:rsidP="004B3035"/>
    <w:p w14:paraId="6E0B2AE7" w14:textId="3C62C2AE" w:rsidR="004762C7" w:rsidRPr="00566CE6" w:rsidRDefault="00281DE0">
      <w:pPr>
        <w:ind w:left="2"/>
      </w:pPr>
      <w:r>
        <w:rPr>
          <w:rFonts w:eastAsia="Times New Roman"/>
        </w:rPr>
        <w:t>3 години</w:t>
      </w:r>
    </w:p>
    <w:p w14:paraId="3D79E464" w14:textId="77777777" w:rsidR="004762C7" w:rsidRPr="00566CE6" w:rsidRDefault="004762C7" w:rsidP="004B3035"/>
    <w:p w14:paraId="083BAF91" w14:textId="4C40C200" w:rsidR="004762C7" w:rsidRPr="00566CE6" w:rsidRDefault="00030E48">
      <w:pPr>
        <w:tabs>
          <w:tab w:val="left" w:pos="541"/>
        </w:tabs>
        <w:ind w:left="2"/>
      </w:pPr>
      <w:r w:rsidRPr="00566CE6">
        <w:rPr>
          <w:rFonts w:eastAsia="Times New Roman"/>
          <w:b/>
          <w:bCs/>
        </w:rPr>
        <w:t>6.4</w:t>
      </w:r>
      <w:r w:rsidRPr="00566CE6">
        <w:tab/>
      </w:r>
      <w:r w:rsidR="00281DE0">
        <w:rPr>
          <w:rFonts w:eastAsia="Times New Roman"/>
          <w:b/>
          <w:bCs/>
        </w:rPr>
        <w:t>Специални условия на съхранение</w:t>
      </w:r>
    </w:p>
    <w:p w14:paraId="74CAFBFB" w14:textId="77777777" w:rsidR="004762C7" w:rsidRPr="00566CE6" w:rsidRDefault="004762C7" w:rsidP="004B3035"/>
    <w:p w14:paraId="4F30B51D" w14:textId="340A57BD" w:rsidR="004762C7" w:rsidRDefault="00281DE0" w:rsidP="004B3035">
      <w:r>
        <w:t>Този лекарствен продукт не изисква специални условия на съхранение.</w:t>
      </w:r>
    </w:p>
    <w:p w14:paraId="0BD4BA04" w14:textId="77777777" w:rsidR="00281DE0" w:rsidRPr="00566CE6" w:rsidRDefault="00281DE0" w:rsidP="004B3035"/>
    <w:p w14:paraId="1AA0FB3F" w14:textId="01C3571C" w:rsidR="004762C7" w:rsidRPr="004A5F12" w:rsidRDefault="00030E48">
      <w:pPr>
        <w:tabs>
          <w:tab w:val="left" w:pos="541"/>
        </w:tabs>
        <w:ind w:left="2"/>
      </w:pPr>
      <w:r w:rsidRPr="004A5F12">
        <w:rPr>
          <w:rFonts w:eastAsia="Times New Roman"/>
          <w:b/>
          <w:bCs/>
        </w:rPr>
        <w:t>6.5</w:t>
      </w:r>
      <w:r w:rsidRPr="004A5F12">
        <w:rPr>
          <w:rFonts w:eastAsia="Times New Roman"/>
          <w:b/>
          <w:bCs/>
        </w:rPr>
        <w:tab/>
      </w:r>
      <w:r w:rsidR="007B2EE2" w:rsidRPr="007B2EE2">
        <w:rPr>
          <w:rFonts w:eastAsia="Times New Roman"/>
          <w:b/>
          <w:bCs/>
        </w:rPr>
        <w:t>Вид и съдържание на опаковката</w:t>
      </w:r>
    </w:p>
    <w:p w14:paraId="2CD34DF8" w14:textId="6A520CBB" w:rsidR="004762C7" w:rsidRDefault="004762C7" w:rsidP="004B3035">
      <w:pPr>
        <w:rPr>
          <w:highlight w:val="yellow"/>
          <w:lang w:val="bg-BG"/>
        </w:rPr>
      </w:pPr>
    </w:p>
    <w:p w14:paraId="68BF3EB1" w14:textId="39626703" w:rsidR="00BB24F8" w:rsidRPr="00BB24F8" w:rsidRDefault="00BB24F8" w:rsidP="00B7076E">
      <w:pPr>
        <w:shd w:val="clear" w:color="auto" w:fill="D9D9D9" w:themeFill="background1" w:themeFillShade="D9"/>
        <w:rPr>
          <w:i/>
          <w:lang w:val="bg-BG"/>
        </w:rPr>
      </w:pPr>
      <w:r w:rsidRPr="00BB24F8">
        <w:rPr>
          <w:i/>
          <w:lang w:val="bg-BG"/>
        </w:rPr>
        <w:t xml:space="preserve">Руфиксало 15 </w:t>
      </w:r>
      <w:r w:rsidRPr="00BB24F8">
        <w:rPr>
          <w:i/>
        </w:rPr>
        <w:t xml:space="preserve">mg </w:t>
      </w:r>
      <w:r w:rsidRPr="00BB24F8">
        <w:rPr>
          <w:i/>
          <w:lang w:val="bg-BG"/>
        </w:rPr>
        <w:t>филмирани таблетки:</w:t>
      </w:r>
    </w:p>
    <w:p w14:paraId="4162F1C5" w14:textId="53B38738" w:rsidR="00CC13B1" w:rsidRDefault="007B2EE2">
      <w:pPr>
        <w:ind w:left="2"/>
        <w:rPr>
          <w:rFonts w:eastAsia="Times New Roman"/>
        </w:rPr>
      </w:pPr>
      <w:r>
        <w:rPr>
          <w:rFonts w:eastAsia="Times New Roman"/>
        </w:rPr>
        <w:t>Алуминиеви PVC/PE/PVdC блистери</w:t>
      </w:r>
      <w:r w:rsidR="00CC13B1" w:rsidRPr="004A5F12">
        <w:rPr>
          <w:rFonts w:eastAsia="Times New Roman"/>
        </w:rPr>
        <w:t xml:space="preserve"> </w:t>
      </w:r>
      <w:r>
        <w:rPr>
          <w:rFonts w:eastAsia="Times New Roman"/>
          <w:lang w:val="bg-BG"/>
        </w:rPr>
        <w:t xml:space="preserve">в картонени опаковки от </w:t>
      </w:r>
      <w:r w:rsidR="00BB24F8">
        <w:rPr>
          <w:rFonts w:eastAsia="Times New Roman"/>
        </w:rPr>
        <w:t>28 или 42</w:t>
      </w:r>
      <w:r w:rsidR="004A5F12" w:rsidRPr="00263E07">
        <w:rPr>
          <w:rFonts w:eastAsia="Times New Roman"/>
        </w:rPr>
        <w:t xml:space="preserve"> </w:t>
      </w:r>
      <w:r>
        <w:rPr>
          <w:rFonts w:eastAsia="Times New Roman"/>
        </w:rPr>
        <w:t>филмирани таблетки</w:t>
      </w:r>
      <w:r w:rsidR="00263E07" w:rsidRPr="00263E07">
        <w:rPr>
          <w:rFonts w:eastAsia="Times New Roman"/>
        </w:rPr>
        <w:t>.</w:t>
      </w:r>
    </w:p>
    <w:p w14:paraId="617878C2" w14:textId="13ABF29C" w:rsidR="008247CE" w:rsidRDefault="008247CE">
      <w:pPr>
        <w:ind w:left="2"/>
        <w:rPr>
          <w:rFonts w:eastAsia="Times New Roman"/>
        </w:rPr>
      </w:pPr>
    </w:p>
    <w:p w14:paraId="1436B335" w14:textId="03C4619C" w:rsidR="00BB24F8" w:rsidRDefault="00BB24F8" w:rsidP="00B7076E">
      <w:pPr>
        <w:shd w:val="clear" w:color="auto" w:fill="D9D9D9" w:themeFill="background1" w:themeFillShade="D9"/>
        <w:ind w:left="2"/>
        <w:rPr>
          <w:rFonts w:eastAsia="Times New Roman"/>
          <w:lang w:val="bg-BG"/>
        </w:rPr>
      </w:pPr>
      <w:r w:rsidRPr="00BB24F8">
        <w:rPr>
          <w:i/>
          <w:lang w:val="bg-BG"/>
        </w:rPr>
        <w:t>Р</w:t>
      </w:r>
      <w:r>
        <w:rPr>
          <w:i/>
          <w:lang w:val="bg-BG"/>
        </w:rPr>
        <w:t>уфиксало 20</w:t>
      </w:r>
      <w:r w:rsidRPr="00BB24F8">
        <w:rPr>
          <w:i/>
          <w:lang w:val="bg-BG"/>
        </w:rPr>
        <w:t xml:space="preserve"> </w:t>
      </w:r>
      <w:r w:rsidRPr="00BB24F8">
        <w:rPr>
          <w:i/>
        </w:rPr>
        <w:t xml:space="preserve">mg </w:t>
      </w:r>
      <w:r w:rsidRPr="00BB24F8">
        <w:rPr>
          <w:i/>
          <w:lang w:val="bg-BG"/>
        </w:rPr>
        <w:t>филмирани таблетки</w:t>
      </w:r>
      <w:r w:rsidR="00480BC7">
        <w:rPr>
          <w:rFonts w:eastAsia="Times New Roman"/>
          <w:lang w:val="bg-BG"/>
        </w:rPr>
        <w:t>:</w:t>
      </w:r>
    </w:p>
    <w:p w14:paraId="284C0967" w14:textId="73EFD5A9" w:rsidR="00BB24F8" w:rsidRDefault="00BB24F8" w:rsidP="00B7076E">
      <w:pPr>
        <w:shd w:val="clear" w:color="auto" w:fill="D9D9D9" w:themeFill="background1" w:themeFillShade="D9"/>
        <w:ind w:left="2"/>
        <w:rPr>
          <w:rFonts w:eastAsia="Times New Roman"/>
        </w:rPr>
      </w:pPr>
      <w:r>
        <w:rPr>
          <w:rFonts w:eastAsia="Times New Roman"/>
        </w:rPr>
        <w:t>Алуминиеви PVC/PE/PVdC блистери</w:t>
      </w:r>
      <w:r w:rsidRPr="004A5F12">
        <w:rPr>
          <w:rFonts w:eastAsia="Times New Roman"/>
        </w:rPr>
        <w:t xml:space="preserve"> </w:t>
      </w:r>
      <w:r>
        <w:rPr>
          <w:rFonts w:eastAsia="Times New Roman"/>
          <w:lang w:val="bg-BG"/>
        </w:rPr>
        <w:t xml:space="preserve">в картонени опаковки от </w:t>
      </w:r>
      <w:r>
        <w:rPr>
          <w:rFonts w:eastAsia="Times New Roman"/>
        </w:rPr>
        <w:t>28 филмирани таблетки</w:t>
      </w:r>
      <w:r w:rsidRPr="00263E07">
        <w:rPr>
          <w:rFonts w:eastAsia="Times New Roman"/>
        </w:rPr>
        <w:t>.</w:t>
      </w:r>
    </w:p>
    <w:p w14:paraId="5FED597A" w14:textId="77777777" w:rsidR="00BB24F8" w:rsidRDefault="00BB24F8">
      <w:pPr>
        <w:ind w:left="2"/>
        <w:rPr>
          <w:rFonts w:eastAsia="Times New Roman"/>
          <w:lang w:val="bg-BG"/>
        </w:rPr>
      </w:pPr>
    </w:p>
    <w:p w14:paraId="4687136D" w14:textId="6A8FB7CB" w:rsidR="008247CE" w:rsidRPr="008247CE" w:rsidRDefault="008247CE">
      <w:pPr>
        <w:ind w:left="2"/>
        <w:rPr>
          <w:rFonts w:eastAsia="Times New Roman"/>
          <w:highlight w:val="yellow"/>
          <w:lang w:val="bg-BG"/>
        </w:rPr>
      </w:pPr>
    </w:p>
    <w:p w14:paraId="0BE1E1C5" w14:textId="2E6A23A8" w:rsidR="004762C7" w:rsidRPr="00566CE6" w:rsidRDefault="004762C7">
      <w:pPr>
        <w:ind w:left="2"/>
      </w:pPr>
    </w:p>
    <w:p w14:paraId="235D7E9D" w14:textId="291A43C3" w:rsidR="004762C7" w:rsidRDefault="00030E48" w:rsidP="007B2EE2">
      <w:pPr>
        <w:tabs>
          <w:tab w:val="left" w:pos="541"/>
        </w:tabs>
        <w:ind w:left="2"/>
        <w:rPr>
          <w:b/>
          <w:bCs/>
        </w:rPr>
      </w:pPr>
      <w:r w:rsidRPr="00566CE6">
        <w:rPr>
          <w:rFonts w:eastAsia="Times New Roman"/>
          <w:b/>
          <w:bCs/>
        </w:rPr>
        <w:t>6.6</w:t>
      </w:r>
      <w:r w:rsidRPr="00566CE6">
        <w:rPr>
          <w:rFonts w:eastAsia="Times New Roman"/>
          <w:b/>
          <w:bCs/>
        </w:rPr>
        <w:tab/>
      </w:r>
      <w:r w:rsidR="007B2EE2" w:rsidRPr="007B2EE2">
        <w:rPr>
          <w:b/>
          <w:bCs/>
        </w:rPr>
        <w:t>Специални предпазни мерки при изхвърляне и работа</w:t>
      </w:r>
    </w:p>
    <w:p w14:paraId="6FA64D21" w14:textId="77777777" w:rsidR="007B2EE2" w:rsidRPr="00566CE6" w:rsidRDefault="007B2EE2" w:rsidP="007B2EE2">
      <w:pPr>
        <w:tabs>
          <w:tab w:val="left" w:pos="541"/>
        </w:tabs>
        <w:ind w:left="2"/>
      </w:pPr>
    </w:p>
    <w:p w14:paraId="54CF1869" w14:textId="738BBDE4" w:rsidR="004762C7" w:rsidRDefault="007B2EE2" w:rsidP="004B3035">
      <w:pPr>
        <w:ind w:left="2" w:right="620"/>
        <w:rPr>
          <w:rFonts w:eastAsia="Times New Roman"/>
        </w:rPr>
      </w:pPr>
      <w:r>
        <w:rPr>
          <w:rFonts w:eastAsia="Times New Roman"/>
          <w:lang w:val="bg-BG"/>
        </w:rPr>
        <w:t>Неизползваният лека</w:t>
      </w:r>
      <w:r w:rsidR="00243D16">
        <w:rPr>
          <w:rFonts w:eastAsia="Times New Roman"/>
          <w:lang w:val="bg-BG"/>
        </w:rPr>
        <w:t xml:space="preserve">рствен продукт или отпадъчните </w:t>
      </w:r>
      <w:r>
        <w:rPr>
          <w:rFonts w:eastAsia="Times New Roman"/>
          <w:lang w:val="bg-BG"/>
        </w:rPr>
        <w:t>материали от него трябва да се изхвърлят в съответвие с местните изисквания</w:t>
      </w:r>
      <w:r w:rsidR="00030E48" w:rsidRPr="00566CE6">
        <w:rPr>
          <w:rFonts w:eastAsia="Times New Roman"/>
        </w:rPr>
        <w:t>.</w:t>
      </w:r>
    </w:p>
    <w:p w14:paraId="27E86A02" w14:textId="76905ACF" w:rsidR="008104F6" w:rsidRDefault="008104F6" w:rsidP="004B3035">
      <w:pPr>
        <w:ind w:left="2" w:right="620"/>
        <w:rPr>
          <w:rFonts w:eastAsia="Times New Roman"/>
        </w:rPr>
      </w:pPr>
    </w:p>
    <w:p w14:paraId="778C662B" w14:textId="77777777" w:rsidR="00A6366E" w:rsidRPr="00A6366E" w:rsidRDefault="00A6366E" w:rsidP="00A6366E">
      <w:pPr>
        <w:pStyle w:val="Default"/>
        <w:rPr>
          <w:sz w:val="22"/>
          <w:szCs w:val="22"/>
          <w:u w:val="single"/>
        </w:rPr>
      </w:pPr>
      <w:r w:rsidRPr="00A6366E">
        <w:rPr>
          <w:sz w:val="22"/>
          <w:szCs w:val="22"/>
          <w:u w:val="single"/>
        </w:rPr>
        <w:t xml:space="preserve">Разтрошаване на таблетките </w:t>
      </w:r>
    </w:p>
    <w:p w14:paraId="1A379DDA" w14:textId="1FE1484F" w:rsidR="008104F6" w:rsidRDefault="00A6366E" w:rsidP="00A6366E">
      <w:pPr>
        <w:ind w:left="2" w:right="620"/>
      </w:pPr>
      <w:r>
        <w:t xml:space="preserve">Таблетките ривароксабан могат да се разтрошат и да се суспендират в 50 ml вода, и да се приложат чрез назогастрална сонда или стомашна сонда за хранене след потвърждение, че сондата е разположена в стомаха. След това сондата трябва да се промие с вода. Тъй като абсорбцията на ривароксабан зависи от мястото на освобождаване на активното вещество, трябва да се избягва приложение на ривароксабан дистално от стомаха, тъй като това може да доведе до намалена абсорбция и </w:t>
      </w:r>
      <w:r w:rsidR="00BD6A52">
        <w:rPr>
          <w:lang w:val="bg-BG"/>
        </w:rPr>
        <w:t>вследствие</w:t>
      </w:r>
      <w:r>
        <w:t xml:space="preserve"> </w:t>
      </w:r>
      <w:r w:rsidR="00BD6A52">
        <w:rPr>
          <w:lang w:val="bg-BG"/>
        </w:rPr>
        <w:t xml:space="preserve">на </w:t>
      </w:r>
      <w:r>
        <w:t xml:space="preserve">това до намалена експозиция на активното вещество. </w:t>
      </w:r>
      <w:r w:rsidR="00BB24F8">
        <w:t>След приложение на разтрошена таблетка ривароксабан 15 mg или 20 mg, приемът на дозата в такъв случай трябва веднага да бъде последван от ентерално хранене.</w:t>
      </w:r>
    </w:p>
    <w:p w14:paraId="00FAE443" w14:textId="77777777" w:rsidR="004C42F1" w:rsidRPr="004D42D8" w:rsidRDefault="004C42F1" w:rsidP="004B3035">
      <w:pPr>
        <w:ind w:left="2" w:right="620"/>
      </w:pPr>
    </w:p>
    <w:p w14:paraId="2B5EF650" w14:textId="42602875" w:rsidR="00CC6E6C" w:rsidRPr="00243D16" w:rsidRDefault="00A6366E" w:rsidP="004114F8">
      <w:pPr>
        <w:numPr>
          <w:ilvl w:val="0"/>
          <w:numId w:val="11"/>
        </w:numPr>
        <w:tabs>
          <w:tab w:val="left" w:pos="562"/>
        </w:tabs>
        <w:ind w:left="562" w:hanging="562"/>
        <w:rPr>
          <w:rFonts w:eastAsia="Times New Roman"/>
          <w:b/>
          <w:bCs/>
        </w:rPr>
      </w:pPr>
      <w:bookmarkStart w:id="10" w:name="page25"/>
      <w:bookmarkEnd w:id="10"/>
      <w:r w:rsidRPr="00243D16">
        <w:rPr>
          <w:b/>
          <w:bCs/>
        </w:rPr>
        <w:t xml:space="preserve">ПРИТЕЖАТЕЛ НА РАЗРЕШЕНИЕТО ЗА УПОТРЕБА </w:t>
      </w:r>
    </w:p>
    <w:p w14:paraId="5668709D" w14:textId="6658D0A0" w:rsidR="004762C7" w:rsidRDefault="004762C7" w:rsidP="004B3035">
      <w:pPr>
        <w:rPr>
          <w:rFonts w:eastAsia="Times New Roman"/>
          <w:bCs/>
        </w:rPr>
      </w:pPr>
    </w:p>
    <w:p w14:paraId="18DD92C3" w14:textId="77777777" w:rsidR="00A6366E" w:rsidRDefault="00A6366E" w:rsidP="00A6366E">
      <w:r>
        <w:t xml:space="preserve">Alkaloid-INT d.o.o, </w:t>
      </w:r>
    </w:p>
    <w:p w14:paraId="0754138B" w14:textId="77777777" w:rsidR="00A6366E" w:rsidRDefault="00A6366E" w:rsidP="00A6366E">
      <w:r>
        <w:t xml:space="preserve">Šlandrova ulica 4, </w:t>
      </w:r>
    </w:p>
    <w:p w14:paraId="3F7E60A9" w14:textId="77777777" w:rsidR="00A6366E" w:rsidRDefault="00A6366E" w:rsidP="00A6366E">
      <w:pPr>
        <w:rPr>
          <w:noProof/>
        </w:rPr>
      </w:pPr>
      <w:r>
        <w:t>1231 Ljubljana – Črnuče</w:t>
      </w:r>
    </w:p>
    <w:p w14:paraId="6E4F10D4" w14:textId="77777777" w:rsidR="00A6366E" w:rsidRPr="002A63ED" w:rsidRDefault="00A6366E" w:rsidP="00A6366E">
      <w:pPr>
        <w:rPr>
          <w:noProof/>
        </w:rPr>
      </w:pPr>
      <w:r>
        <w:t>Словения</w:t>
      </w:r>
    </w:p>
    <w:p w14:paraId="6A458242" w14:textId="77777777" w:rsidR="00A6366E" w:rsidRDefault="00A6366E" w:rsidP="00A6366E">
      <w:pPr>
        <w:numPr>
          <w:ilvl w:val="12"/>
          <w:numId w:val="0"/>
        </w:numPr>
        <w:ind w:right="-2"/>
        <w:jc w:val="both"/>
        <w:rPr>
          <w:noProof/>
        </w:rPr>
      </w:pPr>
      <w:r>
        <w:t>телефон: + 386 1 300 42 90</w:t>
      </w:r>
    </w:p>
    <w:p w14:paraId="07A317E3" w14:textId="77777777" w:rsidR="00A6366E" w:rsidRPr="002A63ED" w:rsidRDefault="00A6366E" w:rsidP="00A6366E">
      <w:pPr>
        <w:numPr>
          <w:ilvl w:val="12"/>
          <w:numId w:val="0"/>
        </w:numPr>
        <w:ind w:right="-2"/>
        <w:jc w:val="both"/>
        <w:rPr>
          <w:noProof/>
        </w:rPr>
      </w:pPr>
      <w:r>
        <w:t>факс: + 386 1 300 42 91</w:t>
      </w:r>
      <w:bookmarkStart w:id="11" w:name="_GoBack"/>
      <w:bookmarkEnd w:id="11"/>
    </w:p>
    <w:p w14:paraId="16D82740" w14:textId="77777777" w:rsidR="00A6366E" w:rsidRPr="002A63ED" w:rsidRDefault="00A6366E" w:rsidP="00A6366E">
      <w:pPr>
        <w:numPr>
          <w:ilvl w:val="12"/>
          <w:numId w:val="0"/>
        </w:numPr>
        <w:ind w:right="-2"/>
        <w:jc w:val="both"/>
        <w:rPr>
          <w:noProof/>
        </w:rPr>
      </w:pPr>
      <w:r>
        <w:t xml:space="preserve">имейл: info@alkaloid.si </w:t>
      </w:r>
    </w:p>
    <w:p w14:paraId="78486935" w14:textId="77777777" w:rsidR="00A6366E" w:rsidRDefault="00A6366E" w:rsidP="004B3035"/>
    <w:p w14:paraId="7FB524CD" w14:textId="77777777" w:rsidR="00CC6E6C" w:rsidRPr="00CC6E6C" w:rsidRDefault="00CC6E6C" w:rsidP="004B3035"/>
    <w:p w14:paraId="54BE33AA" w14:textId="19909BF9" w:rsidR="00CC6E6C" w:rsidRPr="00243D16" w:rsidRDefault="00A6366E" w:rsidP="004114F8">
      <w:pPr>
        <w:numPr>
          <w:ilvl w:val="0"/>
          <w:numId w:val="12"/>
        </w:numPr>
        <w:tabs>
          <w:tab w:val="left" w:pos="562"/>
        </w:tabs>
        <w:ind w:left="562" w:hanging="562"/>
        <w:rPr>
          <w:rFonts w:eastAsia="Times New Roman"/>
          <w:b/>
          <w:bCs/>
        </w:rPr>
      </w:pPr>
      <w:r w:rsidRPr="00243D16">
        <w:rPr>
          <w:b/>
          <w:bCs/>
        </w:rPr>
        <w:t xml:space="preserve">НОМЕР(А) НА РАЗРЕШЕНИЕТО ЗА УПОТРЕБА </w:t>
      </w:r>
    </w:p>
    <w:p w14:paraId="2C10FDBA" w14:textId="77777777" w:rsidR="00CC6E6C" w:rsidRPr="00CC6E6C" w:rsidRDefault="00CC6E6C">
      <w:pPr>
        <w:tabs>
          <w:tab w:val="left" w:pos="562"/>
        </w:tabs>
        <w:rPr>
          <w:rFonts w:eastAsia="Times New Roman"/>
          <w:bCs/>
        </w:rPr>
      </w:pPr>
    </w:p>
    <w:p w14:paraId="4A19986C" w14:textId="25FF323A" w:rsidR="00E86BA7" w:rsidRDefault="00E86BA7" w:rsidP="00E86BA7">
      <w:pPr>
        <w:ind w:left="2"/>
        <w:rPr>
          <w:lang w:val="bg-BG"/>
        </w:rPr>
      </w:pPr>
      <w:r>
        <w:rPr>
          <w:rFonts w:eastAsia="Times New Roman"/>
          <w:lang w:val="bg-BG"/>
        </w:rPr>
        <w:t xml:space="preserve">Руфиксало 15 </w:t>
      </w:r>
      <w:r>
        <w:rPr>
          <w:rFonts w:eastAsia="Times New Roman"/>
        </w:rPr>
        <w:t xml:space="preserve">mg </w:t>
      </w:r>
      <w:r>
        <w:rPr>
          <w:rFonts w:eastAsia="Times New Roman"/>
          <w:lang w:val="bg-BG"/>
        </w:rPr>
        <w:t>фимлирани таблетки</w:t>
      </w:r>
      <w:r>
        <w:rPr>
          <w:rFonts w:eastAsia="Times New Roman"/>
          <w:lang w:val="bg-BG"/>
        </w:rPr>
        <w:t xml:space="preserve"> </w:t>
      </w:r>
      <w:r>
        <w:rPr>
          <w:rFonts w:eastAsia="Times New Roman"/>
          <w:lang w:val="bg-BG"/>
        </w:rPr>
        <w:tab/>
      </w:r>
      <w:r>
        <w:rPr>
          <w:lang w:val="bg-BG"/>
        </w:rPr>
        <w:t>Рег.№ 20230022</w:t>
      </w:r>
    </w:p>
    <w:p w14:paraId="4A368FF8" w14:textId="4C62917E" w:rsidR="00E86BA7" w:rsidRDefault="00E86BA7" w:rsidP="00E86BA7">
      <w:pPr>
        <w:ind w:left="2"/>
        <w:rPr>
          <w:lang w:val="bg-BG"/>
        </w:rPr>
      </w:pPr>
      <w:r>
        <w:rPr>
          <w:rFonts w:eastAsia="Times New Roman"/>
          <w:lang w:val="bg-BG"/>
        </w:rPr>
        <w:t>Руфиксало 20</w:t>
      </w:r>
      <w:r>
        <w:rPr>
          <w:rFonts w:eastAsia="Times New Roman"/>
          <w:lang w:val="bg-BG"/>
        </w:rPr>
        <w:t xml:space="preserve"> </w:t>
      </w:r>
      <w:r>
        <w:rPr>
          <w:rFonts w:eastAsia="Times New Roman"/>
        </w:rPr>
        <w:t xml:space="preserve">mg </w:t>
      </w:r>
      <w:r>
        <w:rPr>
          <w:rFonts w:eastAsia="Times New Roman"/>
          <w:lang w:val="bg-BG"/>
        </w:rPr>
        <w:t>фимлирани таблетки</w:t>
      </w:r>
      <w:r>
        <w:rPr>
          <w:rFonts w:eastAsia="Times New Roman"/>
          <w:lang w:val="bg-BG"/>
        </w:rPr>
        <w:tab/>
      </w:r>
      <w:r>
        <w:rPr>
          <w:lang w:val="bg-BG"/>
        </w:rPr>
        <w:t>Рег.№</w:t>
      </w:r>
      <w:r>
        <w:rPr>
          <w:lang w:val="bg-BG"/>
        </w:rPr>
        <w:t xml:space="preserve"> 20230023</w:t>
      </w:r>
    </w:p>
    <w:p w14:paraId="7C747C64" w14:textId="77777777" w:rsidR="00E86BA7" w:rsidRPr="00E86BA7" w:rsidRDefault="00E86BA7" w:rsidP="00E86BA7">
      <w:pPr>
        <w:ind w:left="2"/>
        <w:rPr>
          <w:rFonts w:eastAsia="Times New Roman"/>
          <w:lang w:val="bg-BG"/>
        </w:rPr>
      </w:pPr>
    </w:p>
    <w:p w14:paraId="6A275734" w14:textId="054654DB" w:rsidR="004762C7" w:rsidRDefault="00A6366E" w:rsidP="004114F8">
      <w:pPr>
        <w:numPr>
          <w:ilvl w:val="0"/>
          <w:numId w:val="13"/>
        </w:numPr>
        <w:tabs>
          <w:tab w:val="left" w:pos="562"/>
        </w:tabs>
        <w:ind w:left="562" w:hanging="561"/>
        <w:rPr>
          <w:rFonts w:eastAsia="Times New Roman"/>
          <w:b/>
          <w:bCs/>
        </w:rPr>
      </w:pPr>
      <w:r>
        <w:rPr>
          <w:b/>
          <w:bCs/>
        </w:rPr>
        <w:t xml:space="preserve">ДАТА НА ПЪРВО РАЗРЕШАВАНЕ/ПОДНОВЯВАНЕ НА РАЗРЕШЕНИЕТО ЗА УПОТРЕБА </w:t>
      </w:r>
    </w:p>
    <w:p w14:paraId="02495D55" w14:textId="77777777" w:rsidR="00CC6E6C" w:rsidRPr="00CC6E6C" w:rsidRDefault="00CC6E6C">
      <w:pPr>
        <w:tabs>
          <w:tab w:val="left" w:pos="562"/>
        </w:tabs>
        <w:rPr>
          <w:rFonts w:eastAsia="Times New Roman"/>
          <w:bCs/>
        </w:rPr>
      </w:pPr>
    </w:p>
    <w:p w14:paraId="0288F25C" w14:textId="606CB47E" w:rsidR="00A6366E" w:rsidRDefault="00E86BA7" w:rsidP="00A6366E">
      <w:pPr>
        <w:pStyle w:val="Default"/>
        <w:rPr>
          <w:sz w:val="22"/>
          <w:szCs w:val="22"/>
        </w:rPr>
      </w:pPr>
      <w:r>
        <w:rPr>
          <w:sz w:val="22"/>
          <w:szCs w:val="22"/>
        </w:rPr>
        <w:t>Дата на първо разрешаване: 01.02.2023</w:t>
      </w:r>
    </w:p>
    <w:p w14:paraId="0F8F0884" w14:textId="16403E2A" w:rsidR="00CC6E6C" w:rsidRPr="00CC6E6C" w:rsidRDefault="00A6366E" w:rsidP="00A6366E">
      <w:pPr>
        <w:tabs>
          <w:tab w:val="left" w:pos="562"/>
        </w:tabs>
        <w:rPr>
          <w:rFonts w:eastAsia="Times New Roman"/>
          <w:bCs/>
        </w:rPr>
      </w:pPr>
      <w:r>
        <w:t xml:space="preserve">Дата на последно подновяване: </w:t>
      </w:r>
    </w:p>
    <w:p w14:paraId="7D466958" w14:textId="77777777" w:rsidR="004762C7" w:rsidRDefault="004762C7" w:rsidP="004B3035"/>
    <w:p w14:paraId="11445A6B" w14:textId="77777777" w:rsidR="00CC6E6C" w:rsidRPr="00CC6E6C" w:rsidRDefault="00CC6E6C" w:rsidP="004B3035"/>
    <w:p w14:paraId="064D81AF" w14:textId="3B13D38E" w:rsidR="004762C7" w:rsidRPr="00243D16" w:rsidRDefault="00A6366E" w:rsidP="004114F8">
      <w:pPr>
        <w:numPr>
          <w:ilvl w:val="0"/>
          <w:numId w:val="14"/>
        </w:numPr>
        <w:tabs>
          <w:tab w:val="left" w:pos="562"/>
        </w:tabs>
        <w:ind w:left="562" w:right="128" w:hanging="561"/>
        <w:jc w:val="both"/>
        <w:rPr>
          <w:b/>
        </w:rPr>
      </w:pPr>
      <w:r w:rsidRPr="00243D16">
        <w:rPr>
          <w:b/>
          <w:bCs/>
        </w:rPr>
        <w:t xml:space="preserve">ДАТА НА АКТУАЛИЗИРАНЕ НА ТЕКСТА </w:t>
      </w:r>
      <w:bookmarkStart w:id="12" w:name="page26"/>
      <w:bookmarkEnd w:id="12"/>
    </w:p>
    <w:p w14:paraId="6674BCA3" w14:textId="77777777" w:rsidR="00CC6E6C" w:rsidRDefault="00CC6E6C" w:rsidP="004B3035">
      <w:pPr>
        <w:tabs>
          <w:tab w:val="left" w:pos="562"/>
        </w:tabs>
        <w:ind w:right="128"/>
        <w:jc w:val="both"/>
        <w:rPr>
          <w:rFonts w:eastAsia="Times New Roman"/>
          <w:b/>
          <w:bCs/>
        </w:rPr>
      </w:pPr>
    </w:p>
    <w:p w14:paraId="27759D8C" w14:textId="209FBFBD" w:rsidR="00CC6E6C" w:rsidRPr="00A6366E" w:rsidRDefault="00BD6A52" w:rsidP="004B3035">
      <w:pPr>
        <w:tabs>
          <w:tab w:val="left" w:pos="562"/>
        </w:tabs>
        <w:ind w:right="128"/>
        <w:jc w:val="both"/>
        <w:rPr>
          <w:lang w:val="bg-BG"/>
        </w:rPr>
      </w:pPr>
      <w:r>
        <w:rPr>
          <w:lang w:val="bg-BG"/>
        </w:rPr>
        <w:t>12</w:t>
      </w:r>
      <w:r w:rsidR="00A6366E">
        <w:rPr>
          <w:lang w:val="bg-BG"/>
        </w:rPr>
        <w:t>/2022</w:t>
      </w:r>
    </w:p>
    <w:sectPr w:rsidR="00CC6E6C" w:rsidRPr="00A6366E" w:rsidSect="004B3035">
      <w:footerReference w:type="default" r:id="rId8"/>
      <w:pgSz w:w="11900" w:h="16840"/>
      <w:pgMar w:top="2552" w:right="1127" w:bottom="1134" w:left="1418" w:header="0" w:footer="0" w:gutter="0"/>
      <w:cols w:space="720" w:equalWidth="0">
        <w:col w:w="924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44AF6" w16cex:dateUtc="2022-12-14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93FC83" w16cid:durableId="27444A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A120A" w14:textId="77777777" w:rsidR="00250E86" w:rsidRDefault="00250E86" w:rsidP="0081468A">
      <w:r>
        <w:separator/>
      </w:r>
    </w:p>
  </w:endnote>
  <w:endnote w:type="continuationSeparator" w:id="0">
    <w:p w14:paraId="2E23ACE7" w14:textId="77777777" w:rsidR="00250E86" w:rsidRDefault="00250E86" w:rsidP="0081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ZWAdobeF">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521684"/>
      <w:docPartObj>
        <w:docPartGallery w:val="Page Numbers (Bottom of Page)"/>
        <w:docPartUnique/>
      </w:docPartObj>
    </w:sdtPr>
    <w:sdtEndPr>
      <w:rPr>
        <w:noProof/>
      </w:rPr>
    </w:sdtEndPr>
    <w:sdtContent>
      <w:p w14:paraId="609BE694" w14:textId="123EE72B" w:rsidR="00250E86" w:rsidRDefault="00250E86">
        <w:pPr>
          <w:pStyle w:val="Footer"/>
          <w:jc w:val="right"/>
        </w:pPr>
        <w:r>
          <w:fldChar w:fldCharType="begin"/>
        </w:r>
        <w:r>
          <w:instrText xml:space="preserve"> PAGE   \* MERGEFORMAT </w:instrText>
        </w:r>
        <w:r>
          <w:fldChar w:fldCharType="separate"/>
        </w:r>
        <w:r w:rsidR="00E86BA7">
          <w:rPr>
            <w:noProof/>
          </w:rPr>
          <w:t>37</w:t>
        </w:r>
        <w:r>
          <w:rPr>
            <w:noProof/>
          </w:rPr>
          <w:fldChar w:fldCharType="end"/>
        </w:r>
      </w:p>
    </w:sdtContent>
  </w:sdt>
  <w:p w14:paraId="3024BD82" w14:textId="77777777" w:rsidR="00250E86" w:rsidRDefault="00250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99889" w14:textId="77777777" w:rsidR="00250E86" w:rsidRDefault="00250E86" w:rsidP="0081468A">
      <w:r>
        <w:separator/>
      </w:r>
    </w:p>
  </w:footnote>
  <w:footnote w:type="continuationSeparator" w:id="0">
    <w:p w14:paraId="7297FE2D" w14:textId="77777777" w:rsidR="00250E86" w:rsidRDefault="00250E86" w:rsidP="00814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BD9B"/>
    <w:multiLevelType w:val="hybridMultilevel"/>
    <w:tmpl w:val="7ADCCA4A"/>
    <w:lvl w:ilvl="0" w:tplc="0546D01C">
      <w:start w:val="7"/>
      <w:numFmt w:val="decimal"/>
      <w:lvlText w:val="%1."/>
      <w:lvlJc w:val="left"/>
    </w:lvl>
    <w:lvl w:ilvl="1" w:tplc="48649FFE">
      <w:numFmt w:val="decimal"/>
      <w:lvlText w:val=""/>
      <w:lvlJc w:val="left"/>
    </w:lvl>
    <w:lvl w:ilvl="2" w:tplc="80BA0246">
      <w:numFmt w:val="decimal"/>
      <w:lvlText w:val=""/>
      <w:lvlJc w:val="left"/>
    </w:lvl>
    <w:lvl w:ilvl="3" w:tplc="94FC16FA">
      <w:numFmt w:val="decimal"/>
      <w:lvlText w:val=""/>
      <w:lvlJc w:val="left"/>
    </w:lvl>
    <w:lvl w:ilvl="4" w:tplc="CD98CA7C">
      <w:numFmt w:val="decimal"/>
      <w:lvlText w:val=""/>
      <w:lvlJc w:val="left"/>
    </w:lvl>
    <w:lvl w:ilvl="5" w:tplc="A064B228">
      <w:numFmt w:val="decimal"/>
      <w:lvlText w:val=""/>
      <w:lvlJc w:val="left"/>
    </w:lvl>
    <w:lvl w:ilvl="6" w:tplc="1C321872">
      <w:numFmt w:val="decimal"/>
      <w:lvlText w:val=""/>
      <w:lvlJc w:val="left"/>
    </w:lvl>
    <w:lvl w:ilvl="7" w:tplc="3D820498">
      <w:numFmt w:val="decimal"/>
      <w:lvlText w:val=""/>
      <w:lvlJc w:val="left"/>
    </w:lvl>
    <w:lvl w:ilvl="8" w:tplc="9F4008CA">
      <w:numFmt w:val="decimal"/>
      <w:lvlText w:val=""/>
      <w:lvlJc w:val="left"/>
    </w:lvl>
  </w:abstractNum>
  <w:abstractNum w:abstractNumId="1" w15:restartNumberingAfterBreak="0">
    <w:nsid w:val="1AF7F0EA"/>
    <w:multiLevelType w:val="hybridMultilevel"/>
    <w:tmpl w:val="05889354"/>
    <w:lvl w:ilvl="0" w:tplc="6BDEA9B2">
      <w:start w:val="1"/>
      <w:numFmt w:val="bullet"/>
      <w:lvlText w:val="*"/>
      <w:lvlJc w:val="left"/>
    </w:lvl>
    <w:lvl w:ilvl="1" w:tplc="80608A74">
      <w:numFmt w:val="decimal"/>
      <w:lvlText w:val=""/>
      <w:lvlJc w:val="left"/>
    </w:lvl>
    <w:lvl w:ilvl="2" w:tplc="2394273E">
      <w:numFmt w:val="decimal"/>
      <w:lvlText w:val=""/>
      <w:lvlJc w:val="left"/>
    </w:lvl>
    <w:lvl w:ilvl="3" w:tplc="C7968266">
      <w:numFmt w:val="decimal"/>
      <w:lvlText w:val=""/>
      <w:lvlJc w:val="left"/>
    </w:lvl>
    <w:lvl w:ilvl="4" w:tplc="E892ABA0">
      <w:numFmt w:val="decimal"/>
      <w:lvlText w:val=""/>
      <w:lvlJc w:val="left"/>
    </w:lvl>
    <w:lvl w:ilvl="5" w:tplc="983CA3A4">
      <w:numFmt w:val="decimal"/>
      <w:lvlText w:val=""/>
      <w:lvlJc w:val="left"/>
    </w:lvl>
    <w:lvl w:ilvl="6" w:tplc="350C8360">
      <w:numFmt w:val="decimal"/>
      <w:lvlText w:val=""/>
      <w:lvlJc w:val="left"/>
    </w:lvl>
    <w:lvl w:ilvl="7" w:tplc="95E287E0">
      <w:numFmt w:val="decimal"/>
      <w:lvlText w:val=""/>
      <w:lvlJc w:val="left"/>
    </w:lvl>
    <w:lvl w:ilvl="8" w:tplc="2868A624">
      <w:numFmt w:val="decimal"/>
      <w:lvlText w:val=""/>
      <w:lvlJc w:val="left"/>
    </w:lvl>
  </w:abstractNum>
  <w:abstractNum w:abstractNumId="2" w15:restartNumberingAfterBreak="0">
    <w:nsid w:val="1F0E5D0D"/>
    <w:multiLevelType w:val="hybridMultilevel"/>
    <w:tmpl w:val="011E2718"/>
    <w:lvl w:ilvl="0" w:tplc="4CACEA06">
      <w:start w:val="10"/>
      <w:numFmt w:val="decimal"/>
      <w:lvlText w:val="%1."/>
      <w:lvlJc w:val="left"/>
    </w:lvl>
    <w:lvl w:ilvl="1" w:tplc="A6188400">
      <w:numFmt w:val="decimal"/>
      <w:lvlText w:val=""/>
      <w:lvlJc w:val="left"/>
    </w:lvl>
    <w:lvl w:ilvl="2" w:tplc="52840054">
      <w:numFmt w:val="decimal"/>
      <w:lvlText w:val=""/>
      <w:lvlJc w:val="left"/>
    </w:lvl>
    <w:lvl w:ilvl="3" w:tplc="FE56B792">
      <w:numFmt w:val="decimal"/>
      <w:lvlText w:val=""/>
      <w:lvlJc w:val="left"/>
    </w:lvl>
    <w:lvl w:ilvl="4" w:tplc="E04E92D4">
      <w:numFmt w:val="decimal"/>
      <w:lvlText w:val=""/>
      <w:lvlJc w:val="left"/>
    </w:lvl>
    <w:lvl w:ilvl="5" w:tplc="7CE26DCA">
      <w:numFmt w:val="decimal"/>
      <w:lvlText w:val=""/>
      <w:lvlJc w:val="left"/>
    </w:lvl>
    <w:lvl w:ilvl="6" w:tplc="7CC2A3CC">
      <w:numFmt w:val="decimal"/>
      <w:lvlText w:val=""/>
      <w:lvlJc w:val="left"/>
    </w:lvl>
    <w:lvl w:ilvl="7" w:tplc="368ADA80">
      <w:numFmt w:val="decimal"/>
      <w:lvlText w:val=""/>
      <w:lvlJc w:val="left"/>
    </w:lvl>
    <w:lvl w:ilvl="8" w:tplc="1386624E">
      <w:numFmt w:val="decimal"/>
      <w:lvlText w:val=""/>
      <w:lvlJc w:val="left"/>
    </w:lvl>
  </w:abstractNum>
  <w:abstractNum w:abstractNumId="3" w15:restartNumberingAfterBreak="0">
    <w:nsid w:val="20F88EA6"/>
    <w:multiLevelType w:val="hybridMultilevel"/>
    <w:tmpl w:val="D1E82888"/>
    <w:lvl w:ilvl="0" w:tplc="68284B8A">
      <w:start w:val="4"/>
      <w:numFmt w:val="decimal"/>
      <w:lvlText w:val="%1."/>
      <w:lvlJc w:val="left"/>
    </w:lvl>
    <w:lvl w:ilvl="1" w:tplc="7458DF42">
      <w:numFmt w:val="decimal"/>
      <w:lvlText w:val=""/>
      <w:lvlJc w:val="left"/>
    </w:lvl>
    <w:lvl w:ilvl="2" w:tplc="897CBA0C">
      <w:numFmt w:val="decimal"/>
      <w:lvlText w:val=""/>
      <w:lvlJc w:val="left"/>
    </w:lvl>
    <w:lvl w:ilvl="3" w:tplc="084487F2">
      <w:numFmt w:val="decimal"/>
      <w:lvlText w:val=""/>
      <w:lvlJc w:val="left"/>
    </w:lvl>
    <w:lvl w:ilvl="4" w:tplc="C060C05E">
      <w:numFmt w:val="decimal"/>
      <w:lvlText w:val=""/>
      <w:lvlJc w:val="left"/>
    </w:lvl>
    <w:lvl w:ilvl="5" w:tplc="49968EA8">
      <w:numFmt w:val="decimal"/>
      <w:lvlText w:val=""/>
      <w:lvlJc w:val="left"/>
    </w:lvl>
    <w:lvl w:ilvl="6" w:tplc="54D01BA8">
      <w:numFmt w:val="decimal"/>
      <w:lvlText w:val=""/>
      <w:lvlJc w:val="left"/>
    </w:lvl>
    <w:lvl w:ilvl="7" w:tplc="7C681832">
      <w:numFmt w:val="decimal"/>
      <w:lvlText w:val=""/>
      <w:lvlJc w:val="left"/>
    </w:lvl>
    <w:lvl w:ilvl="8" w:tplc="B9407478">
      <w:numFmt w:val="decimal"/>
      <w:lvlText w:val=""/>
      <w:lvlJc w:val="left"/>
    </w:lvl>
  </w:abstractNum>
  <w:abstractNum w:abstractNumId="4" w15:restartNumberingAfterBreak="0">
    <w:nsid w:val="2E17ECA7"/>
    <w:multiLevelType w:val="hybridMultilevel"/>
    <w:tmpl w:val="D4B6E8C6"/>
    <w:lvl w:ilvl="0" w:tplc="7C6CC8B8">
      <w:start w:val="5"/>
      <w:numFmt w:val="decimal"/>
      <w:lvlText w:val="%1."/>
      <w:lvlJc w:val="left"/>
    </w:lvl>
    <w:lvl w:ilvl="1" w:tplc="AE6019A4">
      <w:numFmt w:val="decimal"/>
      <w:lvlText w:val=""/>
      <w:lvlJc w:val="left"/>
    </w:lvl>
    <w:lvl w:ilvl="2" w:tplc="2FC6047A">
      <w:numFmt w:val="decimal"/>
      <w:lvlText w:val=""/>
      <w:lvlJc w:val="left"/>
    </w:lvl>
    <w:lvl w:ilvl="3" w:tplc="307C5BAC">
      <w:numFmt w:val="decimal"/>
      <w:lvlText w:val=""/>
      <w:lvlJc w:val="left"/>
    </w:lvl>
    <w:lvl w:ilvl="4" w:tplc="413E3E64">
      <w:numFmt w:val="decimal"/>
      <w:lvlText w:val=""/>
      <w:lvlJc w:val="left"/>
    </w:lvl>
    <w:lvl w:ilvl="5" w:tplc="178CC750">
      <w:numFmt w:val="decimal"/>
      <w:lvlText w:val=""/>
      <w:lvlJc w:val="left"/>
    </w:lvl>
    <w:lvl w:ilvl="6" w:tplc="F3E41766">
      <w:numFmt w:val="decimal"/>
      <w:lvlText w:val=""/>
      <w:lvlJc w:val="left"/>
    </w:lvl>
    <w:lvl w:ilvl="7" w:tplc="2D2683AA">
      <w:numFmt w:val="decimal"/>
      <w:lvlText w:val=""/>
      <w:lvlJc w:val="left"/>
    </w:lvl>
    <w:lvl w:ilvl="8" w:tplc="AF6898E0">
      <w:numFmt w:val="decimal"/>
      <w:lvlText w:val=""/>
      <w:lvlJc w:val="left"/>
    </w:lvl>
  </w:abstractNum>
  <w:abstractNum w:abstractNumId="5" w15:restartNumberingAfterBreak="0">
    <w:nsid w:val="338125CF"/>
    <w:multiLevelType w:val="hybridMultilevel"/>
    <w:tmpl w:val="E84423F0"/>
    <w:lvl w:ilvl="0" w:tplc="FE745EDE">
      <w:start w:val="1"/>
      <w:numFmt w:val="bullet"/>
      <w:lvlText w:val="•"/>
      <w:lvlJc w:val="left"/>
    </w:lvl>
    <w:lvl w:ilvl="1" w:tplc="092ACE3C">
      <w:numFmt w:val="decimal"/>
      <w:lvlText w:val=""/>
      <w:lvlJc w:val="left"/>
    </w:lvl>
    <w:lvl w:ilvl="2" w:tplc="573E7744">
      <w:numFmt w:val="decimal"/>
      <w:lvlText w:val=""/>
      <w:lvlJc w:val="left"/>
    </w:lvl>
    <w:lvl w:ilvl="3" w:tplc="10DC4FB0">
      <w:numFmt w:val="decimal"/>
      <w:lvlText w:val=""/>
      <w:lvlJc w:val="left"/>
    </w:lvl>
    <w:lvl w:ilvl="4" w:tplc="82C08B0A">
      <w:numFmt w:val="decimal"/>
      <w:lvlText w:val=""/>
      <w:lvlJc w:val="left"/>
    </w:lvl>
    <w:lvl w:ilvl="5" w:tplc="A944213A">
      <w:numFmt w:val="decimal"/>
      <w:lvlText w:val=""/>
      <w:lvlJc w:val="left"/>
    </w:lvl>
    <w:lvl w:ilvl="6" w:tplc="F6F8208E">
      <w:numFmt w:val="decimal"/>
      <w:lvlText w:val=""/>
      <w:lvlJc w:val="left"/>
    </w:lvl>
    <w:lvl w:ilvl="7" w:tplc="63261054">
      <w:numFmt w:val="decimal"/>
      <w:lvlText w:val=""/>
      <w:lvlJc w:val="left"/>
    </w:lvl>
    <w:lvl w:ilvl="8" w:tplc="D0864802">
      <w:numFmt w:val="decimal"/>
      <w:lvlText w:val=""/>
      <w:lvlJc w:val="left"/>
    </w:lvl>
  </w:abstractNum>
  <w:abstractNum w:abstractNumId="6" w15:restartNumberingAfterBreak="0">
    <w:nsid w:val="3D2DD275"/>
    <w:multiLevelType w:val="hybridMultilevel"/>
    <w:tmpl w:val="E30E16A8"/>
    <w:lvl w:ilvl="0" w:tplc="69149858">
      <w:start w:val="1"/>
      <w:numFmt w:val="upperLetter"/>
      <w:lvlText w:val="%1:"/>
      <w:lvlJc w:val="left"/>
      <w:rPr>
        <w:vertAlign w:val="superscript"/>
      </w:rPr>
    </w:lvl>
    <w:lvl w:ilvl="1" w:tplc="F4981770">
      <w:numFmt w:val="decimal"/>
      <w:lvlText w:val=""/>
      <w:lvlJc w:val="left"/>
    </w:lvl>
    <w:lvl w:ilvl="2" w:tplc="6FAECFE0">
      <w:numFmt w:val="decimal"/>
      <w:lvlText w:val=""/>
      <w:lvlJc w:val="left"/>
    </w:lvl>
    <w:lvl w:ilvl="3" w:tplc="579C5DC8">
      <w:numFmt w:val="decimal"/>
      <w:lvlText w:val=""/>
      <w:lvlJc w:val="left"/>
    </w:lvl>
    <w:lvl w:ilvl="4" w:tplc="33CCA406">
      <w:numFmt w:val="decimal"/>
      <w:lvlText w:val=""/>
      <w:lvlJc w:val="left"/>
    </w:lvl>
    <w:lvl w:ilvl="5" w:tplc="F7B0D578">
      <w:numFmt w:val="decimal"/>
      <w:lvlText w:val=""/>
      <w:lvlJc w:val="left"/>
    </w:lvl>
    <w:lvl w:ilvl="6" w:tplc="F5627A16">
      <w:numFmt w:val="decimal"/>
      <w:lvlText w:val=""/>
      <w:lvlJc w:val="left"/>
    </w:lvl>
    <w:lvl w:ilvl="7" w:tplc="FC54C670">
      <w:numFmt w:val="decimal"/>
      <w:lvlText w:val=""/>
      <w:lvlJc w:val="left"/>
    </w:lvl>
    <w:lvl w:ilvl="8" w:tplc="744C271C">
      <w:numFmt w:val="decimal"/>
      <w:lvlText w:val=""/>
      <w:lvlJc w:val="left"/>
    </w:lvl>
  </w:abstractNum>
  <w:abstractNum w:abstractNumId="7" w15:restartNumberingAfterBreak="0">
    <w:nsid w:val="3F8B0CBF"/>
    <w:multiLevelType w:val="hybridMultilevel"/>
    <w:tmpl w:val="20E2F144"/>
    <w:lvl w:ilvl="0" w:tplc="8878F114">
      <w:start w:val="1"/>
      <w:numFmt w:val="lowerLetter"/>
      <w:lvlText w:val="%1)"/>
      <w:lvlJc w:val="left"/>
    </w:lvl>
    <w:lvl w:ilvl="1" w:tplc="39D4E35A">
      <w:numFmt w:val="decimal"/>
      <w:lvlText w:val=""/>
      <w:lvlJc w:val="left"/>
    </w:lvl>
    <w:lvl w:ilvl="2" w:tplc="6E3083AC">
      <w:numFmt w:val="decimal"/>
      <w:lvlText w:val=""/>
      <w:lvlJc w:val="left"/>
    </w:lvl>
    <w:lvl w:ilvl="3" w:tplc="BB4A932C">
      <w:numFmt w:val="decimal"/>
      <w:lvlText w:val=""/>
      <w:lvlJc w:val="left"/>
    </w:lvl>
    <w:lvl w:ilvl="4" w:tplc="70061392">
      <w:numFmt w:val="decimal"/>
      <w:lvlText w:val=""/>
      <w:lvlJc w:val="left"/>
    </w:lvl>
    <w:lvl w:ilvl="5" w:tplc="229E6A60">
      <w:numFmt w:val="decimal"/>
      <w:lvlText w:val=""/>
      <w:lvlJc w:val="left"/>
    </w:lvl>
    <w:lvl w:ilvl="6" w:tplc="6C00B8E8">
      <w:numFmt w:val="decimal"/>
      <w:lvlText w:val=""/>
      <w:lvlJc w:val="left"/>
    </w:lvl>
    <w:lvl w:ilvl="7" w:tplc="4CF0224E">
      <w:numFmt w:val="decimal"/>
      <w:lvlText w:val=""/>
      <w:lvlJc w:val="left"/>
    </w:lvl>
    <w:lvl w:ilvl="8" w:tplc="6A64D54A">
      <w:numFmt w:val="decimal"/>
      <w:lvlText w:val=""/>
      <w:lvlJc w:val="left"/>
    </w:lvl>
  </w:abstractNum>
  <w:abstractNum w:abstractNumId="8" w15:restartNumberingAfterBreak="0">
    <w:nsid w:val="47CAA567"/>
    <w:multiLevelType w:val="hybridMultilevel"/>
    <w:tmpl w:val="8BEA240A"/>
    <w:lvl w:ilvl="0" w:tplc="F7B0AC20">
      <w:start w:val="8"/>
      <w:numFmt w:val="decimal"/>
      <w:lvlText w:val="%1."/>
      <w:lvlJc w:val="left"/>
    </w:lvl>
    <w:lvl w:ilvl="1" w:tplc="D4BE1508">
      <w:numFmt w:val="decimal"/>
      <w:lvlText w:val=""/>
      <w:lvlJc w:val="left"/>
    </w:lvl>
    <w:lvl w:ilvl="2" w:tplc="456CD488">
      <w:numFmt w:val="decimal"/>
      <w:lvlText w:val=""/>
      <w:lvlJc w:val="left"/>
    </w:lvl>
    <w:lvl w:ilvl="3" w:tplc="12604870">
      <w:numFmt w:val="decimal"/>
      <w:lvlText w:val=""/>
      <w:lvlJc w:val="left"/>
    </w:lvl>
    <w:lvl w:ilvl="4" w:tplc="606ECEF0">
      <w:numFmt w:val="decimal"/>
      <w:lvlText w:val=""/>
      <w:lvlJc w:val="left"/>
    </w:lvl>
    <w:lvl w:ilvl="5" w:tplc="7E0643D0">
      <w:numFmt w:val="decimal"/>
      <w:lvlText w:val=""/>
      <w:lvlJc w:val="left"/>
    </w:lvl>
    <w:lvl w:ilvl="6" w:tplc="E180942E">
      <w:numFmt w:val="decimal"/>
      <w:lvlText w:val=""/>
      <w:lvlJc w:val="left"/>
    </w:lvl>
    <w:lvl w:ilvl="7" w:tplc="527CB6C8">
      <w:numFmt w:val="decimal"/>
      <w:lvlText w:val=""/>
      <w:lvlJc w:val="left"/>
    </w:lvl>
    <w:lvl w:ilvl="8" w:tplc="87CAF98E">
      <w:numFmt w:val="decimal"/>
      <w:lvlText w:val=""/>
      <w:lvlJc w:val="left"/>
    </w:lvl>
  </w:abstractNum>
  <w:abstractNum w:abstractNumId="9" w15:restartNumberingAfterBreak="0">
    <w:nsid w:val="48249DBF"/>
    <w:multiLevelType w:val="hybridMultilevel"/>
    <w:tmpl w:val="4B30E4D2"/>
    <w:lvl w:ilvl="0" w:tplc="FFFAA860">
      <w:start w:val="9"/>
      <w:numFmt w:val="decimal"/>
      <w:lvlText w:val="%1."/>
      <w:lvlJc w:val="left"/>
    </w:lvl>
    <w:lvl w:ilvl="1" w:tplc="E402E786">
      <w:numFmt w:val="decimal"/>
      <w:lvlText w:val=""/>
      <w:lvlJc w:val="left"/>
    </w:lvl>
    <w:lvl w:ilvl="2" w:tplc="9AE490A8">
      <w:numFmt w:val="decimal"/>
      <w:lvlText w:val=""/>
      <w:lvlJc w:val="left"/>
    </w:lvl>
    <w:lvl w:ilvl="3" w:tplc="F7A61CC8">
      <w:numFmt w:val="decimal"/>
      <w:lvlText w:val=""/>
      <w:lvlJc w:val="left"/>
    </w:lvl>
    <w:lvl w:ilvl="4" w:tplc="85F8FD00">
      <w:numFmt w:val="decimal"/>
      <w:lvlText w:val=""/>
      <w:lvlJc w:val="left"/>
    </w:lvl>
    <w:lvl w:ilvl="5" w:tplc="9FC85276">
      <w:numFmt w:val="decimal"/>
      <w:lvlText w:val=""/>
      <w:lvlJc w:val="left"/>
    </w:lvl>
    <w:lvl w:ilvl="6" w:tplc="DA9A032A">
      <w:numFmt w:val="decimal"/>
      <w:lvlText w:val=""/>
      <w:lvlJc w:val="left"/>
    </w:lvl>
    <w:lvl w:ilvl="7" w:tplc="9978002A">
      <w:numFmt w:val="decimal"/>
      <w:lvlText w:val=""/>
      <w:lvlJc w:val="left"/>
    </w:lvl>
    <w:lvl w:ilvl="8" w:tplc="CC706188">
      <w:numFmt w:val="decimal"/>
      <w:lvlText w:val=""/>
      <w:lvlJc w:val="left"/>
    </w:lvl>
  </w:abstractNum>
  <w:abstractNum w:abstractNumId="10" w15:restartNumberingAfterBreak="0">
    <w:nsid w:val="569951FE"/>
    <w:multiLevelType w:val="hybridMultilevel"/>
    <w:tmpl w:val="AF58792C"/>
    <w:lvl w:ilvl="0" w:tplc="EF94B0F8">
      <w:start w:val="6"/>
      <w:numFmt w:val="decimal"/>
      <w:lvlText w:val="%1."/>
      <w:lvlJc w:val="left"/>
    </w:lvl>
    <w:lvl w:ilvl="1" w:tplc="C8D89816">
      <w:numFmt w:val="decimal"/>
      <w:lvlText w:val=""/>
      <w:lvlJc w:val="left"/>
    </w:lvl>
    <w:lvl w:ilvl="2" w:tplc="07767E6A">
      <w:numFmt w:val="decimal"/>
      <w:lvlText w:val=""/>
      <w:lvlJc w:val="left"/>
    </w:lvl>
    <w:lvl w:ilvl="3" w:tplc="057255F6">
      <w:numFmt w:val="decimal"/>
      <w:lvlText w:val=""/>
      <w:lvlJc w:val="left"/>
    </w:lvl>
    <w:lvl w:ilvl="4" w:tplc="3958638E">
      <w:numFmt w:val="decimal"/>
      <w:lvlText w:val=""/>
      <w:lvlJc w:val="left"/>
    </w:lvl>
    <w:lvl w:ilvl="5" w:tplc="BD5C2A70">
      <w:numFmt w:val="decimal"/>
      <w:lvlText w:val=""/>
      <w:lvlJc w:val="left"/>
    </w:lvl>
    <w:lvl w:ilvl="6" w:tplc="6F581828">
      <w:numFmt w:val="decimal"/>
      <w:lvlText w:val=""/>
      <w:lvlJc w:val="left"/>
    </w:lvl>
    <w:lvl w:ilvl="7" w:tplc="F79480E0">
      <w:numFmt w:val="decimal"/>
      <w:lvlText w:val=""/>
      <w:lvlJc w:val="left"/>
    </w:lvl>
    <w:lvl w:ilvl="8" w:tplc="8D905D92">
      <w:numFmt w:val="decimal"/>
      <w:lvlText w:val=""/>
      <w:lvlJc w:val="left"/>
    </w:lvl>
  </w:abstractNum>
  <w:abstractNum w:abstractNumId="11" w15:restartNumberingAfterBreak="0">
    <w:nsid w:val="60597936"/>
    <w:multiLevelType w:val="multilevel"/>
    <w:tmpl w:val="B518CF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21AF471"/>
    <w:multiLevelType w:val="hybridMultilevel"/>
    <w:tmpl w:val="561240D2"/>
    <w:lvl w:ilvl="0" w:tplc="320C552A">
      <w:start w:val="2"/>
      <w:numFmt w:val="decimal"/>
      <w:lvlText w:val="%1."/>
      <w:lvlJc w:val="left"/>
    </w:lvl>
    <w:lvl w:ilvl="1" w:tplc="85163E30">
      <w:numFmt w:val="decimal"/>
      <w:lvlText w:val=""/>
      <w:lvlJc w:val="left"/>
    </w:lvl>
    <w:lvl w:ilvl="2" w:tplc="295650BA">
      <w:numFmt w:val="decimal"/>
      <w:lvlText w:val=""/>
      <w:lvlJc w:val="left"/>
    </w:lvl>
    <w:lvl w:ilvl="3" w:tplc="41C80DBA">
      <w:numFmt w:val="decimal"/>
      <w:lvlText w:val=""/>
      <w:lvlJc w:val="left"/>
    </w:lvl>
    <w:lvl w:ilvl="4" w:tplc="D81414AE">
      <w:numFmt w:val="decimal"/>
      <w:lvlText w:val=""/>
      <w:lvlJc w:val="left"/>
    </w:lvl>
    <w:lvl w:ilvl="5" w:tplc="DF0A15C2">
      <w:numFmt w:val="decimal"/>
      <w:lvlText w:val=""/>
      <w:lvlJc w:val="left"/>
    </w:lvl>
    <w:lvl w:ilvl="6" w:tplc="06FA0CDA">
      <w:numFmt w:val="decimal"/>
      <w:lvlText w:val=""/>
      <w:lvlJc w:val="left"/>
    </w:lvl>
    <w:lvl w:ilvl="7" w:tplc="68F8485E">
      <w:numFmt w:val="decimal"/>
      <w:lvlText w:val=""/>
      <w:lvlJc w:val="left"/>
    </w:lvl>
    <w:lvl w:ilvl="8" w:tplc="8D3475A8">
      <w:numFmt w:val="decimal"/>
      <w:lvlText w:val=""/>
      <w:lvlJc w:val="left"/>
    </w:lvl>
  </w:abstractNum>
  <w:abstractNum w:abstractNumId="13" w15:restartNumberingAfterBreak="0">
    <w:nsid w:val="63DE60CD"/>
    <w:multiLevelType w:val="hybridMultilevel"/>
    <w:tmpl w:val="303E3E3C"/>
    <w:lvl w:ilvl="0" w:tplc="ED382A08">
      <w:start w:val="1"/>
      <w:numFmt w:val="decimal"/>
      <w:lvlText w:val="%1."/>
      <w:lvlJc w:val="left"/>
    </w:lvl>
    <w:lvl w:ilvl="1" w:tplc="01D8238C">
      <w:numFmt w:val="decimal"/>
      <w:lvlText w:val=""/>
      <w:lvlJc w:val="left"/>
    </w:lvl>
    <w:lvl w:ilvl="2" w:tplc="38903442">
      <w:numFmt w:val="decimal"/>
      <w:lvlText w:val=""/>
      <w:lvlJc w:val="left"/>
    </w:lvl>
    <w:lvl w:ilvl="3" w:tplc="4418AD2A">
      <w:numFmt w:val="decimal"/>
      <w:lvlText w:val=""/>
      <w:lvlJc w:val="left"/>
    </w:lvl>
    <w:lvl w:ilvl="4" w:tplc="9BC68BE0">
      <w:numFmt w:val="decimal"/>
      <w:lvlText w:val=""/>
      <w:lvlJc w:val="left"/>
    </w:lvl>
    <w:lvl w:ilvl="5" w:tplc="7646F46A">
      <w:numFmt w:val="decimal"/>
      <w:lvlText w:val=""/>
      <w:lvlJc w:val="left"/>
    </w:lvl>
    <w:lvl w:ilvl="6" w:tplc="2F9CCE72">
      <w:numFmt w:val="decimal"/>
      <w:lvlText w:val=""/>
      <w:lvlJc w:val="left"/>
    </w:lvl>
    <w:lvl w:ilvl="7" w:tplc="9F1A28A2">
      <w:numFmt w:val="decimal"/>
      <w:lvlText w:val=""/>
      <w:lvlJc w:val="left"/>
    </w:lvl>
    <w:lvl w:ilvl="8" w:tplc="1408CC76">
      <w:numFmt w:val="decimal"/>
      <w:lvlText w:val=""/>
      <w:lvlJc w:val="left"/>
    </w:lvl>
  </w:abstractNum>
  <w:abstractNum w:abstractNumId="14" w15:restartNumberingAfterBreak="0">
    <w:nsid w:val="66B02C8C"/>
    <w:multiLevelType w:val="hybridMultilevel"/>
    <w:tmpl w:val="B8006B1A"/>
    <w:lvl w:ilvl="0" w:tplc="61266C5E">
      <w:start w:val="1"/>
      <w:numFmt w:val="lowerLetter"/>
      <w:lvlText w:val="%1)"/>
      <w:lvlJc w:val="left"/>
    </w:lvl>
    <w:lvl w:ilvl="1" w:tplc="AF46C778">
      <w:numFmt w:val="decimal"/>
      <w:lvlText w:val=""/>
      <w:lvlJc w:val="left"/>
    </w:lvl>
    <w:lvl w:ilvl="2" w:tplc="D248A910">
      <w:numFmt w:val="decimal"/>
      <w:lvlText w:val=""/>
      <w:lvlJc w:val="left"/>
    </w:lvl>
    <w:lvl w:ilvl="3" w:tplc="36BADFB6">
      <w:numFmt w:val="decimal"/>
      <w:lvlText w:val=""/>
      <w:lvlJc w:val="left"/>
    </w:lvl>
    <w:lvl w:ilvl="4" w:tplc="DC88CC9E">
      <w:numFmt w:val="decimal"/>
      <w:lvlText w:val=""/>
      <w:lvlJc w:val="left"/>
    </w:lvl>
    <w:lvl w:ilvl="5" w:tplc="8068B360">
      <w:numFmt w:val="decimal"/>
      <w:lvlText w:val=""/>
      <w:lvlJc w:val="left"/>
    </w:lvl>
    <w:lvl w:ilvl="6" w:tplc="0876FD18">
      <w:numFmt w:val="decimal"/>
      <w:lvlText w:val=""/>
      <w:lvlJc w:val="left"/>
    </w:lvl>
    <w:lvl w:ilvl="7" w:tplc="435A40DE">
      <w:numFmt w:val="decimal"/>
      <w:lvlText w:val=""/>
      <w:lvlJc w:val="left"/>
    </w:lvl>
    <w:lvl w:ilvl="8" w:tplc="E89E7B48">
      <w:numFmt w:val="decimal"/>
      <w:lvlText w:val=""/>
      <w:lvlJc w:val="left"/>
    </w:lvl>
  </w:abstractNum>
  <w:abstractNum w:abstractNumId="15" w15:restartNumberingAfterBreak="0">
    <w:nsid w:val="677B3504"/>
    <w:multiLevelType w:val="hybridMultilevel"/>
    <w:tmpl w:val="39469858"/>
    <w:lvl w:ilvl="0" w:tplc="19F8B710">
      <w:start w:val="1"/>
      <w:numFmt w:val="bullet"/>
      <w:lvlText w:val="-"/>
      <w:lvlJc w:val="left"/>
      <w:pPr>
        <w:ind w:left="720" w:hanging="360"/>
      </w:p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ADD6AE1"/>
    <w:multiLevelType w:val="hybridMultilevel"/>
    <w:tmpl w:val="40DEF310"/>
    <w:lvl w:ilvl="0" w:tplc="19F8B71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CFE165"/>
    <w:multiLevelType w:val="hybridMultilevel"/>
    <w:tmpl w:val="2C5E7CEC"/>
    <w:lvl w:ilvl="0" w:tplc="F626D690">
      <w:start w:val="3"/>
      <w:numFmt w:val="decimal"/>
      <w:lvlText w:val="%1."/>
      <w:lvlJc w:val="left"/>
    </w:lvl>
    <w:lvl w:ilvl="1" w:tplc="0048013C">
      <w:numFmt w:val="decimal"/>
      <w:lvlText w:val=""/>
      <w:lvlJc w:val="left"/>
    </w:lvl>
    <w:lvl w:ilvl="2" w:tplc="9C06F750">
      <w:numFmt w:val="decimal"/>
      <w:lvlText w:val=""/>
      <w:lvlJc w:val="left"/>
    </w:lvl>
    <w:lvl w:ilvl="3" w:tplc="5AFE3FA0">
      <w:numFmt w:val="decimal"/>
      <w:lvlText w:val=""/>
      <w:lvlJc w:val="left"/>
    </w:lvl>
    <w:lvl w:ilvl="4" w:tplc="27F66A20">
      <w:numFmt w:val="decimal"/>
      <w:lvlText w:val=""/>
      <w:lvlJc w:val="left"/>
    </w:lvl>
    <w:lvl w:ilvl="5" w:tplc="CDB0759E">
      <w:numFmt w:val="decimal"/>
      <w:lvlText w:val=""/>
      <w:lvlJc w:val="left"/>
    </w:lvl>
    <w:lvl w:ilvl="6" w:tplc="BF385D9C">
      <w:numFmt w:val="decimal"/>
      <w:lvlText w:val=""/>
      <w:lvlJc w:val="left"/>
    </w:lvl>
    <w:lvl w:ilvl="7" w:tplc="9E72E56A">
      <w:numFmt w:val="decimal"/>
      <w:lvlText w:val=""/>
      <w:lvlJc w:val="left"/>
    </w:lvl>
    <w:lvl w:ilvl="8" w:tplc="DA488474">
      <w:numFmt w:val="decimal"/>
      <w:lvlText w:val=""/>
      <w:lvlJc w:val="left"/>
    </w:lvl>
  </w:abstractNum>
  <w:abstractNum w:abstractNumId="18" w15:restartNumberingAfterBreak="0">
    <w:nsid w:val="75509D76"/>
    <w:multiLevelType w:val="hybridMultilevel"/>
    <w:tmpl w:val="B8006B1A"/>
    <w:lvl w:ilvl="0" w:tplc="61266C5E">
      <w:start w:val="1"/>
      <w:numFmt w:val="lowerLetter"/>
      <w:lvlText w:val="%1)"/>
      <w:lvlJc w:val="left"/>
    </w:lvl>
    <w:lvl w:ilvl="1" w:tplc="AF46C778">
      <w:numFmt w:val="decimal"/>
      <w:lvlText w:val=""/>
      <w:lvlJc w:val="left"/>
    </w:lvl>
    <w:lvl w:ilvl="2" w:tplc="D248A910">
      <w:numFmt w:val="decimal"/>
      <w:lvlText w:val=""/>
      <w:lvlJc w:val="left"/>
    </w:lvl>
    <w:lvl w:ilvl="3" w:tplc="36BADFB6">
      <w:numFmt w:val="decimal"/>
      <w:lvlText w:val=""/>
      <w:lvlJc w:val="left"/>
    </w:lvl>
    <w:lvl w:ilvl="4" w:tplc="DC88CC9E">
      <w:numFmt w:val="decimal"/>
      <w:lvlText w:val=""/>
      <w:lvlJc w:val="left"/>
    </w:lvl>
    <w:lvl w:ilvl="5" w:tplc="8068B360">
      <w:numFmt w:val="decimal"/>
      <w:lvlText w:val=""/>
      <w:lvlJc w:val="left"/>
    </w:lvl>
    <w:lvl w:ilvl="6" w:tplc="0876FD18">
      <w:numFmt w:val="decimal"/>
      <w:lvlText w:val=""/>
      <w:lvlJc w:val="left"/>
    </w:lvl>
    <w:lvl w:ilvl="7" w:tplc="435A40DE">
      <w:numFmt w:val="decimal"/>
      <w:lvlText w:val=""/>
      <w:lvlJc w:val="left"/>
    </w:lvl>
    <w:lvl w:ilvl="8" w:tplc="E89E7B48">
      <w:numFmt w:val="decimal"/>
      <w:lvlText w:val=""/>
      <w:lvlJc w:val="left"/>
    </w:lvl>
  </w:abstractNum>
  <w:abstractNum w:abstractNumId="19" w15:restartNumberingAfterBreak="0">
    <w:nsid w:val="75B62630"/>
    <w:multiLevelType w:val="multilevel"/>
    <w:tmpl w:val="676288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12"/>
  </w:num>
  <w:num w:numId="3">
    <w:abstractNumId w:val="17"/>
  </w:num>
  <w:num w:numId="4">
    <w:abstractNumId w:val="3"/>
  </w:num>
  <w:num w:numId="5">
    <w:abstractNumId w:val="5"/>
  </w:num>
  <w:num w:numId="6">
    <w:abstractNumId w:val="6"/>
  </w:num>
  <w:num w:numId="7">
    <w:abstractNumId w:val="4"/>
  </w:num>
  <w:num w:numId="8">
    <w:abstractNumId w:val="18"/>
  </w:num>
  <w:num w:numId="9">
    <w:abstractNumId w:val="1"/>
  </w:num>
  <w:num w:numId="10">
    <w:abstractNumId w:val="10"/>
  </w:num>
  <w:num w:numId="11">
    <w:abstractNumId w:val="0"/>
  </w:num>
  <w:num w:numId="12">
    <w:abstractNumId w:val="8"/>
  </w:num>
  <w:num w:numId="13">
    <w:abstractNumId w:val="9"/>
  </w:num>
  <w:num w:numId="14">
    <w:abstractNumId w:val="2"/>
  </w:num>
  <w:num w:numId="15">
    <w:abstractNumId w:val="11"/>
  </w:num>
  <w:num w:numId="16">
    <w:abstractNumId w:val="19"/>
  </w:num>
  <w:num w:numId="17">
    <w:abstractNumId w:val="14"/>
  </w:num>
  <w:num w:numId="18">
    <w:abstractNumId w:val="15"/>
  </w:num>
  <w:num w:numId="19">
    <w:abstractNumId w:val="7"/>
  </w:num>
  <w:num w:numId="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C7"/>
    <w:rsid w:val="000007FD"/>
    <w:rsid w:val="00001B6F"/>
    <w:rsid w:val="00004FF2"/>
    <w:rsid w:val="00030E48"/>
    <w:rsid w:val="000320BF"/>
    <w:rsid w:val="000326A8"/>
    <w:rsid w:val="00037624"/>
    <w:rsid w:val="00046ABF"/>
    <w:rsid w:val="00050040"/>
    <w:rsid w:val="00060D57"/>
    <w:rsid w:val="00093FFB"/>
    <w:rsid w:val="000973A3"/>
    <w:rsid w:val="00097A43"/>
    <w:rsid w:val="000A5909"/>
    <w:rsid w:val="000C4632"/>
    <w:rsid w:val="000D40A6"/>
    <w:rsid w:val="000D5952"/>
    <w:rsid w:val="000E5FFC"/>
    <w:rsid w:val="001152A7"/>
    <w:rsid w:val="001228AC"/>
    <w:rsid w:val="00157F7D"/>
    <w:rsid w:val="00162A17"/>
    <w:rsid w:val="00181EEC"/>
    <w:rsid w:val="00182353"/>
    <w:rsid w:val="00194E9B"/>
    <w:rsid w:val="001A09CA"/>
    <w:rsid w:val="001D2093"/>
    <w:rsid w:val="001F068C"/>
    <w:rsid w:val="002150D1"/>
    <w:rsid w:val="00222A60"/>
    <w:rsid w:val="00243D16"/>
    <w:rsid w:val="002456F3"/>
    <w:rsid w:val="00250E86"/>
    <w:rsid w:val="00263E07"/>
    <w:rsid w:val="0027394E"/>
    <w:rsid w:val="00277548"/>
    <w:rsid w:val="00281DE0"/>
    <w:rsid w:val="00286D04"/>
    <w:rsid w:val="00293A64"/>
    <w:rsid w:val="002A34DE"/>
    <w:rsid w:val="002A5932"/>
    <w:rsid w:val="002A77AE"/>
    <w:rsid w:val="002A7BFF"/>
    <w:rsid w:val="002B3B9F"/>
    <w:rsid w:val="002C04DE"/>
    <w:rsid w:val="002D5F40"/>
    <w:rsid w:val="002D716C"/>
    <w:rsid w:val="002F2862"/>
    <w:rsid w:val="00302AEB"/>
    <w:rsid w:val="00302F9F"/>
    <w:rsid w:val="00313909"/>
    <w:rsid w:val="003460EC"/>
    <w:rsid w:val="003548F0"/>
    <w:rsid w:val="003737EC"/>
    <w:rsid w:val="0038670D"/>
    <w:rsid w:val="003962AE"/>
    <w:rsid w:val="00396F96"/>
    <w:rsid w:val="003A1BCA"/>
    <w:rsid w:val="003C5BE9"/>
    <w:rsid w:val="0040009D"/>
    <w:rsid w:val="004114F8"/>
    <w:rsid w:val="00420B29"/>
    <w:rsid w:val="00442AFD"/>
    <w:rsid w:val="00445C02"/>
    <w:rsid w:val="004468D7"/>
    <w:rsid w:val="00451F9F"/>
    <w:rsid w:val="0045326D"/>
    <w:rsid w:val="00457DE3"/>
    <w:rsid w:val="00460F78"/>
    <w:rsid w:val="004635B1"/>
    <w:rsid w:val="004648B0"/>
    <w:rsid w:val="004762C7"/>
    <w:rsid w:val="00480BC7"/>
    <w:rsid w:val="00483E12"/>
    <w:rsid w:val="00485110"/>
    <w:rsid w:val="004A0689"/>
    <w:rsid w:val="004A5B3E"/>
    <w:rsid w:val="004A5F12"/>
    <w:rsid w:val="004B3035"/>
    <w:rsid w:val="004B4EE1"/>
    <w:rsid w:val="004B53CC"/>
    <w:rsid w:val="004C071D"/>
    <w:rsid w:val="004C07F9"/>
    <w:rsid w:val="004C42F1"/>
    <w:rsid w:val="004D42D8"/>
    <w:rsid w:val="004F69FD"/>
    <w:rsid w:val="00507D87"/>
    <w:rsid w:val="00523A6A"/>
    <w:rsid w:val="00533EE2"/>
    <w:rsid w:val="005434EA"/>
    <w:rsid w:val="00543E7E"/>
    <w:rsid w:val="00566CE6"/>
    <w:rsid w:val="00595A73"/>
    <w:rsid w:val="005A1E0C"/>
    <w:rsid w:val="005A7B49"/>
    <w:rsid w:val="005B21DE"/>
    <w:rsid w:val="005F167B"/>
    <w:rsid w:val="0063703D"/>
    <w:rsid w:val="00642B2F"/>
    <w:rsid w:val="00642FB7"/>
    <w:rsid w:val="006516C7"/>
    <w:rsid w:val="00655EFF"/>
    <w:rsid w:val="006563C7"/>
    <w:rsid w:val="00662AB1"/>
    <w:rsid w:val="00684C36"/>
    <w:rsid w:val="00686DAD"/>
    <w:rsid w:val="00691C51"/>
    <w:rsid w:val="006A7681"/>
    <w:rsid w:val="006B4910"/>
    <w:rsid w:val="006C40C0"/>
    <w:rsid w:val="006C4A37"/>
    <w:rsid w:val="006E76CC"/>
    <w:rsid w:val="006F7F37"/>
    <w:rsid w:val="0070127D"/>
    <w:rsid w:val="0070427C"/>
    <w:rsid w:val="007175E9"/>
    <w:rsid w:val="00731882"/>
    <w:rsid w:val="00741AB4"/>
    <w:rsid w:val="00743C71"/>
    <w:rsid w:val="00746104"/>
    <w:rsid w:val="00781483"/>
    <w:rsid w:val="007859A4"/>
    <w:rsid w:val="007A3DC9"/>
    <w:rsid w:val="007A5EA1"/>
    <w:rsid w:val="007B2EE2"/>
    <w:rsid w:val="007B6E32"/>
    <w:rsid w:val="007B758A"/>
    <w:rsid w:val="008104F6"/>
    <w:rsid w:val="00810BC1"/>
    <w:rsid w:val="0081468A"/>
    <w:rsid w:val="0081620A"/>
    <w:rsid w:val="008247CE"/>
    <w:rsid w:val="00844A65"/>
    <w:rsid w:val="0087129B"/>
    <w:rsid w:val="008916F9"/>
    <w:rsid w:val="008C514E"/>
    <w:rsid w:val="008E4692"/>
    <w:rsid w:val="008F2224"/>
    <w:rsid w:val="008F673A"/>
    <w:rsid w:val="00906E44"/>
    <w:rsid w:val="0091331A"/>
    <w:rsid w:val="00961E4F"/>
    <w:rsid w:val="00971A1D"/>
    <w:rsid w:val="00980CCF"/>
    <w:rsid w:val="00995806"/>
    <w:rsid w:val="009A0F52"/>
    <w:rsid w:val="009A5F87"/>
    <w:rsid w:val="009A636F"/>
    <w:rsid w:val="009B7060"/>
    <w:rsid w:val="009D3ABE"/>
    <w:rsid w:val="009E0214"/>
    <w:rsid w:val="009E6AA8"/>
    <w:rsid w:val="00A16AF0"/>
    <w:rsid w:val="00A2342B"/>
    <w:rsid w:val="00A35A72"/>
    <w:rsid w:val="00A6366E"/>
    <w:rsid w:val="00A74373"/>
    <w:rsid w:val="00A75B63"/>
    <w:rsid w:val="00A97802"/>
    <w:rsid w:val="00AC548F"/>
    <w:rsid w:val="00B13A76"/>
    <w:rsid w:val="00B26B2A"/>
    <w:rsid w:val="00B429E5"/>
    <w:rsid w:val="00B46AB2"/>
    <w:rsid w:val="00B617FA"/>
    <w:rsid w:val="00B66D4A"/>
    <w:rsid w:val="00B7076E"/>
    <w:rsid w:val="00B70CDC"/>
    <w:rsid w:val="00B81688"/>
    <w:rsid w:val="00B92DFB"/>
    <w:rsid w:val="00B95CB7"/>
    <w:rsid w:val="00BA17E0"/>
    <w:rsid w:val="00BB24F8"/>
    <w:rsid w:val="00BD40A2"/>
    <w:rsid w:val="00BD58B2"/>
    <w:rsid w:val="00BD6A52"/>
    <w:rsid w:val="00BD7DE4"/>
    <w:rsid w:val="00BF3249"/>
    <w:rsid w:val="00C039A0"/>
    <w:rsid w:val="00C125AE"/>
    <w:rsid w:val="00C13092"/>
    <w:rsid w:val="00C166DE"/>
    <w:rsid w:val="00C16A88"/>
    <w:rsid w:val="00C20179"/>
    <w:rsid w:val="00C378E4"/>
    <w:rsid w:val="00C57677"/>
    <w:rsid w:val="00C64966"/>
    <w:rsid w:val="00C77EFB"/>
    <w:rsid w:val="00C81808"/>
    <w:rsid w:val="00CC13B1"/>
    <w:rsid w:val="00CC6E6C"/>
    <w:rsid w:val="00CE2CF4"/>
    <w:rsid w:val="00CE5690"/>
    <w:rsid w:val="00CF01EF"/>
    <w:rsid w:val="00CF09CE"/>
    <w:rsid w:val="00CF1E75"/>
    <w:rsid w:val="00CF3066"/>
    <w:rsid w:val="00CF56A7"/>
    <w:rsid w:val="00D05517"/>
    <w:rsid w:val="00D131B4"/>
    <w:rsid w:val="00D218B4"/>
    <w:rsid w:val="00D25496"/>
    <w:rsid w:val="00D45C17"/>
    <w:rsid w:val="00D7264A"/>
    <w:rsid w:val="00DC6D9D"/>
    <w:rsid w:val="00E136E8"/>
    <w:rsid w:val="00E16BC6"/>
    <w:rsid w:val="00E21592"/>
    <w:rsid w:val="00E30E07"/>
    <w:rsid w:val="00E375B4"/>
    <w:rsid w:val="00E4022E"/>
    <w:rsid w:val="00E45805"/>
    <w:rsid w:val="00E461D8"/>
    <w:rsid w:val="00E50345"/>
    <w:rsid w:val="00E54096"/>
    <w:rsid w:val="00E86BA7"/>
    <w:rsid w:val="00E96BA7"/>
    <w:rsid w:val="00E973D4"/>
    <w:rsid w:val="00EA4F66"/>
    <w:rsid w:val="00ED2002"/>
    <w:rsid w:val="00EE717D"/>
    <w:rsid w:val="00EF734C"/>
    <w:rsid w:val="00EF7C8F"/>
    <w:rsid w:val="00F24D41"/>
    <w:rsid w:val="00F27BE1"/>
    <w:rsid w:val="00F5692F"/>
    <w:rsid w:val="00F615D5"/>
    <w:rsid w:val="00F73FE1"/>
    <w:rsid w:val="00F75C5C"/>
    <w:rsid w:val="00F75F6E"/>
    <w:rsid w:val="00F94B66"/>
    <w:rsid w:val="00F972E3"/>
    <w:rsid w:val="00FA61E2"/>
    <w:rsid w:val="00FC49AA"/>
    <w:rsid w:val="00FC4EB1"/>
    <w:rsid w:val="00FD65E0"/>
    <w:rsid w:val="00FE08CF"/>
    <w:rsid w:val="00FE67F2"/>
    <w:rsid w:val="00FE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4D5A"/>
  <w15:docId w15:val="{731601F9-A1CA-49D1-97AB-7EE18202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E48"/>
    <w:pPr>
      <w:ind w:left="720"/>
      <w:contextualSpacing/>
    </w:pPr>
  </w:style>
  <w:style w:type="paragraph" w:styleId="BalloonText">
    <w:name w:val="Balloon Text"/>
    <w:basedOn w:val="Normal"/>
    <w:link w:val="BalloonTextChar"/>
    <w:uiPriority w:val="99"/>
    <w:semiHidden/>
    <w:unhideWhenUsed/>
    <w:rsid w:val="00980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CCF"/>
    <w:rPr>
      <w:rFonts w:ascii="Segoe UI" w:hAnsi="Segoe UI" w:cs="Segoe UI"/>
      <w:sz w:val="18"/>
      <w:szCs w:val="18"/>
    </w:rPr>
  </w:style>
  <w:style w:type="paragraph" w:styleId="Revision">
    <w:name w:val="Revision"/>
    <w:hidden/>
    <w:uiPriority w:val="99"/>
    <w:semiHidden/>
    <w:rsid w:val="008104F6"/>
  </w:style>
  <w:style w:type="character" w:styleId="CommentReference">
    <w:name w:val="annotation reference"/>
    <w:basedOn w:val="DefaultParagraphFont"/>
    <w:uiPriority w:val="99"/>
    <w:semiHidden/>
    <w:unhideWhenUsed/>
    <w:rsid w:val="00FC49AA"/>
    <w:rPr>
      <w:sz w:val="16"/>
      <w:szCs w:val="16"/>
    </w:rPr>
  </w:style>
  <w:style w:type="paragraph" w:styleId="CommentText">
    <w:name w:val="annotation text"/>
    <w:basedOn w:val="Normal"/>
    <w:link w:val="CommentTextChar"/>
    <w:uiPriority w:val="99"/>
    <w:unhideWhenUsed/>
    <w:rsid w:val="00FC49AA"/>
    <w:rPr>
      <w:sz w:val="20"/>
      <w:szCs w:val="20"/>
    </w:rPr>
  </w:style>
  <w:style w:type="character" w:customStyle="1" w:styleId="CommentTextChar">
    <w:name w:val="Comment Text Char"/>
    <w:basedOn w:val="DefaultParagraphFont"/>
    <w:link w:val="CommentText"/>
    <w:uiPriority w:val="99"/>
    <w:rsid w:val="00FC49AA"/>
    <w:rPr>
      <w:sz w:val="20"/>
      <w:szCs w:val="20"/>
    </w:rPr>
  </w:style>
  <w:style w:type="paragraph" w:styleId="CommentSubject">
    <w:name w:val="annotation subject"/>
    <w:basedOn w:val="CommentText"/>
    <w:next w:val="CommentText"/>
    <w:link w:val="CommentSubjectChar"/>
    <w:uiPriority w:val="99"/>
    <w:semiHidden/>
    <w:unhideWhenUsed/>
    <w:rsid w:val="00FC49AA"/>
    <w:rPr>
      <w:b/>
      <w:bCs/>
    </w:rPr>
  </w:style>
  <w:style w:type="character" w:customStyle="1" w:styleId="CommentSubjectChar">
    <w:name w:val="Comment Subject Char"/>
    <w:basedOn w:val="CommentTextChar"/>
    <w:link w:val="CommentSubject"/>
    <w:uiPriority w:val="99"/>
    <w:semiHidden/>
    <w:rsid w:val="00FC49AA"/>
    <w:rPr>
      <w:b/>
      <w:bCs/>
      <w:sz w:val="20"/>
      <w:szCs w:val="20"/>
    </w:rPr>
  </w:style>
  <w:style w:type="table" w:styleId="TableGrid">
    <w:name w:val="Table Grid"/>
    <w:basedOn w:val="TableNormal"/>
    <w:uiPriority w:val="59"/>
    <w:rsid w:val="00194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14E"/>
    <w:pPr>
      <w:autoSpaceDE w:val="0"/>
      <w:autoSpaceDN w:val="0"/>
      <w:adjustRightInd w:val="0"/>
    </w:pPr>
    <w:rPr>
      <w:color w:val="000000"/>
      <w:sz w:val="24"/>
      <w:szCs w:val="24"/>
      <w:lang w:val="bg-BG"/>
    </w:rPr>
  </w:style>
  <w:style w:type="paragraph" w:styleId="Header">
    <w:name w:val="header"/>
    <w:basedOn w:val="Normal"/>
    <w:link w:val="HeaderChar"/>
    <w:uiPriority w:val="99"/>
    <w:unhideWhenUsed/>
    <w:rsid w:val="0081468A"/>
    <w:pPr>
      <w:tabs>
        <w:tab w:val="center" w:pos="4536"/>
        <w:tab w:val="right" w:pos="9072"/>
      </w:tabs>
    </w:pPr>
  </w:style>
  <w:style w:type="character" w:customStyle="1" w:styleId="HeaderChar">
    <w:name w:val="Header Char"/>
    <w:basedOn w:val="DefaultParagraphFont"/>
    <w:link w:val="Header"/>
    <w:uiPriority w:val="99"/>
    <w:rsid w:val="0081468A"/>
  </w:style>
  <w:style w:type="paragraph" w:styleId="Footer">
    <w:name w:val="footer"/>
    <w:basedOn w:val="Normal"/>
    <w:link w:val="FooterChar"/>
    <w:uiPriority w:val="99"/>
    <w:unhideWhenUsed/>
    <w:rsid w:val="0081468A"/>
    <w:pPr>
      <w:tabs>
        <w:tab w:val="center" w:pos="4536"/>
        <w:tab w:val="right" w:pos="9072"/>
      </w:tabs>
    </w:pPr>
  </w:style>
  <w:style w:type="character" w:customStyle="1" w:styleId="FooterChar">
    <w:name w:val="Footer Char"/>
    <w:basedOn w:val="DefaultParagraphFont"/>
    <w:link w:val="Footer"/>
    <w:uiPriority w:val="99"/>
    <w:rsid w:val="00814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6327">
      <w:bodyDiv w:val="1"/>
      <w:marLeft w:val="0"/>
      <w:marRight w:val="0"/>
      <w:marTop w:val="0"/>
      <w:marBottom w:val="0"/>
      <w:divBdr>
        <w:top w:val="none" w:sz="0" w:space="0" w:color="auto"/>
        <w:left w:val="none" w:sz="0" w:space="0" w:color="auto"/>
        <w:bottom w:val="none" w:sz="0" w:space="0" w:color="auto"/>
        <w:right w:val="none" w:sz="0" w:space="0" w:color="auto"/>
      </w:divBdr>
    </w:div>
    <w:div w:id="1722747729">
      <w:bodyDiv w:val="1"/>
      <w:marLeft w:val="0"/>
      <w:marRight w:val="0"/>
      <w:marTop w:val="0"/>
      <w:marBottom w:val="0"/>
      <w:divBdr>
        <w:top w:val="none" w:sz="0" w:space="0" w:color="auto"/>
        <w:left w:val="none" w:sz="0" w:space="0" w:color="auto"/>
        <w:bottom w:val="none" w:sz="0" w:space="0" w:color="auto"/>
        <w:right w:val="none" w:sz="0" w:space="0" w:color="auto"/>
      </w:divBdr>
    </w:div>
    <w:div w:id="175901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1181EB9-B72D-4EF9-BDFD-986DAD7D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39</Pages>
  <Words>15436</Words>
  <Characters>87988</Characters>
  <Application>Microsoft Office Word</Application>
  <DocSecurity>0</DocSecurity>
  <Lines>733</Lines>
  <Paragraphs>206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103218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Petja Pencheva</cp:lastModifiedBy>
  <cp:revision>52</cp:revision>
  <dcterms:created xsi:type="dcterms:W3CDTF">2022-07-12T12:03:00Z</dcterms:created>
  <dcterms:modified xsi:type="dcterms:W3CDTF">2023-02-13T12:25:00Z</dcterms:modified>
</cp:coreProperties>
</file>